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FE020E" w14:textId="44A1D5D6" w:rsidR="00C46C23" w:rsidRDefault="00C46C23"/>
    <w:p w14:paraId="126D0E3F" w14:textId="63224000" w:rsidR="00545B29" w:rsidRDefault="00C46C23">
      <w:r>
        <w:t>The aim of our research into the area of recall was to determine if, and to what extent, the use of performative movement could affect learner recall, positively or otherwise. With this aim in mind, it was our intent that the conclusions drawn from the research could be used to advance pedagogy in the respective subject areas</w:t>
      </w:r>
      <w:r w:rsidR="008F13D2">
        <w:t xml:space="preserve"> and classes</w:t>
      </w:r>
      <w:r>
        <w:t xml:space="preserve"> of the research partners (English and Drama). The focus of the research was on </w:t>
      </w:r>
      <w:r w:rsidR="00592B4D">
        <w:t>student</w:t>
      </w:r>
      <w:r>
        <w:t>s’ ability to recall learned material, and whether introducing a physical element to th</w:t>
      </w:r>
      <w:r w:rsidR="004A1976">
        <w:t>e learning</w:t>
      </w:r>
      <w:r w:rsidR="006D2C44">
        <w:t xml:space="preserve"> as a stimulus</w:t>
      </w:r>
      <w:r w:rsidR="004A1976">
        <w:t xml:space="preserve"> could improve recall outcomes across both subjects. </w:t>
      </w:r>
      <w:r w:rsidR="008F13D2">
        <w:t xml:space="preserve">This issue interested use because in both classes students had been required to learn quotes, and the effectiveness of this process had appeared via observation to be subject to a plethora of variables. In seeking to control these variables or identify effective pedagogies independent of subject area, we sought to </w:t>
      </w:r>
      <w:r w:rsidR="00CA6C6D">
        <w:t>focus our study on one particular added stimulus (adding movement) and its effect on the learning.</w:t>
      </w:r>
    </w:p>
    <w:p w14:paraId="31C3D098" w14:textId="04FFD2AE" w:rsidR="00B00167" w:rsidRDefault="00545B29">
      <w:r>
        <w:t>In cont</w:t>
      </w:r>
      <w:r w:rsidR="00A4458B">
        <w:t xml:space="preserve">ext, the schemes of work for both lesson study classes </w:t>
      </w:r>
      <w:r w:rsidR="00FB62E2">
        <w:t xml:space="preserve">required that </w:t>
      </w:r>
      <w:r w:rsidR="009014C9">
        <w:t xml:space="preserve">students learn and recall quotes from memory. </w:t>
      </w:r>
      <w:r w:rsidR="00F17FF9">
        <w:t xml:space="preserve"> Both lesson studies were conducted on mixed gender, mixed ability Year 7 classes. </w:t>
      </w:r>
      <w:r w:rsidR="009014C9">
        <w:t>In the Drama class, hereafter in this research referred to as Class 1, this was for the purpose of developing performance and oracy. In the English class, hereafter referred to as Class 2, quote retention is being developed in order to embed it as a skill in advance of its use in literature study at Key Stage 4. With these contexts in mind, the research partners discussed means to improve pedagogies which could not only improve retentio</w:t>
      </w:r>
      <w:r w:rsidR="000B620C">
        <w:t>n,</w:t>
      </w:r>
      <w:r w:rsidR="009014C9">
        <w:t xml:space="preserve"> but </w:t>
      </w:r>
      <w:r w:rsidR="000B620C">
        <w:t xml:space="preserve">also </w:t>
      </w:r>
      <w:r w:rsidR="009014C9">
        <w:t xml:space="preserve">encourage students to devise personal </w:t>
      </w:r>
      <w:r w:rsidR="000B620C">
        <w:t xml:space="preserve">and intuitive </w:t>
      </w:r>
      <w:r w:rsidR="009014C9">
        <w:t>models of retention</w:t>
      </w:r>
      <w:r w:rsidR="000B620C">
        <w:t>. The research therefore seeks to identify the answer to the question: to what extent does learning via the medium of performance affect recall?</w:t>
      </w:r>
      <w:r w:rsidR="00F36835">
        <w:t xml:space="preserve"> In answering this question, we would seek to provide valuable insight into the strengths and weaknesses of sharing pedagogies between subject areas, reflect upon means to develop our respective practices</w:t>
      </w:r>
      <w:r w:rsidR="00B00167">
        <w:t>, and improve the teaching offered to both classes</w:t>
      </w:r>
      <w:r w:rsidR="00592B4D">
        <w:t>, specifically via the means of pairing movement with material to be learned.</w:t>
      </w:r>
    </w:p>
    <w:p w14:paraId="7E9D1834" w14:textId="2BD6D14F" w:rsidR="0023557E" w:rsidRDefault="00E2754E">
      <w:r>
        <w:t xml:space="preserve">In reviewing relevant literature, we sought to identify current </w:t>
      </w:r>
      <w:r w:rsidR="00985BF2">
        <w:t xml:space="preserve">consensus on both the variety of variables which could potentially affect initial recall and </w:t>
      </w:r>
      <w:r w:rsidR="00592B4D">
        <w:t xml:space="preserve">weigh </w:t>
      </w:r>
      <w:r w:rsidR="00985BF2">
        <w:t>the importance of recall itself as a part of the whole learning experience.</w:t>
      </w:r>
      <w:r w:rsidR="00EB37FE">
        <w:t xml:space="preserve"> Bloom et al.(1956) conceptualised learning using the </w:t>
      </w:r>
      <w:r w:rsidR="00EB37FE" w:rsidRPr="00EB37FE">
        <w:rPr>
          <w:i/>
          <w:iCs/>
        </w:rPr>
        <w:t>original taxonomy</w:t>
      </w:r>
      <w:r w:rsidR="00EB37FE">
        <w:rPr>
          <w:i/>
          <w:iCs/>
        </w:rPr>
        <w:t xml:space="preserve"> </w:t>
      </w:r>
      <w:r w:rsidR="00EB37FE">
        <w:t xml:space="preserve">(hereafter referred to as OT), </w:t>
      </w:r>
      <w:r w:rsidR="009733BD">
        <w:t>which placed recall at the base of the taxonomy</w:t>
      </w:r>
      <w:r w:rsidR="0023557E">
        <w:t>, with higher orders of understanding built upwards in a single dimension from the base</w:t>
      </w:r>
      <w:r w:rsidR="009733BD">
        <w:t>. While the OT would later be revised to add further nuance to the model (Furst, 1994; Anderson et al, 2001), recall would remain fixed as a key part of the model throughout its revisions, particularly in regard to initial learning of a given concept. Recall in the joint context of Bloom’s work and this research can be understood as a student’s ability to remember the words and terms necessary to participate</w:t>
      </w:r>
      <w:r w:rsidR="00592B4D">
        <w:t xml:space="preserve"> (and for the purpose of study, generate data)</w:t>
      </w:r>
      <w:r w:rsidR="009733BD">
        <w:t>. This understanding of recall is relevant here as while both lesson studies took place in different subject areas, both sought to equip students with, if recalled fully, the necessary tools with which to participate in a scene or debate respectively</w:t>
      </w:r>
      <w:r w:rsidR="00592B4D">
        <w:t xml:space="preserve"> (see Appendices 12 &amp; 13) </w:t>
      </w:r>
      <w:r w:rsidR="009733BD">
        <w:t>.</w:t>
      </w:r>
      <w:r w:rsidR="0023557E">
        <w:t xml:space="preserve"> The weaknesses of the OT as perceived by Furst, and later Anderson et al., were respectively that:</w:t>
      </w:r>
    </w:p>
    <w:p w14:paraId="438C1E9D" w14:textId="28FD7CE2" w:rsidR="00E2754E" w:rsidRDefault="0023557E" w:rsidP="0023557E">
      <w:pPr>
        <w:pStyle w:val="ListParagraph"/>
        <w:numPr>
          <w:ilvl w:val="0"/>
          <w:numId w:val="1"/>
        </w:numPr>
      </w:pPr>
      <w:r>
        <w:t>it may not be the case that learning occurs upward in a single dimension.</w:t>
      </w:r>
    </w:p>
    <w:p w14:paraId="1FACA66C" w14:textId="634D6281" w:rsidR="0023557E" w:rsidRDefault="0023557E" w:rsidP="0023557E">
      <w:pPr>
        <w:pStyle w:val="ListParagraph"/>
        <w:numPr>
          <w:ilvl w:val="0"/>
          <w:numId w:val="1"/>
        </w:numPr>
      </w:pPr>
      <w:r>
        <w:t>it may not be the case that higher orders of thinking are always precluded by the lower tiers of the taxonomy having been fulfilled.</w:t>
      </w:r>
    </w:p>
    <w:p w14:paraId="2AC8CE79" w14:textId="1030BD42" w:rsidR="0023557E" w:rsidRDefault="0023557E" w:rsidP="0023557E">
      <w:r>
        <w:t xml:space="preserve">While later taxonomies were revised to </w:t>
      </w:r>
      <w:r w:rsidR="00B1429A">
        <w:t>take these assertions into account, it is possible to use these revisions to inform our own conceptions of recall in relation to this research. While the importance of recall as a founding factor of learning is recognised</w:t>
      </w:r>
      <w:r w:rsidR="004E39AD">
        <w:t xml:space="preserve"> in these models, it must be noted that the </w:t>
      </w:r>
      <w:r w:rsidR="004E39AD">
        <w:lastRenderedPageBreak/>
        <w:t xml:space="preserve">later revisions reveal further variables for consideration in the research – it could be that </w:t>
      </w:r>
      <w:r w:rsidR="00FE6109">
        <w:t>the impact of successful recall on furthering an individual’s learning</w:t>
      </w:r>
      <w:r w:rsidR="00ED2FA5">
        <w:t xml:space="preserve"> has a limited effect on their ascension to higher orders of thinking because their subject knowledge has developed beyond the initial stages of </w:t>
      </w:r>
      <w:r w:rsidR="00F17FF9">
        <w:t>recalling basic information, or</w:t>
      </w:r>
      <w:r w:rsidR="00D13C70">
        <w:t xml:space="preserve"> alternatively</w:t>
      </w:r>
      <w:r w:rsidR="00F17FF9">
        <w:t xml:space="preserve"> that an individual may progress to deeper understanding of a topic without full recall of their basic knowledge. Further factors identified in the literature as affecting recall included engagement, motivation and quality of classroom talk</w:t>
      </w:r>
      <w:r w:rsidR="007D5302">
        <w:t xml:space="preserve"> (Butterfield, 1976; Gass, 2000).</w:t>
      </w:r>
    </w:p>
    <w:p w14:paraId="7985F9DB" w14:textId="5FD8900D" w:rsidR="00325595" w:rsidRDefault="00F17FF9" w:rsidP="0023557E">
      <w:r>
        <w:t xml:space="preserve">Stough </w:t>
      </w:r>
      <w:r w:rsidR="005B2421">
        <w:t>(2001) sets out a definition of “stimulated recall”, whereby recall of general concepts</w:t>
      </w:r>
      <w:r w:rsidR="00D13C70">
        <w:t xml:space="preserve"> by </w:t>
      </w:r>
      <w:r w:rsidR="003E22A1">
        <w:t>learners</w:t>
      </w:r>
      <w:r w:rsidR="00D13C70">
        <w:t xml:space="preserve"> is aided using a stimulus – in Stough’s case, </w:t>
      </w:r>
      <w:r w:rsidR="0019451A">
        <w:t>the stimulus was provided by</w:t>
      </w:r>
      <w:r w:rsidR="00801E6D">
        <w:t xml:space="preserve"> subjects watching partial </w:t>
      </w:r>
      <w:r w:rsidR="0019451A">
        <w:t>recording</w:t>
      </w:r>
      <w:r w:rsidR="00801E6D">
        <w:t>s</w:t>
      </w:r>
      <w:r w:rsidR="0019451A">
        <w:t xml:space="preserve"> of the initially taught concepts. Conversely</w:t>
      </w:r>
      <w:r w:rsidR="00592B4D">
        <w:t>,</w:t>
      </w:r>
      <w:r w:rsidR="0019451A">
        <w:t xml:space="preserve"> in this research, the stimulus for recall will be </w:t>
      </w:r>
      <w:r w:rsidR="00801E6D">
        <w:t>the movements learned concurrently with the material</w:t>
      </w:r>
      <w:r w:rsidR="00592B4D">
        <w:t xml:space="preserve"> (quotes)</w:t>
      </w:r>
      <w:r w:rsidR="00801E6D">
        <w:t>.</w:t>
      </w:r>
      <w:r w:rsidR="00BF5BD4">
        <w:t xml:space="preserve"> While Stough’s research was targeted at embedding </w:t>
      </w:r>
      <w:r w:rsidR="00325595">
        <w:t xml:space="preserve">models of reflection in student teachers using stimulated recall, it is pertinent to our research that we similarly hoped to encourage comfort and familiarity regarding methods of self-stimulating recall in our cohort. </w:t>
      </w:r>
      <w:r w:rsidR="002C21E7">
        <w:t xml:space="preserve">For those wishing to research stimulated recall, Stough sets out some precautions – </w:t>
      </w:r>
      <w:r w:rsidR="0036128D">
        <w:t xml:space="preserve">she notes that </w:t>
      </w:r>
      <w:r w:rsidR="000555C5">
        <w:t>stimulated recall procedures should take place with some immediacy following the initial learning</w:t>
      </w:r>
      <w:r w:rsidR="003E22A1">
        <w:t>; she cites Ericsson &amp; Simon (1980)</w:t>
      </w:r>
      <w:r w:rsidR="000555C5">
        <w:t xml:space="preserve"> </w:t>
      </w:r>
      <w:r w:rsidR="003E22A1">
        <w:t xml:space="preserve">as one study which provides reasoning for this, namely that the more time that has passed since the initial learning, the more likely that the learner </w:t>
      </w:r>
      <w:r w:rsidR="0037597A">
        <w:t>has formed useful connections separate from the strategised method, presenting difficulty in establishing causation between the effectiveness of any strategy employed and the specific recall outcomes.</w:t>
      </w:r>
    </w:p>
    <w:p w14:paraId="621C54A7" w14:textId="69723F70" w:rsidR="00B00167" w:rsidRDefault="002C21E7">
      <w:r>
        <w:t>Lyle (2003)</w:t>
      </w:r>
      <w:r w:rsidR="0036128D">
        <w:t xml:space="preserve"> concurs somewhat with Stough </w:t>
      </w:r>
      <w:r w:rsidR="00E06772">
        <w:t>with regards to</w:t>
      </w:r>
      <w:r w:rsidR="0036128D">
        <w:t xml:space="preserve"> the strengths and limitations of researching stimulated recall.</w:t>
      </w:r>
      <w:r w:rsidR="00E06772">
        <w:t xml:space="preserve"> To summarise, while the notion of studying recall as a foundational part of a holistic approach to learning has merit, it also presents a number of esoteric variables. These variables, such as a subject’s pre-existing tacit understanding of a concept for example, represent difficulty in accommodating between the method of stimulating recall</w:t>
      </w:r>
      <w:r w:rsidR="00E22E50">
        <w:t xml:space="preserve"> and determining </w:t>
      </w:r>
      <w:r w:rsidR="00E06772">
        <w:t xml:space="preserve">whether any improvement seen </w:t>
      </w:r>
      <w:r w:rsidR="00E22E50">
        <w:t xml:space="preserve">can be confirmed as </w:t>
      </w:r>
      <w:r w:rsidR="00E06772">
        <w:t xml:space="preserve">resultant of the specific </w:t>
      </w:r>
      <w:r w:rsidR="00E22E50">
        <w:t xml:space="preserve">recall </w:t>
      </w:r>
      <w:r w:rsidR="00E06772">
        <w:t>strategy used</w:t>
      </w:r>
      <w:r w:rsidR="00E22E50">
        <w:t>. This therefore presents some concern regarding the validity of the data</w:t>
      </w:r>
      <w:r w:rsidR="000555C5">
        <w:t>.</w:t>
      </w:r>
      <w:r w:rsidR="00E22E50">
        <w:t xml:space="preserve"> </w:t>
      </w:r>
      <w:r w:rsidR="00E06772">
        <w:t xml:space="preserve"> Lyle</w:t>
      </w:r>
      <w:r w:rsidR="0036128D">
        <w:t xml:space="preserve"> also</w:t>
      </w:r>
      <w:r>
        <w:t xml:space="preserve"> identifie</w:t>
      </w:r>
      <w:r w:rsidR="00E06772">
        <w:t>s</w:t>
      </w:r>
      <w:r>
        <w:t xml:space="preserve"> that while the prevailing method of using stimulated recall was to replay video footage of the original learning or of the product of students’ learning, </w:t>
      </w:r>
      <w:r w:rsidR="00D1530A">
        <w:t xml:space="preserve">stimulated recall as a means to develop cognitive strategies represents a wealth of potential, especially where new subjects or abstract concepts were concerned. However, </w:t>
      </w:r>
      <w:r w:rsidR="0036128D">
        <w:t xml:space="preserve">while previous definitions of stimulated recall </w:t>
      </w:r>
      <w:r w:rsidR="00E06772">
        <w:t xml:space="preserve">were more loosely defined as a stimulus related to the learning experience designed to aid the recall process, </w:t>
      </w:r>
      <w:r w:rsidR="00D1530A">
        <w:t xml:space="preserve">Lyle typifies his stimulated recall procedures </w:t>
      </w:r>
      <w:r w:rsidR="0036128D">
        <w:t xml:space="preserve">as being based in a model of reflection – whereby the recall procedures took place immediately subsequent to the principal learning and consisted of instructor-guided reflections for the </w:t>
      </w:r>
      <w:r w:rsidR="00E06772">
        <w:t xml:space="preserve">research </w:t>
      </w:r>
      <w:r w:rsidR="0036128D">
        <w:t>subjects.</w:t>
      </w:r>
    </w:p>
    <w:p w14:paraId="7ADC3490" w14:textId="4FF4EE88" w:rsidR="00783B1A" w:rsidRDefault="00051490">
      <w:r>
        <w:t>The methodology used for the research was a lesson study. This was an appropriate choice based on the time allocated for research and the context as outlined previously. While the lesson</w:t>
      </w:r>
      <w:r w:rsidR="00D13C70">
        <w:t xml:space="preserve"> content</w:t>
      </w:r>
      <w:r>
        <w:t xml:space="preserve"> will be detailed later in this research, the lesson formats were planned in order to conduct the research were designed to allow the researchers to clearly gather the relevant data. The relevant data is here defined as the performance statistics of a defined focus group, in addition to data gathered in the lesson study proforma. The data gathering in this respect took into account the performance of the focus group 6 students, as well as </w:t>
      </w:r>
      <w:r w:rsidR="0011307E">
        <w:t xml:space="preserve">data pertaining to the attitudes to learning of each class and estimated average performance of each class. In order to identify our focus group, each researcher randomly selected 3 students (with one reserve) across a wide range of ability levels. Subsequent to the delivery of the lessons, the focus group were interviewed in order to gather further data regarding engagement, attitudes to learning and perceived effectiveness of pedagogies. </w:t>
      </w:r>
      <w:r w:rsidR="001A4311">
        <w:t xml:space="preserve">This </w:t>
      </w:r>
      <w:r w:rsidR="001A4311">
        <w:lastRenderedPageBreak/>
        <w:t xml:space="preserve">strategy was chosen to give the researchers an opportunity to identify the magnitude of any effect irrespective of student ability level. The interview process was included to allow </w:t>
      </w:r>
      <w:r w:rsidR="00997358">
        <w:t xml:space="preserve">the researchers to gather data from a student perspective regarding engagement and motivation. </w:t>
      </w:r>
      <w:r w:rsidR="00FC004B">
        <w:t>T</w:t>
      </w:r>
      <w:r w:rsidR="001A4311">
        <w:t>he</w:t>
      </w:r>
      <w:r w:rsidR="0011307E">
        <w:t xml:space="preserve"> data </w:t>
      </w:r>
      <w:r w:rsidR="001A4311">
        <w:t>was collated by the observing researcher in each lesson, while the other researcher taught the lesson. The data was collated using the lesson study proforma seen in Appendix 2</w:t>
      </w:r>
      <w:r w:rsidR="00997358">
        <w:t>, and further with a basic scoring table which has been represented here in Appendix 3.</w:t>
      </w:r>
      <w:r w:rsidR="00801E6D">
        <w:t xml:space="preserve"> All focus group students are scored on a scale from 0 (no quotes remembered) to 1 (All quotes remembered</w:t>
      </w:r>
      <w:r w:rsidR="00BF5BD4">
        <w:t>)</w:t>
      </w:r>
      <w:r w:rsidR="00801E6D">
        <w:t xml:space="preserve">, with integers </w:t>
      </w:r>
      <w:r w:rsidR="00BF5BD4">
        <w:t xml:space="preserve">between these two numbers representing the share of quotes recalled in full. Also represented in the data is a class average - this was included in order for the researchers to determine estimated whole-class uptake of the strategy, which could provide valuable further correlation with individual results, or otherwise provide further variables for discussion during analysis of the principal data. </w:t>
      </w:r>
      <w:r w:rsidR="006C7ED0">
        <w:t xml:space="preserve">Student recall scores were taken first at plenary; this involved a simple recall task as seen in Appendices 12 &amp; 13. Later plenaries during the lessons would give the researchers opportunity to evaluate the strategy against more complex forms of recalled material. </w:t>
      </w:r>
      <w:r w:rsidR="00D000A8">
        <w:t>Using this approach, we sought to collate a combination of both quantitative data - from which correlation could be identified between pedagogies employed and student performance, and qualitative data based on researcher and student perceptions of the effectiveness of the strategies used.</w:t>
      </w:r>
      <w:r w:rsidR="007D5302">
        <w:t xml:space="preserve"> Further to the research activity, researchers used a bespoke reflective model to review the lessons, and suggest improvements to the lesson format and to the research generally.</w:t>
      </w:r>
    </w:p>
    <w:p w14:paraId="6C1F752B" w14:textId="0C617523" w:rsidR="00473653" w:rsidRDefault="00D000A8">
      <w:r>
        <w:t xml:space="preserve">In considering </w:t>
      </w:r>
      <w:r w:rsidR="00A43320">
        <w:t>the ethics of our research, we have entertained a variety of variables which could represent quandaries in this area. As detailed in our ethics form, these can be divided by those variables which represent risk to the researchers, and those which represent a risk to the study subjects, with specific attention given to the focus group. Especially pertinent risks were those of data breach, risks to self-esteem for the focus group based on performance and the risk of non-focus group students feeling left out of the research process. We sought to control these risks by offering full confidentiality and anonymity to the focus group, as well as selecting as randomly as possible from a breadth of ability levels within classes.</w:t>
      </w:r>
      <w:r w:rsidR="00FE6109">
        <w:t xml:space="preserve"> These measures were supported with a debrief subsequent to the interview in which researchers could explain the purpose of the research and mitigate </w:t>
      </w:r>
      <w:r w:rsidR="00BF5BD4">
        <w:t xml:space="preserve">any </w:t>
      </w:r>
      <w:r w:rsidR="00FE6109">
        <w:t>negative feelings about performance</w:t>
      </w:r>
      <w:r w:rsidR="00BF5BD4">
        <w:t xml:space="preserve"> among subjects</w:t>
      </w:r>
      <w:r w:rsidR="00FE6109">
        <w:t>. Risks to the researchers, as detailed in the ethics form, were controlled by ensuring good communication with the relevant departments prior to and subsequent to the research in order that lessons were appropriate for the current schemes of work, and ensuring that all research activities were conducted with two researchers present at all times.</w:t>
      </w:r>
    </w:p>
    <w:p w14:paraId="747D4D0D" w14:textId="237B7495" w:rsidR="00844A9C" w:rsidRDefault="0037597A">
      <w:r>
        <w:t>Lesson 1 was conducted with Class 1 on a Monday morning during the first session of the week’s timetable. As noted in Appendix 3</w:t>
      </w:r>
      <w:r w:rsidR="00A41ADD">
        <w:t xml:space="preserve">, </w:t>
      </w:r>
      <w:r w:rsidR="00740266">
        <w:t xml:space="preserve">the class showed a good attitude to learning, and were well engaged with the opening task (see Appendix </w:t>
      </w:r>
      <w:r w:rsidR="00514B93">
        <w:t>12)</w:t>
      </w:r>
      <w:r w:rsidR="009644BC">
        <w:t xml:space="preserve"> </w:t>
      </w:r>
      <w:r w:rsidR="00740266">
        <w:t>as soon as they entered the room</w:t>
      </w:r>
      <w:r w:rsidR="00514B93">
        <w:t>.</w:t>
      </w:r>
      <w:r w:rsidR="00006CFF">
        <w:t xml:space="preserve"> The room, for purposes of clarity, was a drama room with a raised stage from which the teacher could instruct the class, and an open area without tables in which the class could move.</w:t>
      </w:r>
      <w:r w:rsidR="00514B93">
        <w:t xml:space="preserve">  </w:t>
      </w:r>
      <w:r w:rsidR="00FC004B">
        <w:t xml:space="preserve">Register was taken while the class </w:t>
      </w:r>
      <w:r w:rsidR="00FE3FFA">
        <w:t>were engaged with the opening task, and once the register was complete, students were keen to volunteer their answers to the initial task. Data from this task can be seen in column 1 of Appendix 1; where the class overall correctly recalled an average of</w:t>
      </w:r>
      <w:r w:rsidR="0003482F">
        <w:t xml:space="preserve"> 50</w:t>
      </w:r>
      <w:r w:rsidR="00FE3FFA">
        <w:t xml:space="preserve">% of items (with some non-focus group individuals raising the average by excelling at this initial stage), the focus group at this stage showed scores slightly below that. </w:t>
      </w:r>
    </w:p>
    <w:p w14:paraId="3BD81576" w14:textId="250041AD" w:rsidR="00A97F8E" w:rsidRDefault="00FE3FFA">
      <w:r>
        <w:t xml:space="preserve">The lesson then progressed to </w:t>
      </w:r>
      <w:r w:rsidR="00844A9C">
        <w:t>instructed stimulated recall.</w:t>
      </w:r>
      <w:r w:rsidR="00CA19D8">
        <w:t>, broken up into rounds, escalating in difficulty.</w:t>
      </w:r>
      <w:r w:rsidR="00844A9C">
        <w:t xml:space="preserve"> Here, the teacher </w:t>
      </w:r>
      <w:r w:rsidR="00963928">
        <w:t xml:space="preserve">instructed the class briefly in the use of pairing a unique movement with each of the displayed quotes, making clear that when prompted, students </w:t>
      </w:r>
      <w:r w:rsidR="00A97F8E">
        <w:t xml:space="preserve">should recall as many of </w:t>
      </w:r>
      <w:r w:rsidR="00A97F8E">
        <w:lastRenderedPageBreak/>
        <w:t xml:space="preserve">the quotes as possible, using the movements as an aide memoire. All rounds consisted of material from </w:t>
      </w:r>
      <w:r w:rsidR="00CA19D8">
        <w:t xml:space="preserve">Diane Samuels’ </w:t>
      </w:r>
      <w:r w:rsidR="00A97F8E">
        <w:t>“Kindertransport”</w:t>
      </w:r>
      <w:r w:rsidR="00CA19D8">
        <w:t>, which was concurrent with the scheme of work and with which the class had already had some opportunity to familiarise themselves with. The first round consisted of 3-5 word quotes, while the second round increased the size of the quotes</w:t>
      </w:r>
      <w:r w:rsidR="00C33EEE">
        <w:t>, and maintained the use of the strategised movements</w:t>
      </w:r>
      <w:r w:rsidR="00CA19D8">
        <w:t xml:space="preserve">. </w:t>
      </w:r>
      <w:r w:rsidR="00A97F8E">
        <w:t>A plenary was conducted after the first round of quotes, seen in Appendix 1, wherein the focus group scored slightly higher than both the class average and their own scores from the plenary.</w:t>
      </w:r>
      <w:r w:rsidR="00CA19D8">
        <w:t xml:space="preserve"> Again, the whole class with very few exceptions showed profligate signs of engagement such as active listening and participation, and this reflected itself in good uptake of the teacher’s strategy across the whole class. Data from the Round 1 plenary, seen in column 2 of Appendix 1, </w:t>
      </w:r>
      <w:r w:rsidR="00EC5B16">
        <w:t>showed a slight improvement in the focus group’s performance</w:t>
      </w:r>
      <w:r w:rsidR="00942A92">
        <w:t xml:space="preserve"> during this round. Pupil 3a in particular showed a large improvement from their performance during the opening task, improving by a factor of 35%. </w:t>
      </w:r>
      <w:r w:rsidR="006C7ED0">
        <w:t xml:space="preserve"> The teacher then moved on to Round 2, asking students to recall phrases which consisted of 5-8 words. At this stage, uptake of the teacher’s strategy was clear across the whole class. Very few students opted to not participate in the lesson, and those that were not engaged did not disrupt learning for those students that were engaged. It was also clear that students had begun to internalise the concept of an aide memoire in order to aid their own performance as far as recall was concerned. Subsequent to Round 2, the final plenary took place, wherein all focus group participants performed well in comparison to the class average, with Pupils 2a </w:t>
      </w:r>
      <w:r w:rsidR="00C33EEE">
        <w:t>&amp;</w:t>
      </w:r>
      <w:r w:rsidR="006C7ED0">
        <w:t xml:space="preserve"> 3a</w:t>
      </w:r>
      <w:r w:rsidR="00C33EEE">
        <w:t xml:space="preserve"> recalling successfully 100% of the quotes. This was notable in that while these participants did not show total uptake of the strategy throughout the lesson, their engagement in the topic as a whole and their attitude to learning had remained consistently high. </w:t>
      </w:r>
    </w:p>
    <w:p w14:paraId="1D45B452" w14:textId="7E863926" w:rsidR="00C33EEE" w:rsidRDefault="00740266">
      <w:r>
        <w:t xml:space="preserve">Lesson 2 </w:t>
      </w:r>
      <w:r w:rsidR="00514B93">
        <w:t xml:space="preserve">was conducted with Class 2 on a Tuesday morning during the third session, immediately following break time. </w:t>
      </w:r>
      <w:r w:rsidR="009644BC">
        <w:t>Contrary to the first class, a few students failed to display a good attitude to learning, were not engaged and were persistently disruptive to teaching.</w:t>
      </w:r>
      <w:r w:rsidR="00DC4DDC">
        <w:t xml:space="preserve"> The quotes which the students which asked to recall in Lesson 2 consisted of excerpts from “experts” on the topic of </w:t>
      </w:r>
      <w:r w:rsidR="00A0014F">
        <w:t xml:space="preserve">the importance of Welsh. </w:t>
      </w:r>
      <w:r w:rsidR="00FC004B">
        <w:t xml:space="preserve"> </w:t>
      </w:r>
      <w:r w:rsidR="00006CFF">
        <w:t xml:space="preserve">Also contrary to the first lesson, the lesson took place in a typical classroom setting with the teacher placed at the front of the room, with students </w:t>
      </w:r>
      <w:r w:rsidR="00844A9C">
        <w:t>sat in seats behind rows of tables. Similarly to Lesson 1, register was taken while students undertook the opening task. On this occasion, the class as a whole were mostly engaged, though some students were disruptive. The class were</w:t>
      </w:r>
      <w:r w:rsidR="004767BC">
        <w:t xml:space="preserve"> generally keen to volunteer their recalled answers from the opening task, from which data can be seen in the first column of Appendix 2. Here, </w:t>
      </w:r>
      <w:r w:rsidR="0003482F">
        <w:t xml:space="preserve">in contrast to Lesson 1, </w:t>
      </w:r>
      <w:r w:rsidR="004767BC">
        <w:t>it appeared that the focus group represented scores both above and below the class average</w:t>
      </w:r>
      <w:r w:rsidR="0003482F">
        <w:t>. While Pupils 1b &amp; 4b exhibited good attempts at recalling</w:t>
      </w:r>
      <w:r w:rsidR="00A0014F">
        <w:t xml:space="preserve"> </w:t>
      </w:r>
      <w:r w:rsidR="0003482F">
        <w:t xml:space="preserve"> all or almost all of the items, </w:t>
      </w:r>
      <w:r w:rsidR="00963928">
        <w:t>Pupils 2b &amp; 3b exhibited weaker attempts.</w:t>
      </w:r>
      <w:r w:rsidR="00C33EEE">
        <w:t xml:space="preserve"> The teacher next moved on to instruct pupils in the use of the strategy. In comparison to Lesson 1, students in Class 2 presented challenges behaviourally throughout, in particular during instructional segments of the lesson. While efforts were made to scaffold </w:t>
      </w:r>
      <w:r w:rsidR="00876253">
        <w:t>student understanding of the strategy, it is doubtless that some students failed to form a proper understanding of the task as devised due to the impact of these challenges.</w:t>
      </w:r>
      <w:r w:rsidR="00A0014F">
        <w:t xml:space="preserve"> </w:t>
      </w:r>
      <w:r w:rsidR="00FD4C71">
        <w:t xml:space="preserve">Nevertheless, </w:t>
      </w:r>
      <w:r w:rsidR="00DC4DDC">
        <w:t>uptake of the strategy remained strong with a majority of students. In the Round 1 plenary, all students improved on their performance from the opening task. Behaviour represented continual challenges</w:t>
      </w:r>
      <w:r w:rsidR="00A0014F">
        <w:t xml:space="preserve"> to engagement</w:t>
      </w:r>
      <w:r w:rsidR="00DC4DDC">
        <w:t xml:space="preserve"> as the teacher progressed the class to Round 2</w:t>
      </w:r>
      <w:r w:rsidR="00A0014F">
        <w:t xml:space="preserve">. </w:t>
      </w:r>
      <w:r w:rsidR="00BC4EFA">
        <w:t>The data from this round’s plenary would seem to reflect the general observations if the researchers at this point in the lesson, whereby though uptake of the strategy never fell below occasional use by the focus group, all focus group participants saw no improvement on their scores from the previous round. It would not be conclusive to say that the static Round 2 outcomes were resultant of disruption within the class, as based on the researchers’ notes, not all focus group students were impacted by classroom disruption.</w:t>
      </w:r>
    </w:p>
    <w:p w14:paraId="44A10153" w14:textId="0D338DB6" w:rsidR="00D000A8" w:rsidRDefault="00C33EEE">
      <w:r>
        <w:lastRenderedPageBreak/>
        <w:t>In planning improvements to the lesson studies, it would be fair to say that while the researchers made efforts to entertain all variables outside of the efficacy of the strategy, control</w:t>
      </w:r>
      <w:r w:rsidR="00A0014F">
        <w:t>ling</w:t>
      </w:r>
      <w:r>
        <w:t xml:space="preserve"> them where possible, further improvements could be made. In particular, further logistical planning is required in order to guarantee the validity of the data, and to provide an effective setting in which to measure</w:t>
      </w:r>
      <w:r w:rsidR="00876253">
        <w:t xml:space="preserve"> the outcome of the strategy. In order to offer a more fair comparison of the strategy across both lessons, it would be necessary to take into account the following factors: the setting of the lesson study (both lessons conducted in a classroom, for example); the timing of the lessons (Lesson 2 suffered disruption from late arrivals as well as students taking a long time to settle post-break); general level of engagement in the topic. Based on the observations of the researchers</w:t>
      </w:r>
      <w:r w:rsidR="007D6C84">
        <w:t xml:space="preserve"> in the Lesson Study Observations</w:t>
      </w:r>
      <w:r w:rsidR="00876253">
        <w:t xml:space="preserve">, engagement and </w:t>
      </w:r>
      <w:r w:rsidR="007D6C84">
        <w:t>attitude to learning</w:t>
      </w:r>
      <w:r w:rsidR="00876253">
        <w:t xml:space="preserve"> were the factors which, in the focus group, correlated most closely with the highest outcomes in the study</w:t>
      </w:r>
      <w:r w:rsidR="007D6C84">
        <w:t xml:space="preserve"> (greater even than uptake of the stimulated recall strategy)</w:t>
      </w:r>
      <w:r w:rsidR="00876253">
        <w:t>. In mitigating these factors, perhaps by selecting a research class consisting of only individuals who exhibit a strong record of positive attitudes to learning</w:t>
      </w:r>
      <w:r w:rsidR="007D6C84">
        <w:t>, it may be possible to control for this variable and gather further insight into the effectiveness of stimulating recall in this way</w:t>
      </w:r>
      <w:r w:rsidR="00FD4C71">
        <w:t xml:space="preserve"> without being forced to consider that more positive recall outcomes could have been the result of greater engagement, or a more appropriate setting for movement.</w:t>
      </w:r>
    </w:p>
    <w:p w14:paraId="6EF5C2DB" w14:textId="56763B7D" w:rsidR="00006CFF" w:rsidRDefault="00006CFF">
      <w:r>
        <w:t xml:space="preserve">In discussion of the outcomes of the lesson studies, </w:t>
      </w:r>
      <w:r w:rsidR="00A0014F">
        <w:t xml:space="preserve">the researchers discussed the overall picture offered by the lesson study format. </w:t>
      </w:r>
      <w:r w:rsidR="00AE14AB">
        <w:t xml:space="preserve">We were satisfied that the data accurately represented the performance of both focus groups and classes, and that our data collection took place by reliable methods. </w:t>
      </w:r>
      <w:r w:rsidR="006446D7">
        <w:t>The picture which was agreed upon by both researchers was one of uncertainty; while the raw data suggested that the stimulated recall strategy had had a positive effect on outcomes, it could equally be asserted that not only could the positive effect have been resultant of focus group students’ consistent positive engagement with the material, it could</w:t>
      </w:r>
      <w:r w:rsidR="00995BD1">
        <w:t xml:space="preserve"> also</w:t>
      </w:r>
      <w:r w:rsidR="006446D7">
        <w:t xml:space="preserve"> not conclusively be stated that </w:t>
      </w:r>
      <w:r w:rsidR="006446D7" w:rsidRPr="006446D7">
        <w:rPr>
          <w:i/>
          <w:iCs/>
        </w:rPr>
        <w:t>performance</w:t>
      </w:r>
      <w:r w:rsidR="006446D7">
        <w:t xml:space="preserve"> was the key part of the strategy – more that perhaps </w:t>
      </w:r>
      <w:r w:rsidR="006446D7">
        <w:rPr>
          <w:i/>
          <w:iCs/>
        </w:rPr>
        <w:t>any</w:t>
      </w:r>
      <w:r w:rsidR="006446D7">
        <w:t xml:space="preserve"> strategy featuring an aide memoire would provide this effect. The most vital insights therefore were linked to one of the previously identified variables: engagement. While researchers were satisfied that students were optimally engaged during Lesson 1, the same cannot be said for Lesson 2 and the impact of this variable on the outcome of the study cannot be understated. Though engagement itself is hard to define</w:t>
      </w:r>
      <w:r w:rsidR="00995BD1">
        <w:t xml:space="preserve"> (Symonds, 2015), there is some consensus by which we as researchers can confidently state that Class 2 were not an optimally engaged class, namely that there were segments of the class not committed to the learning. In discussing engagement during lesson studies, it is relevant that the impact of engagement be entertained as a limitation of the format – selecting an alternative format for research could result in a clearer picture of how effective the specific strategy of stimulating recall with movement is. In order to control for the impact of alternative aides memoire, further studies could seek to aggregate the effects of numerous stimuli</w:t>
      </w:r>
      <w:r w:rsidR="003854E4">
        <w:t xml:space="preserve"> in competition against each other and a control sample</w:t>
      </w:r>
      <w:r w:rsidR="00995BD1">
        <w:t xml:space="preserve">. </w:t>
      </w:r>
      <w:r w:rsidR="003854E4">
        <w:t xml:space="preserve"> Further, in response to our overview of the relevant literature, it may be an effective to develop our interview questions</w:t>
      </w:r>
    </w:p>
    <w:p w14:paraId="08F1C0D8" w14:textId="0D3D20B1" w:rsidR="00FC004B" w:rsidRDefault="00995BD1">
      <w:r>
        <w:t xml:space="preserve">Briefly, in comparing the two studies using </w:t>
      </w:r>
      <w:r w:rsidR="00AE14AB">
        <w:t>a calculation of effect size</w:t>
      </w:r>
      <w:r w:rsidR="006C6BC7">
        <w:t>, two values are discernible. Using each Class as a base value for the other, it is possible to calculate that Lesson 1 showed an effect size in this study of 1.4, while Lesson 2 showed a relative effect size of 0.7. This is pertinent in light of the factors discussed here, in that the more engaged class (Class 1) also showed a greater significance for the observed effect, and therefore it is problematic to discern between the two.</w:t>
      </w:r>
    </w:p>
    <w:p w14:paraId="7D1BE9F5" w14:textId="146DA96D" w:rsidR="00713B59" w:rsidRDefault="00713B59">
      <w:r>
        <w:t xml:space="preserve">Subject interviews provided further data for discussion. While it was mostly evident that </w:t>
      </w:r>
      <w:r w:rsidR="00A052AB">
        <w:t xml:space="preserve">subjects engaged with the tasks out of good-natured willingness to participate, it also provided some notion of whether the movements were useful. Class 2 as opposed to Class 1 displayed more willingness at interview to relay how the movements had acted as an aide memoire for their thinking, as per </w:t>
      </w:r>
      <w:r w:rsidR="00A052AB">
        <w:lastRenderedPageBreak/>
        <w:t>design. This raised more questions for researchers, in that a Drama class may anticipate the pairing of movement and thought in ways that an English class (particularly an English class sat stationary for 60 minutes) would not.</w:t>
      </w:r>
    </w:p>
    <w:p w14:paraId="3D00AA69" w14:textId="578D6062" w:rsidR="00D000A8" w:rsidRPr="00021228" w:rsidRDefault="00EC5B16">
      <w:r>
        <w:t>In conclusion, it is possible to say that while stimulating class recall with movement shows potential as an aide memoire, the pertinent factors which affected outcomes in the research as a whole were engagement and attitudes to learning.</w:t>
      </w:r>
      <w:r w:rsidR="00942A92">
        <w:t xml:space="preserve"> In concordance with what was seen in the relevant literature, it was clear from the research that</w:t>
      </w:r>
      <w:r w:rsidR="00713B59">
        <w:t xml:space="preserve"> critical factors in the success of recall were the immediacy of addressing the learned material by pairing with an aide memoire, and engagement with the material to be learned. </w:t>
      </w:r>
      <w:r w:rsidR="00021228">
        <w:t xml:space="preserve">This was borne out strongly in the research, with data indicating that students who engaged with the material (based on researcher observation) </w:t>
      </w:r>
      <w:r w:rsidR="00021228">
        <w:rPr>
          <w:i/>
          <w:iCs/>
        </w:rPr>
        <w:t xml:space="preserve">and </w:t>
      </w:r>
      <w:r w:rsidR="00021228">
        <w:t>used the stimulated recall strategy scored highest from the observed cohort. We could further conclude, based on interview data, that these students also showed a positive attitude to learning throughout, and thus were not constrained in their recall by a lack of attention to either the material or the strategy; subjects on the whole saw the value of quote learning, of recall, and of the strategy itself. While the lesson study format was effective in gathering data, a longer</w:t>
      </w:r>
      <w:r w:rsidR="00592B4D">
        <w:t>-</w:t>
      </w:r>
      <w:r w:rsidR="00021228">
        <w:t xml:space="preserve">term study </w:t>
      </w:r>
      <w:r w:rsidR="00592B4D">
        <w:t>of stimulated recall research may be necessary to weigh the ongoing value of the strategy in a scheme of work. While in the short term it seems that the strategies trialled here may have some impact, it is not possible to say conclusively from this study whether it will be of value to learners in the medium or long term.</w:t>
      </w:r>
    </w:p>
    <w:p w14:paraId="6E0241D4" w14:textId="00B7A513" w:rsidR="00942A92" w:rsidRDefault="00021228">
      <w:r>
        <w:t xml:space="preserve"> </w:t>
      </w:r>
      <w:r w:rsidR="00942A92">
        <w:t>In order to recommend ongoing strategies, it is necessary to be clear that while movement as a stimulus to recall provided inconclusive results, a wide variety of variables could be identified as having</w:t>
      </w:r>
      <w:r w:rsidR="006C6BC7">
        <w:t xml:space="preserve"> an impact on outcomes. While in the context of the research this may represent difficulty in establishing </w:t>
      </w:r>
      <w:r w:rsidR="00713B59">
        <w:t xml:space="preserve">the effectiveness of a given strategy, in the context of recommendations for both classes going forwards, these variables present the researchers with a range of options by which outcomes in lessons can be improved. While there exists a quandary of whether good engagement or effective pedagogy was the decisive factor in the positive outcomes of lessons conducted in the course of this research, the factors outside the taught strategy still present the researchers with avenues to improve their own practice. The crucial factor identified here, synthesised from an overview of the relevant literature and the </w:t>
      </w:r>
      <w:r w:rsidR="00A052AB">
        <w:t xml:space="preserve">data gathered , are that while stimulated recall presents a potentially useful pedagogical tool for teachers, energy and resources may best be spent further investigating placement of lessons in the most appropriate setting for the learning, and ensuring that conditions for good recall are met </w:t>
      </w:r>
      <w:r w:rsidR="00EE06CB">
        <w:t xml:space="preserve">securely </w:t>
      </w:r>
      <w:r w:rsidR="00A052AB">
        <w:t xml:space="preserve">prior to the </w:t>
      </w:r>
      <w:r w:rsidR="00EE06CB">
        <w:t>introduction of stimulated recall techniques.</w:t>
      </w:r>
      <w:r>
        <w:t xml:space="preserve"> This led the researchers, upon reflection, to suggest that movement-based strategies such as that researched here are best placed in movement-suitable environments, such as drama studios, while non-movement based stimulated recall could continue to be demonstrated in full classroom environments.</w:t>
      </w:r>
    </w:p>
    <w:p w14:paraId="54725A30" w14:textId="77777777" w:rsidR="003E22A1" w:rsidRDefault="003E22A1"/>
    <w:p w14:paraId="4A162380" w14:textId="4E5CC782" w:rsidR="00D000A8" w:rsidRDefault="00D000A8"/>
    <w:p w14:paraId="585EA72F" w14:textId="77777777" w:rsidR="00D000A8" w:rsidRDefault="00D000A8"/>
    <w:p w14:paraId="28BF0796" w14:textId="4392CF4C" w:rsidR="00F36835" w:rsidRDefault="00F36835"/>
    <w:p w14:paraId="72276D39" w14:textId="6D962302" w:rsidR="00F36835" w:rsidRDefault="00F36835"/>
    <w:p w14:paraId="33C9F4F2" w14:textId="65C6AD12" w:rsidR="00F36835" w:rsidRDefault="00F36835"/>
    <w:p w14:paraId="11EA7E7B" w14:textId="6C030095" w:rsidR="00F36835" w:rsidRDefault="00F36835"/>
    <w:p w14:paraId="6A38E2D5" w14:textId="11BB42C6" w:rsidR="00985BF2" w:rsidRDefault="00746B3D" w:rsidP="00985BF2">
      <w:pPr>
        <w:rPr>
          <w:b/>
          <w:bCs/>
        </w:rPr>
      </w:pPr>
      <w:r w:rsidRPr="00496690">
        <w:rPr>
          <w:b/>
          <w:bCs/>
        </w:rPr>
        <w:lastRenderedPageBreak/>
        <w:t>Reference List</w:t>
      </w:r>
    </w:p>
    <w:p w14:paraId="251CC1DE" w14:textId="11276DE8" w:rsidR="00985BF2" w:rsidRDefault="006D2C44" w:rsidP="00985BF2">
      <w:pPr>
        <w:rPr>
          <w:b/>
          <w:bCs/>
        </w:rPr>
      </w:pPr>
      <w:r>
        <w:t>Anderson et al.(2001). Taxonomy for Learning, Teaching, and Assessing: A Revision of Bloom's Taxonomy. New York, New York: Longman.</w:t>
      </w:r>
    </w:p>
    <w:p w14:paraId="026BE3E2" w14:textId="0785A6C7" w:rsidR="00985BF2" w:rsidRPr="00985BF2" w:rsidRDefault="00A125C0" w:rsidP="00985BF2">
      <w:r w:rsidRPr="00985BF2">
        <w:rPr>
          <w:rFonts w:cstheme="minorHAnsi"/>
        </w:rPr>
        <w:t>Bloom</w:t>
      </w:r>
      <w:r w:rsidR="00985BF2" w:rsidRPr="00985BF2">
        <w:rPr>
          <w:rFonts w:cstheme="minorHAnsi"/>
        </w:rPr>
        <w:t xml:space="preserve"> (1956). </w:t>
      </w:r>
      <w:r w:rsidR="00985BF2" w:rsidRPr="00985BF2">
        <w:rPr>
          <w:rFonts w:cstheme="minorHAnsi"/>
          <w:color w:val="333333"/>
        </w:rPr>
        <w:t>Taxonomy of Educational Objectives: The Classification of Educational Goals, Volume 2.</w:t>
      </w:r>
      <w:r w:rsidR="00985BF2">
        <w:rPr>
          <w:rFonts w:cstheme="minorHAnsi"/>
          <w:color w:val="333333"/>
        </w:rPr>
        <w:t xml:space="preserve"> New York: Longman.</w:t>
      </w:r>
    </w:p>
    <w:p w14:paraId="390B657C" w14:textId="229A50BB" w:rsidR="00496690" w:rsidRPr="001A4311" w:rsidRDefault="00496690">
      <w:pPr>
        <w:rPr>
          <w:i/>
          <w:iCs/>
        </w:rPr>
      </w:pPr>
      <w:r w:rsidRPr="001A4311">
        <w:t xml:space="preserve">Butterfield </w:t>
      </w:r>
      <w:r w:rsidR="001A4311" w:rsidRPr="001A4311">
        <w:t xml:space="preserve">and Dickerson (1976). Cognitive Theory and Mental Development. </w:t>
      </w:r>
      <w:r w:rsidR="001A4311" w:rsidRPr="001A4311">
        <w:rPr>
          <w:i/>
          <w:iCs/>
        </w:rPr>
        <w:t>International review of research in Mental Retardation.</w:t>
      </w:r>
      <w:r w:rsidR="001A4311">
        <w:rPr>
          <w:i/>
          <w:iCs/>
        </w:rPr>
        <w:t xml:space="preserve"> Vol 8, pp. 105-137.</w:t>
      </w:r>
    </w:p>
    <w:p w14:paraId="3094EE81" w14:textId="5A31DA3C" w:rsidR="00F36835" w:rsidRDefault="00496690">
      <w:r>
        <w:t xml:space="preserve">Cerbin, B. (2011). Lesson Study Using Classroom Inquiry to Improve Teaching </w:t>
      </w:r>
      <w:r w:rsidR="00424ACB">
        <w:t>a</w:t>
      </w:r>
      <w:r>
        <w:t>nd Learning in Higher Education. Sterling: Stylus.</w:t>
      </w:r>
    </w:p>
    <w:p w14:paraId="458E1D31" w14:textId="3B47D4EA" w:rsidR="004B4965" w:rsidRDefault="004B4965">
      <w:pPr>
        <w:rPr>
          <w:i/>
          <w:iCs/>
        </w:rPr>
      </w:pPr>
      <w:r>
        <w:t xml:space="preserve">Ericsson &amp; Simon (1980). Verbal Reports as Data. </w:t>
      </w:r>
      <w:r w:rsidRPr="004B4965">
        <w:rPr>
          <w:i/>
          <w:iCs/>
        </w:rPr>
        <w:t>Psychological Review. Vol. 87, No.3.</w:t>
      </w:r>
    </w:p>
    <w:p w14:paraId="4DBFF67D" w14:textId="1F300EFA" w:rsidR="006D2C44" w:rsidRPr="004B4965" w:rsidRDefault="006D2C44">
      <w:pPr>
        <w:rPr>
          <w:i/>
          <w:iCs/>
        </w:rPr>
      </w:pPr>
      <w:r>
        <w:t>Furst, E. (1994). “Bloom’s Taxonomy: Philosophical and Educational Issues.” In Anderson, L. and Sosniak, L. (Eds.) Bloom’s Taxonomy: A Forty-Year Retrospective (pp. 28-40) Chicago: The National Society for the Study of Education.</w:t>
      </w:r>
    </w:p>
    <w:p w14:paraId="2CA72F3D" w14:textId="4A23CB0F" w:rsidR="000555C5" w:rsidRDefault="000555C5">
      <w:r>
        <w:t xml:space="preserve">Gass, S. &amp; Mackey, A. (2000). </w:t>
      </w:r>
      <w:r w:rsidR="004B4965">
        <w:t>Stimulated Recall Methodology in Second Language Research. London: Lawrence Erlbaum Associates.</w:t>
      </w:r>
    </w:p>
    <w:p w14:paraId="217E80EF" w14:textId="6702CEBF" w:rsidR="002C21E7" w:rsidRDefault="002C21E7">
      <w:r>
        <w:t xml:space="preserve">Lyle (2003). Stimulated Recall: a report on its use in naturalistic research. </w:t>
      </w:r>
      <w:r w:rsidRPr="002C21E7">
        <w:rPr>
          <w:i/>
          <w:iCs/>
        </w:rPr>
        <w:t>British Educational Research Journal, Vol. 29, No. 6.</w:t>
      </w:r>
    </w:p>
    <w:p w14:paraId="059AB6BC" w14:textId="10D512A3" w:rsidR="00424ACB" w:rsidRDefault="00424ACB">
      <w:r>
        <w:t>Stough, L.M.</w:t>
      </w:r>
      <w:r w:rsidR="00A125C0">
        <w:t xml:space="preserve"> (2001). Using Stimulated Recall in Classroom Observation and Professional Development. </w:t>
      </w:r>
      <w:r w:rsidR="00A125C0" w:rsidRPr="004B4965">
        <w:rPr>
          <w:i/>
          <w:iCs/>
        </w:rPr>
        <w:t xml:space="preserve">Paper presented at the annual meeting of the American Educational Research Association </w:t>
      </w:r>
      <w:r w:rsidR="00985BF2" w:rsidRPr="004B4965">
        <w:rPr>
          <w:i/>
          <w:iCs/>
        </w:rPr>
        <w:t>14/10/2001</w:t>
      </w:r>
      <w:r w:rsidR="00985BF2">
        <w:t>.</w:t>
      </w:r>
    </w:p>
    <w:p w14:paraId="5938C417" w14:textId="7EB2D6D5" w:rsidR="003854E4" w:rsidRDefault="003854E4">
      <w:r>
        <w:t>Symonds, J. (</w:t>
      </w:r>
      <w:r w:rsidRPr="003854E4">
        <w:rPr>
          <w:rFonts w:cstheme="minorHAnsi"/>
        </w:rPr>
        <w:t xml:space="preserve">2015). </w:t>
      </w:r>
      <w:r w:rsidRPr="003854E4">
        <w:rPr>
          <w:rFonts w:cstheme="minorHAnsi"/>
          <w:shd w:val="clear" w:color="auto" w:fill="FFFFFF"/>
        </w:rPr>
        <w:t>Understanding School Transition: What happens to children and how to help them.</w:t>
      </w:r>
      <w:r w:rsidR="00CC5AE0">
        <w:rPr>
          <w:rFonts w:cstheme="minorHAnsi"/>
          <w:shd w:val="clear" w:color="auto" w:fill="FFFFFF"/>
        </w:rPr>
        <w:t xml:space="preserve"> Oxford: Routledge.</w:t>
      </w:r>
      <w:bookmarkStart w:id="0" w:name="_GoBack"/>
      <w:bookmarkEnd w:id="0"/>
    </w:p>
    <w:p w14:paraId="65A23276" w14:textId="1A76B69B" w:rsidR="00F36835" w:rsidRDefault="00F36835"/>
    <w:p w14:paraId="574814B3" w14:textId="034F004E" w:rsidR="00F36835" w:rsidRDefault="00F36835"/>
    <w:p w14:paraId="08CB6BAF" w14:textId="7EEEC6A7" w:rsidR="00F36835" w:rsidRDefault="00F36835"/>
    <w:p w14:paraId="294800B4" w14:textId="4A4FB050" w:rsidR="00F36835" w:rsidRDefault="00F36835"/>
    <w:p w14:paraId="6E2BCC5E" w14:textId="214C3427" w:rsidR="00F36835" w:rsidRDefault="00F36835"/>
    <w:p w14:paraId="03797558" w14:textId="659754C8" w:rsidR="00F36835" w:rsidRDefault="00F36835"/>
    <w:p w14:paraId="799C761D" w14:textId="026C213D" w:rsidR="00F36835" w:rsidRDefault="00F36835"/>
    <w:p w14:paraId="0943C774" w14:textId="084759A7" w:rsidR="00F36835" w:rsidRDefault="00F36835"/>
    <w:p w14:paraId="34472218" w14:textId="27F3B369" w:rsidR="00F36835" w:rsidRDefault="00F36835"/>
    <w:p w14:paraId="4B369B09" w14:textId="08E68496" w:rsidR="00F36835" w:rsidRDefault="00F36835"/>
    <w:p w14:paraId="0E791994" w14:textId="56D70740" w:rsidR="00F36835" w:rsidRDefault="00F36835"/>
    <w:p w14:paraId="123DFCD7" w14:textId="6F198EBB" w:rsidR="00F36835" w:rsidRDefault="00F36835"/>
    <w:p w14:paraId="428598D7" w14:textId="1A454228" w:rsidR="00F36835" w:rsidRDefault="00F36835"/>
    <w:p w14:paraId="6E07A809" w14:textId="36C64141" w:rsidR="00F36835" w:rsidRDefault="00F36835"/>
    <w:p w14:paraId="6EC22850" w14:textId="29916CC4" w:rsidR="00F36835" w:rsidRDefault="00F36835"/>
    <w:p w14:paraId="4B065DAA" w14:textId="4E442104" w:rsidR="00F36835" w:rsidRDefault="00F36835"/>
    <w:p w14:paraId="26B383A0" w14:textId="4FCD5D8D" w:rsidR="00F36835" w:rsidRDefault="00F36835"/>
    <w:p w14:paraId="148ACE8E" w14:textId="2C22D961" w:rsidR="00F36835" w:rsidRDefault="00F36835"/>
    <w:p w14:paraId="4FFA3621" w14:textId="4CFB6C4D" w:rsidR="00F36835" w:rsidRDefault="00F36835"/>
    <w:p w14:paraId="6476976B" w14:textId="349BCEB8" w:rsidR="00F36835" w:rsidRDefault="00F36835"/>
    <w:p w14:paraId="5856436E" w14:textId="0065C3F5" w:rsidR="00F36835" w:rsidRDefault="00F36835"/>
    <w:p w14:paraId="5B1B3E2E" w14:textId="3F2D630C" w:rsidR="00F36835" w:rsidRDefault="00F36835"/>
    <w:p w14:paraId="4B3DA0A5" w14:textId="1648B941" w:rsidR="00F36835" w:rsidRDefault="00F36835"/>
    <w:p w14:paraId="7EF7A7E2" w14:textId="7DF08EEC" w:rsidR="00F36835" w:rsidRDefault="00F36835"/>
    <w:p w14:paraId="10A7DD76" w14:textId="77777777" w:rsidR="00F36835" w:rsidRDefault="00F36835"/>
    <w:sectPr w:rsidR="00F3683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6AEEF" w14:textId="77777777" w:rsidR="00AE14AB" w:rsidRDefault="00AE14AB" w:rsidP="007D6C84">
      <w:pPr>
        <w:spacing w:after="0" w:line="240" w:lineRule="auto"/>
      </w:pPr>
      <w:r>
        <w:separator/>
      </w:r>
    </w:p>
  </w:endnote>
  <w:endnote w:type="continuationSeparator" w:id="0">
    <w:p w14:paraId="7857A038" w14:textId="77777777" w:rsidR="00AE14AB" w:rsidRDefault="00AE14AB" w:rsidP="007D6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419F9" w14:textId="77777777" w:rsidR="00AE14AB" w:rsidRDefault="00AE14AB" w:rsidP="007D6C84">
      <w:pPr>
        <w:spacing w:after="0" w:line="240" w:lineRule="auto"/>
      </w:pPr>
      <w:r>
        <w:separator/>
      </w:r>
    </w:p>
  </w:footnote>
  <w:footnote w:type="continuationSeparator" w:id="0">
    <w:p w14:paraId="0C2B6833" w14:textId="77777777" w:rsidR="00AE14AB" w:rsidRDefault="00AE14AB" w:rsidP="007D6C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82412" w14:textId="5E24AE9C" w:rsidR="00AE14AB" w:rsidRDefault="00AE14AB" w:rsidP="007D6C84">
    <w:pPr>
      <w:pStyle w:val="Header"/>
      <w:tabs>
        <w:tab w:val="clear" w:pos="4513"/>
      </w:tabs>
    </w:pPr>
    <w:r>
      <w:t>1905753</w:t>
    </w:r>
    <w:r>
      <w:tab/>
      <w:t>ECAD7004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0E6EA5"/>
    <w:multiLevelType w:val="hybridMultilevel"/>
    <w:tmpl w:val="7A36E22A"/>
    <w:lvl w:ilvl="0" w:tplc="838AAB8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A445FC"/>
    <w:multiLevelType w:val="hybridMultilevel"/>
    <w:tmpl w:val="F5F69712"/>
    <w:lvl w:ilvl="0" w:tplc="8B3C1DE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C23"/>
    <w:rsid w:val="00006CFF"/>
    <w:rsid w:val="00021228"/>
    <w:rsid w:val="0003482F"/>
    <w:rsid w:val="00051490"/>
    <w:rsid w:val="000555C5"/>
    <w:rsid w:val="000B2D43"/>
    <w:rsid w:val="000B505D"/>
    <w:rsid w:val="000B620C"/>
    <w:rsid w:val="00111C0B"/>
    <w:rsid w:val="0011307E"/>
    <w:rsid w:val="0019451A"/>
    <w:rsid w:val="001A4311"/>
    <w:rsid w:val="001A7161"/>
    <w:rsid w:val="002135CD"/>
    <w:rsid w:val="00216A5E"/>
    <w:rsid w:val="0023557E"/>
    <w:rsid w:val="00270E2E"/>
    <w:rsid w:val="002C21E7"/>
    <w:rsid w:val="002F14DE"/>
    <w:rsid w:val="00325595"/>
    <w:rsid w:val="0036128D"/>
    <w:rsid w:val="0037597A"/>
    <w:rsid w:val="003854E4"/>
    <w:rsid w:val="003A0EA5"/>
    <w:rsid w:val="003E22A1"/>
    <w:rsid w:val="00424ACB"/>
    <w:rsid w:val="00473653"/>
    <w:rsid w:val="004767BC"/>
    <w:rsid w:val="0048683A"/>
    <w:rsid w:val="00496690"/>
    <w:rsid w:val="004A1976"/>
    <w:rsid w:val="004B4965"/>
    <w:rsid w:val="004E39AD"/>
    <w:rsid w:val="004E4A0E"/>
    <w:rsid w:val="00514B93"/>
    <w:rsid w:val="005237DE"/>
    <w:rsid w:val="00545B29"/>
    <w:rsid w:val="00561E00"/>
    <w:rsid w:val="00592B4D"/>
    <w:rsid w:val="005A0302"/>
    <w:rsid w:val="005A66B8"/>
    <w:rsid w:val="005B2421"/>
    <w:rsid w:val="00617C50"/>
    <w:rsid w:val="006446D7"/>
    <w:rsid w:val="006C6BC7"/>
    <w:rsid w:val="006C7ED0"/>
    <w:rsid w:val="006D2C44"/>
    <w:rsid w:val="00713B59"/>
    <w:rsid w:val="00740266"/>
    <w:rsid w:val="00746B3D"/>
    <w:rsid w:val="00783B1A"/>
    <w:rsid w:val="007D5302"/>
    <w:rsid w:val="007D6C84"/>
    <w:rsid w:val="00800554"/>
    <w:rsid w:val="00801E6D"/>
    <w:rsid w:val="00844A9C"/>
    <w:rsid w:val="00854161"/>
    <w:rsid w:val="00876253"/>
    <w:rsid w:val="008F13D2"/>
    <w:rsid w:val="009014C9"/>
    <w:rsid w:val="00934A62"/>
    <w:rsid w:val="00942A92"/>
    <w:rsid w:val="00963928"/>
    <w:rsid w:val="009644BC"/>
    <w:rsid w:val="009733BD"/>
    <w:rsid w:val="00980AB8"/>
    <w:rsid w:val="00985BF2"/>
    <w:rsid w:val="00995BD1"/>
    <w:rsid w:val="00997358"/>
    <w:rsid w:val="009B27B8"/>
    <w:rsid w:val="00A0014F"/>
    <w:rsid w:val="00A052AB"/>
    <w:rsid w:val="00A125C0"/>
    <w:rsid w:val="00A22C4F"/>
    <w:rsid w:val="00A41ADD"/>
    <w:rsid w:val="00A43320"/>
    <w:rsid w:val="00A4458B"/>
    <w:rsid w:val="00A73FC0"/>
    <w:rsid w:val="00A97F8E"/>
    <w:rsid w:val="00AC1F94"/>
    <w:rsid w:val="00AC3195"/>
    <w:rsid w:val="00AD078C"/>
    <w:rsid w:val="00AE14AB"/>
    <w:rsid w:val="00B00167"/>
    <w:rsid w:val="00B1429A"/>
    <w:rsid w:val="00B6267B"/>
    <w:rsid w:val="00B903F5"/>
    <w:rsid w:val="00BC4EFA"/>
    <w:rsid w:val="00BF5BD4"/>
    <w:rsid w:val="00C0370F"/>
    <w:rsid w:val="00C33EEE"/>
    <w:rsid w:val="00C46C23"/>
    <w:rsid w:val="00CA19D8"/>
    <w:rsid w:val="00CA6C6D"/>
    <w:rsid w:val="00CC5AE0"/>
    <w:rsid w:val="00D000A8"/>
    <w:rsid w:val="00D13C70"/>
    <w:rsid w:val="00D1530A"/>
    <w:rsid w:val="00D84EF7"/>
    <w:rsid w:val="00D94251"/>
    <w:rsid w:val="00DA7BEC"/>
    <w:rsid w:val="00DC4DDC"/>
    <w:rsid w:val="00E06772"/>
    <w:rsid w:val="00E22E50"/>
    <w:rsid w:val="00E2754E"/>
    <w:rsid w:val="00E65708"/>
    <w:rsid w:val="00EB37FE"/>
    <w:rsid w:val="00EC5B16"/>
    <w:rsid w:val="00ED2FA5"/>
    <w:rsid w:val="00EE06CB"/>
    <w:rsid w:val="00F17FF9"/>
    <w:rsid w:val="00F2073A"/>
    <w:rsid w:val="00F36835"/>
    <w:rsid w:val="00F73305"/>
    <w:rsid w:val="00FB62E2"/>
    <w:rsid w:val="00FC004B"/>
    <w:rsid w:val="00FD011A"/>
    <w:rsid w:val="00FD4C71"/>
    <w:rsid w:val="00FE3CBF"/>
    <w:rsid w:val="00FE3FFA"/>
    <w:rsid w:val="00FE6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885D0"/>
  <w15:chartTrackingRefBased/>
  <w15:docId w15:val="{DFE6FCA1-E649-48B6-B9A0-04F3D3CAA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985B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BF2"/>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985BF2"/>
  </w:style>
  <w:style w:type="character" w:customStyle="1" w:styleId="Subtitle1">
    <w:name w:val="Subtitle1"/>
    <w:basedOn w:val="DefaultParagraphFont"/>
    <w:rsid w:val="00985BF2"/>
  </w:style>
  <w:style w:type="paragraph" w:styleId="ListParagraph">
    <w:name w:val="List Paragraph"/>
    <w:basedOn w:val="Normal"/>
    <w:uiPriority w:val="34"/>
    <w:qFormat/>
    <w:rsid w:val="0023557E"/>
    <w:pPr>
      <w:ind w:left="720"/>
      <w:contextualSpacing/>
    </w:pPr>
  </w:style>
  <w:style w:type="paragraph" w:styleId="Header">
    <w:name w:val="header"/>
    <w:basedOn w:val="Normal"/>
    <w:link w:val="HeaderChar"/>
    <w:uiPriority w:val="99"/>
    <w:unhideWhenUsed/>
    <w:rsid w:val="007D6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C84"/>
  </w:style>
  <w:style w:type="paragraph" w:styleId="Footer">
    <w:name w:val="footer"/>
    <w:basedOn w:val="Normal"/>
    <w:link w:val="FooterChar"/>
    <w:uiPriority w:val="99"/>
    <w:unhideWhenUsed/>
    <w:rsid w:val="007D6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C84"/>
  </w:style>
  <w:style w:type="character" w:styleId="Hyperlink">
    <w:name w:val="Hyperlink"/>
    <w:basedOn w:val="DefaultParagraphFont"/>
    <w:uiPriority w:val="99"/>
    <w:semiHidden/>
    <w:unhideWhenUsed/>
    <w:rsid w:val="003854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0913">
      <w:bodyDiv w:val="1"/>
      <w:marLeft w:val="0"/>
      <w:marRight w:val="0"/>
      <w:marTop w:val="0"/>
      <w:marBottom w:val="0"/>
      <w:divBdr>
        <w:top w:val="none" w:sz="0" w:space="0" w:color="auto"/>
        <w:left w:val="none" w:sz="0" w:space="0" w:color="auto"/>
        <w:bottom w:val="none" w:sz="0" w:space="0" w:color="auto"/>
        <w:right w:val="none" w:sz="0" w:space="0" w:color="auto"/>
      </w:divBdr>
    </w:div>
    <w:div w:id="1133720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1941</TotalTime>
  <Pages>8</Pages>
  <Words>3942</Words>
  <Characters>22474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John (1905753)</dc:creator>
  <cp:keywords/>
  <dc:description/>
  <cp:lastModifiedBy>Rhys John (1905753)</cp:lastModifiedBy>
  <cp:revision>21</cp:revision>
  <dcterms:created xsi:type="dcterms:W3CDTF">2020-02-21T12:45:00Z</dcterms:created>
  <dcterms:modified xsi:type="dcterms:W3CDTF">2020-02-23T21:57:00Z</dcterms:modified>
</cp:coreProperties>
</file>