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Cambria" w:hAnsi="Cambria" w:cs="Cambria" w:eastAsia="Cambria"/>
          <w:b/>
          <w:color w:val="auto"/>
          <w:spacing w:val="0"/>
          <w:position w:val="0"/>
          <w:sz w:val="24"/>
          <w:shd w:fill="auto" w:val="clear"/>
        </w:rPr>
      </w:pPr>
    </w:p>
    <w:p>
      <w:pPr>
        <w:spacing w:before="0" w:after="200" w:line="276"/>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Submitted by:</w:t>
      </w:r>
      <w:r>
        <w:rPr>
          <w:rFonts w:ascii="Calibri" w:hAnsi="Calibri" w:cs="Calibri" w:eastAsia="Calibri"/>
          <w:color w:val="auto"/>
          <w:spacing w:val="0"/>
          <w:position w:val="0"/>
          <w:sz w:val="22"/>
          <w:shd w:fill="auto" w:val="clear"/>
        </w:rPr>
        <w:t xml:space="preserve">Petre Violeta Nicoleta</w:t>
      </w:r>
    </w:p>
    <w:p>
      <w:pPr>
        <w:spacing w:before="0" w:after="200" w:line="276"/>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Student Number</w:t>
      </w:r>
      <w:r>
        <w:rPr>
          <w:rFonts w:ascii="Calibri" w:hAnsi="Calibri" w:cs="Calibri" w:eastAsia="Calibri"/>
          <w:color w:val="auto"/>
          <w:spacing w:val="0"/>
          <w:position w:val="0"/>
          <w:sz w:val="22"/>
          <w:shd w:fill="auto" w:val="clear"/>
        </w:rPr>
        <w:t xml:space="preserve">:1817473</w:t>
      </w:r>
    </w:p>
    <w:p>
      <w:pPr>
        <w:spacing w:before="0" w:after="200" w:line="276"/>
        <w:ind w:right="0" w:left="0" w:firstLine="0"/>
        <w:jc w:val="center"/>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Module Title</w:t>
      </w:r>
      <w:r>
        <w:rPr>
          <w:rFonts w:ascii="Calibri" w:hAnsi="Calibri" w:cs="Calibri" w:eastAsia="Calibri"/>
          <w:b/>
          <w:color w:val="auto"/>
          <w:spacing w:val="0"/>
          <w:position w:val="0"/>
          <w:sz w:val="22"/>
          <w:shd w:fill="auto" w:val="clear"/>
        </w:rPr>
        <w:t xml:space="preserve">:</w:t>
      </w:r>
      <w:r>
        <w:rPr>
          <w:rFonts w:ascii="Calibri" w:hAnsi="Calibri" w:cs="Calibri" w:eastAsia="Calibri"/>
          <w:color w:val="auto"/>
          <w:spacing w:val="-10"/>
          <w:position w:val="0"/>
          <w:sz w:val="22"/>
          <w:shd w:fill="auto" w:val="clear"/>
        </w:rPr>
        <w:t xml:space="preserve">Global Business Environment (LCBB4005)</w:t>
      </w:r>
    </w:p>
    <w:p>
      <w:pPr>
        <w:spacing w:before="0" w:after="200" w:line="276"/>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Assignment Title:</w:t>
      </w:r>
      <w:r>
        <w:rPr>
          <w:rFonts w:ascii="Calibri" w:hAnsi="Calibri" w:cs="Calibri" w:eastAsia="Calibri"/>
          <w:color w:val="auto"/>
          <w:spacing w:val="0"/>
          <w:position w:val="0"/>
          <w:sz w:val="22"/>
          <w:shd w:fill="auto" w:val="clear"/>
        </w:rPr>
        <w:t xml:space="preserve">"Global Business Environment ( Assessment-1)"</w:t>
      </w:r>
    </w:p>
    <w:p>
      <w:pPr>
        <w:spacing w:before="0" w:after="200" w:line="276"/>
        <w:ind w:right="0" w:left="0" w:firstLine="0"/>
        <w:jc w:val="center"/>
        <w:rPr>
          <w:rFonts w:ascii="Calibri Light" w:hAnsi="Calibri Light" w:cs="Calibri Light" w:eastAsia="Calibri Light"/>
          <w:color w:val="auto"/>
          <w:spacing w:val="-10"/>
          <w:position w:val="0"/>
          <w:sz w:val="56"/>
          <w:shd w:fill="auto" w:val="clear"/>
        </w:rPr>
      </w:pPr>
      <w:r>
        <w:rPr>
          <w:rFonts w:ascii="Calibri" w:hAnsi="Calibri" w:cs="Calibri" w:eastAsia="Calibri"/>
          <w:b/>
          <w:color w:val="auto"/>
          <w:spacing w:val="0"/>
          <w:position w:val="0"/>
          <w:sz w:val="22"/>
          <w:shd w:fill="auto" w:val="clear"/>
        </w:rPr>
        <w:t xml:space="preserve">Module Lecturer`s Name:</w:t>
      </w:r>
      <w:r>
        <w:rPr>
          <w:rFonts w:ascii="Calibri" w:hAnsi="Calibri" w:cs="Calibri" w:eastAsia="Calibri"/>
          <w:color w:val="auto"/>
          <w:spacing w:val="0"/>
          <w:position w:val="0"/>
          <w:sz w:val="22"/>
          <w:shd w:fill="auto" w:val="clear"/>
        </w:rPr>
        <w:t xml:space="preserve">Kenny Tang</w:t>
      </w:r>
    </w:p>
    <w:p>
      <w:pPr>
        <w:spacing w:before="0" w:after="160" w:line="259"/>
        <w:ind w:right="0" w:left="0" w:firstLine="0"/>
        <w:jc w:val="left"/>
        <w:rPr>
          <w:rFonts w:ascii="Calibri Light" w:hAnsi="Calibri Light" w:cs="Calibri Light" w:eastAsia="Calibri Light"/>
          <w:color w:val="2E74B5"/>
          <w:spacing w:val="0"/>
          <w:position w:val="0"/>
          <w:sz w:val="32"/>
          <w:shd w:fill="auto" w:val="clear"/>
        </w:rPr>
      </w:pPr>
    </w:p>
    <w:p>
      <w:pPr>
        <w:keepNext w:val="true"/>
        <w:keepLines w:val="true"/>
        <w:spacing w:before="240" w:after="0" w:line="259"/>
        <w:ind w:right="0" w:left="0" w:firstLine="0"/>
        <w:jc w:val="left"/>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Introduction</w:t>
      </w:r>
    </w:p>
    <w:p>
      <w:pPr>
        <w:spacing w:before="0" w:after="160" w:line="360"/>
        <w:ind w:right="0" w:left="0" w:firstLine="0"/>
        <w:jc w:val="center"/>
        <w:rPr>
          <w:rFonts w:ascii="Cambria" w:hAnsi="Cambria" w:cs="Cambria" w:eastAsia="Cambria"/>
          <w:b/>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Since the advent of the internal combustion engine more than a century ago, the automotive industry has never advanced so much as in the past decade. With global warming becoming a reality rather than a looming future possibility, electric vehicle manufacturers are scrambling to address the effects of adverse climate change by embracing the “green movement” that is sweeping the world. The most visible chapter of “going green” is the gradual decline of the use of fossil fuels. It has been established that the use of fossil fuels is adversely affecting global warming. Hence the switch from fossil fuels to electricity in the automotive industry.</w:t>
      </w:r>
    </w:p>
    <w:p>
      <w:pPr>
        <w:spacing w:before="0" w:after="160" w:line="360"/>
        <w:ind w:right="0" w:left="0" w:firstLine="0"/>
        <w:jc w:val="both"/>
        <w:rPr>
          <w:rFonts w:ascii="Cambria" w:hAnsi="Cambria" w:cs="Cambria" w:eastAsia="Cambria"/>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p>
    <w:p>
      <w:pPr>
        <w:keepNext w:val="true"/>
        <w:keepLines w:val="true"/>
        <w:spacing w:before="40" w:after="0" w:line="259"/>
        <w:ind w:right="0" w:left="0" w:firstLine="0"/>
        <w:jc w:val="center"/>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PESTEL Analysis of the business environment of the car manufacturing industry</w:t>
      </w:r>
    </w:p>
    <w:p>
      <w:pPr>
        <w:spacing w:before="0" w:after="160" w:line="360"/>
        <w:ind w:right="0" w:left="0" w:firstLine="0"/>
        <w:jc w:val="center"/>
        <w:rPr>
          <w:rFonts w:ascii="Cambria" w:hAnsi="Cambria" w:cs="Cambria" w:eastAsia="Cambria"/>
          <w:color w:val="auto"/>
          <w:spacing w:val="0"/>
          <w:position w:val="0"/>
          <w:sz w:val="24"/>
          <w:shd w:fill="auto" w:val="clear"/>
        </w:rPr>
      </w:pPr>
    </w:p>
    <w:p>
      <w:pPr>
        <w:spacing w:before="0" w:after="160" w:line="360"/>
        <w:ind w:right="0" w:left="0" w:firstLine="0"/>
        <w:jc w:val="center"/>
        <w:rPr>
          <w:rFonts w:ascii="Cambria" w:hAnsi="Cambria" w:cs="Cambria" w:eastAsia="Cambria"/>
          <w:color w:val="auto"/>
          <w:spacing w:val="0"/>
          <w:position w:val="0"/>
          <w:sz w:val="24"/>
          <w:shd w:fill="auto" w:val="clear"/>
        </w:rPr>
      </w:pPr>
    </w:p>
    <w:p>
      <w:pPr>
        <w:spacing w:before="0" w:after="160" w:line="360"/>
        <w:ind w:right="0" w:left="0" w:firstLine="0"/>
        <w:jc w:val="center"/>
        <w:rPr>
          <w:rFonts w:ascii="Cambria" w:hAnsi="Cambria" w:cs="Cambria" w:eastAsia="Cambria"/>
          <w:color w:val="auto"/>
          <w:spacing w:val="0"/>
          <w:position w:val="0"/>
          <w:sz w:val="24"/>
          <w:shd w:fill="auto" w:val="clear"/>
        </w:rPr>
      </w:pPr>
      <w:r>
        <w:rPr>
          <w:rFonts w:ascii="Cambria" w:hAnsi="Cambria" w:cs="Cambria" w:eastAsia="Cambria"/>
          <w:b/>
          <w:color w:val="auto"/>
          <w:spacing w:val="0"/>
          <w:position w:val="0"/>
          <w:sz w:val="24"/>
          <w:shd w:fill="auto" w:val="clear"/>
        </w:rPr>
        <w:t xml:space="preserve">Source: </w:t>
      </w:r>
      <w:r>
        <w:rPr>
          <w:rFonts w:ascii="Cambria" w:hAnsi="Cambria" w:cs="Cambria" w:eastAsia="Cambria"/>
          <w:color w:val="auto"/>
          <w:spacing w:val="0"/>
          <w:position w:val="0"/>
          <w:sz w:val="24"/>
          <w:shd w:fill="auto" w:val="clear"/>
        </w:rPr>
        <w:t xml:space="preserve">(</w:t>
      </w:r>
      <w:r>
        <w:rPr>
          <w:rFonts w:ascii="Cambria" w:hAnsi="Cambria" w:cs="Cambria" w:eastAsia="Cambria"/>
          <w:color w:val="auto"/>
          <w:spacing w:val="0"/>
          <w:position w:val="0"/>
          <w:sz w:val="24"/>
          <w:shd w:fill="FFFFFF" w:val="clear"/>
        </w:rPr>
        <w:t xml:space="preserve">Makos, 2015)</w:t>
      </w:r>
    </w:p>
    <w:p>
      <w:pPr>
        <w:spacing w:before="0" w:after="160" w:line="360"/>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The PESTEL model is a strategic management tool that is used to analyse the external forces which influence the activities of a company or an industry.</w:t>
      </w:r>
    </w:p>
    <w:p>
      <w:pPr>
        <w:numPr>
          <w:ilvl w:val="0"/>
          <w:numId w:val="10"/>
        </w:numPr>
        <w:spacing w:before="0" w:after="160" w:line="360"/>
        <w:ind w:right="0" w:left="72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u w:val="single"/>
          <w:shd w:fill="auto" w:val="clear"/>
        </w:rPr>
        <w:t xml:space="preserve">Political:</w:t>
      </w:r>
      <w:r>
        <w:rPr>
          <w:rFonts w:ascii="Cambria" w:hAnsi="Cambria" w:cs="Cambria" w:eastAsia="Cambria"/>
          <w:color w:val="auto"/>
          <w:spacing w:val="0"/>
          <w:position w:val="0"/>
          <w:sz w:val="24"/>
          <w:shd w:fill="auto" w:val="clear"/>
        </w:rPr>
        <w:t xml:space="preserve"> Currently, European nations are in a state of transition from conventional internal combustion cars to electric vehicles. In order to stimulate growth and acceptance of electric vehicles, European governments are rolling out incentives to both the supply and demand sides; such as subsidies, tax breaks, and special driving privileges </w:t>
      </w:r>
      <w:r>
        <w:rPr>
          <w:rFonts w:ascii="Cambria" w:hAnsi="Cambria" w:cs="Cambria" w:eastAsia="Cambria"/>
          <w:color w:val="auto"/>
          <w:spacing w:val="0"/>
          <w:position w:val="0"/>
          <w:sz w:val="24"/>
          <w:shd w:fill="FFFFFF" w:val="clear"/>
        </w:rPr>
        <w:t xml:space="preserve">(Anon, 2015)</w:t>
      </w:r>
      <w:r>
        <w:rPr>
          <w:rFonts w:ascii="Cambria" w:hAnsi="Cambria" w:cs="Cambria" w:eastAsia="Cambria"/>
          <w:color w:val="auto"/>
          <w:spacing w:val="0"/>
          <w:position w:val="0"/>
          <w:sz w:val="24"/>
          <w:shd w:fill="auto" w:val="clear"/>
        </w:rPr>
        <w:t xml:space="preserve">.</w:t>
      </w:r>
    </w:p>
    <w:p>
      <w:pPr>
        <w:numPr>
          <w:ilvl w:val="0"/>
          <w:numId w:val="10"/>
        </w:numPr>
        <w:spacing w:before="0" w:after="160" w:line="360"/>
        <w:ind w:right="0" w:left="72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u w:val="single"/>
          <w:shd w:fill="auto" w:val="clear"/>
        </w:rPr>
        <w:t xml:space="preserve">Economic:</w:t>
      </w:r>
      <w:r>
        <w:rPr>
          <w:rFonts w:ascii="Cambria" w:hAnsi="Cambria" w:cs="Cambria" w:eastAsia="Cambria"/>
          <w:color w:val="auto"/>
          <w:spacing w:val="0"/>
          <w:position w:val="0"/>
          <w:sz w:val="24"/>
          <w:shd w:fill="auto" w:val="clear"/>
        </w:rPr>
        <w:t xml:space="preserve"> Although electric vehicle adoption is mostly restricted to the high-income groups at the moment, the trend is gradually picking up momentum and all income groups are beginning to show an interest in purchasing electric vehicles. This is because of the undeniable fact that electric vehicles not only help reduce emissions but also are cost effective mobility solutions for customers who live in densely populated areas such as megacities. </w:t>
      </w:r>
    </w:p>
    <w:p>
      <w:pPr>
        <w:numPr>
          <w:ilvl w:val="0"/>
          <w:numId w:val="10"/>
        </w:numPr>
        <w:spacing w:before="0" w:after="160" w:line="360"/>
        <w:ind w:right="0" w:left="72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u w:val="single"/>
          <w:shd w:fill="auto" w:val="clear"/>
        </w:rPr>
        <w:t xml:space="preserve">Socio-cultural:</w:t>
      </w:r>
      <w:r>
        <w:rPr>
          <w:rFonts w:ascii="Cambria" w:hAnsi="Cambria" w:cs="Cambria" w:eastAsia="Cambria"/>
          <w:color w:val="auto"/>
          <w:spacing w:val="0"/>
          <w:position w:val="0"/>
          <w:sz w:val="24"/>
          <w:shd w:fill="auto" w:val="clear"/>
        </w:rPr>
        <w:t xml:space="preserve"> Growing awareness about global warming and its contributors not just among the consumers but also amongst the vehicle manufacturers is the main driving force behind the electric vehicle phenomenon. Customers are increasingly concerned not only about the environmental benefits but also the lowered total cost of ownership by using electric vehicles. Rising literacy levels across Europe is also to be credited for the demand of electric vehicles. People are getting more educated on the ill effects of the use of fossil fuels on their environment and what it means for the future generation. Escalating world population is also another factor behind the demand of electric vehicles. As megacities continue to be formed and population densities are ever increasing, it has become indispensable to cut down on transportation costs by consuming less fuel. The electric vehicle is an excellent choice to use a low cost, high gain mobility solution for megacity dwellers </w:t>
      </w:r>
      <w:r>
        <w:rPr>
          <w:rFonts w:ascii="Cambria" w:hAnsi="Cambria" w:cs="Cambria" w:eastAsia="Cambria"/>
          <w:color w:val="auto"/>
          <w:spacing w:val="0"/>
          <w:position w:val="0"/>
          <w:sz w:val="24"/>
          <w:shd w:fill="FFFFFF" w:val="clear"/>
        </w:rPr>
        <w:t xml:space="preserve">(Makos and Makos, 2015)</w:t>
      </w:r>
      <w:r>
        <w:rPr>
          <w:rFonts w:ascii="Cambria" w:hAnsi="Cambria" w:cs="Cambria" w:eastAsia="Cambria"/>
          <w:color w:val="auto"/>
          <w:spacing w:val="0"/>
          <w:position w:val="0"/>
          <w:sz w:val="24"/>
          <w:shd w:fill="auto" w:val="clear"/>
        </w:rPr>
        <w:t xml:space="preserve">.</w:t>
      </w:r>
    </w:p>
    <w:p>
      <w:pPr>
        <w:numPr>
          <w:ilvl w:val="0"/>
          <w:numId w:val="10"/>
        </w:numPr>
        <w:spacing w:before="0" w:after="160" w:line="360"/>
        <w:ind w:right="0" w:left="72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u w:val="single"/>
          <w:shd w:fill="auto" w:val="clear"/>
        </w:rPr>
        <w:t xml:space="preserve">Technological:</w:t>
      </w:r>
      <w:r>
        <w:rPr>
          <w:rFonts w:ascii="Cambria" w:hAnsi="Cambria" w:cs="Cambria" w:eastAsia="Cambria"/>
          <w:color w:val="auto"/>
          <w:spacing w:val="0"/>
          <w:position w:val="0"/>
          <w:sz w:val="24"/>
          <w:shd w:fill="auto" w:val="clear"/>
        </w:rPr>
        <w:t xml:space="preserve"> Advances in battery and electric powertrain technologies have led to higher capacity batteries and more efficient electric motors. Consequently, the range of the electric vehicle has been increased making it feasible for customers who commute long distances to switch from conventional internal combustion engine vehicles to electric vehicles. Moreover, technological developments in the charging infrastructure has led to the setting up of fast charging stations up and down Europe which will reduce the time spent at charging stations making it convenient for drivers of electric vehicles to recharge on the go </w:t>
      </w:r>
      <w:r>
        <w:rPr>
          <w:rFonts w:ascii="Cambria" w:hAnsi="Cambria" w:cs="Cambria" w:eastAsia="Cambria"/>
          <w:color w:val="auto"/>
          <w:spacing w:val="0"/>
          <w:position w:val="0"/>
          <w:sz w:val="24"/>
          <w:shd w:fill="FFFFFF" w:val="clear"/>
        </w:rPr>
        <w:t xml:space="preserve">(PESTLE Analysis, 2015)</w:t>
      </w:r>
      <w:r>
        <w:rPr>
          <w:rFonts w:ascii="Cambria" w:hAnsi="Cambria" w:cs="Cambria" w:eastAsia="Cambria"/>
          <w:color w:val="auto"/>
          <w:spacing w:val="0"/>
          <w:position w:val="0"/>
          <w:sz w:val="24"/>
          <w:shd w:fill="auto" w:val="clear"/>
        </w:rPr>
        <w:t xml:space="preserve">.</w:t>
      </w:r>
    </w:p>
    <w:p>
      <w:pPr>
        <w:numPr>
          <w:ilvl w:val="0"/>
          <w:numId w:val="10"/>
        </w:numPr>
        <w:spacing w:before="0" w:after="160" w:line="360"/>
        <w:ind w:right="0" w:left="72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u w:val="single"/>
          <w:shd w:fill="auto" w:val="clear"/>
        </w:rPr>
        <w:t xml:space="preserve">Ecological:</w:t>
      </w:r>
      <w:r>
        <w:rPr>
          <w:rFonts w:ascii="Cambria" w:hAnsi="Cambria" w:cs="Cambria" w:eastAsia="Cambria"/>
          <w:color w:val="auto"/>
          <w:spacing w:val="0"/>
          <w:position w:val="0"/>
          <w:sz w:val="24"/>
          <w:shd w:fill="auto" w:val="clear"/>
        </w:rPr>
        <w:t xml:space="preserve"> European governments have set their respective national targets to reduce emissions, increase energy independence, and contribute to the slowing down of global warming. The adoption of electric vehicles and gradual weaning off of fossil fuel driven internal combustion engine vehicles are the primary factors behind this goal. Sustained investments in renewable energies such as wind and solar has yielded such high-power yields that to prevent backflow of the national grid, sometimes these renewable power farms must be shut down. Electric vehicles could use this excess power all the while generating no derogatory effects for the environment. Recycling of battery components is already a huge business and is yielding dividends for the environment. Recycling can become an industry on its own if properly planned and implemented.</w:t>
      </w:r>
    </w:p>
    <w:p>
      <w:pPr>
        <w:numPr>
          <w:ilvl w:val="0"/>
          <w:numId w:val="10"/>
        </w:numPr>
        <w:spacing w:before="0" w:after="160" w:line="360"/>
        <w:ind w:right="0" w:left="72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u w:val="single"/>
          <w:shd w:fill="auto" w:val="clear"/>
        </w:rPr>
        <w:t xml:space="preserve">Legal:</w:t>
      </w:r>
      <w:r>
        <w:rPr>
          <w:rFonts w:ascii="Cambria" w:hAnsi="Cambria" w:cs="Cambria" w:eastAsia="Cambria"/>
          <w:color w:val="auto"/>
          <w:spacing w:val="0"/>
          <w:position w:val="0"/>
          <w:sz w:val="24"/>
          <w:shd w:fill="auto" w:val="clear"/>
        </w:rPr>
        <w:t xml:space="preserve"> European governments are laying the groundwork for ambitious and sustained electric vehicle adoption by rolling out increasingly tightening regulations intended to force manufacturers to switch to production of electric vehicles and its components. As has been stated in this case, Volvo has committed itself to producing only internal combustion engine vehicles with an electric motor from now onwards. It is inevitable that other European car manufacturers will follow Volvo’s lead due in no small part to the increasing demand for electric vehicles by customers both corporate and individual </w:t>
      </w:r>
      <w:r>
        <w:rPr>
          <w:rFonts w:ascii="Cambria" w:hAnsi="Cambria" w:cs="Cambria" w:eastAsia="Cambria"/>
          <w:color w:val="auto"/>
          <w:spacing w:val="0"/>
          <w:position w:val="0"/>
          <w:sz w:val="24"/>
          <w:shd w:fill="FFFFFF" w:val="clear"/>
        </w:rPr>
        <w:t xml:space="preserve">(Basterretxea and Albizu, 2010)</w:t>
      </w:r>
      <w:r>
        <w:rPr>
          <w:rFonts w:ascii="Cambria" w:hAnsi="Cambria" w:cs="Cambria" w:eastAsia="Cambria"/>
          <w:color w:val="auto"/>
          <w:spacing w:val="0"/>
          <w:position w:val="0"/>
          <w:sz w:val="24"/>
          <w:shd w:fill="auto" w:val="clear"/>
        </w:rPr>
        <w:t xml:space="preserve">.</w:t>
      </w:r>
    </w:p>
    <w:p>
      <w:pPr>
        <w:spacing w:before="0" w:after="160" w:line="360"/>
        <w:ind w:right="0" w:left="0" w:firstLine="0"/>
        <w:jc w:val="both"/>
        <w:rPr>
          <w:rFonts w:ascii="Cambria" w:hAnsi="Cambria" w:cs="Cambria" w:eastAsia="Cambria"/>
          <w:color w:val="auto"/>
          <w:spacing w:val="0"/>
          <w:position w:val="0"/>
          <w:sz w:val="24"/>
          <w:shd w:fill="auto" w:val="clear"/>
        </w:rPr>
      </w:pPr>
    </w:p>
    <w:p>
      <w:pPr>
        <w:keepNext w:val="true"/>
        <w:keepLines w:val="true"/>
        <w:spacing w:before="40" w:after="0" w:line="259"/>
        <w:ind w:right="0" w:left="0" w:firstLine="0"/>
        <w:jc w:val="left"/>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Porter’s Five-Forces Model</w:t>
      </w:r>
    </w:p>
    <w:p>
      <w:pPr>
        <w:spacing w:before="0" w:after="160" w:line="360"/>
        <w:ind w:right="0" w:left="0" w:firstLine="0"/>
        <w:jc w:val="center"/>
        <w:rPr>
          <w:rFonts w:ascii="Cambria" w:hAnsi="Cambria" w:cs="Cambria" w:eastAsia="Cambria"/>
          <w:b/>
          <w:color w:val="auto"/>
          <w:spacing w:val="0"/>
          <w:position w:val="0"/>
          <w:sz w:val="24"/>
          <w:shd w:fill="auto" w:val="clear"/>
        </w:rPr>
      </w:pPr>
    </w:p>
    <w:p>
      <w:pPr>
        <w:spacing w:before="0" w:after="160" w:line="360"/>
        <w:ind w:right="0" w:left="0" w:firstLine="0"/>
        <w:jc w:val="center"/>
        <w:rPr>
          <w:rFonts w:ascii="Cambria" w:hAnsi="Cambria" w:cs="Cambria" w:eastAsia="Cambria"/>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p>
    <w:p>
      <w:pPr>
        <w:spacing w:before="0" w:after="160" w:line="360"/>
        <w:ind w:right="0" w:left="0" w:firstLine="0"/>
        <w:jc w:val="center"/>
        <w:rPr>
          <w:rFonts w:ascii="Cambria" w:hAnsi="Cambria" w:cs="Cambria" w:eastAsia="Cambria"/>
          <w:color w:val="auto"/>
          <w:spacing w:val="0"/>
          <w:position w:val="0"/>
          <w:sz w:val="24"/>
          <w:shd w:fill="auto" w:val="clear"/>
        </w:rPr>
      </w:pPr>
      <w:r>
        <w:rPr>
          <w:rFonts w:ascii="Cambria" w:hAnsi="Cambria" w:cs="Cambria" w:eastAsia="Cambria"/>
          <w:b/>
          <w:color w:val="auto"/>
          <w:spacing w:val="0"/>
          <w:position w:val="0"/>
          <w:sz w:val="24"/>
          <w:shd w:fill="auto" w:val="clear"/>
        </w:rPr>
        <w:t xml:space="preserve">Source:</w:t>
      </w:r>
      <w:r>
        <w:rPr>
          <w:rFonts w:ascii="Cambria" w:hAnsi="Cambria" w:cs="Cambria" w:eastAsia="Cambria"/>
          <w:color w:val="auto"/>
          <w:spacing w:val="0"/>
          <w:position w:val="0"/>
          <w:sz w:val="24"/>
          <w:shd w:fill="auto" w:val="clear"/>
        </w:rPr>
        <w:t xml:space="preserve"> (</w:t>
      </w:r>
      <w:r>
        <w:rPr>
          <w:rFonts w:ascii="Cambria" w:hAnsi="Cambria" w:cs="Cambria" w:eastAsia="Cambria"/>
          <w:color w:val="auto"/>
          <w:spacing w:val="0"/>
          <w:position w:val="0"/>
          <w:sz w:val="24"/>
          <w:shd w:fill="FFFFFF" w:val="clear"/>
        </w:rPr>
        <w:t xml:space="preserve">Mutinda, 2013)</w:t>
      </w:r>
    </w:p>
    <w:p>
      <w:pPr>
        <w:spacing w:before="0" w:after="160" w:line="360"/>
        <w:ind w:right="0" w:left="0" w:firstLine="0"/>
        <w:jc w:val="both"/>
        <w:rPr>
          <w:rFonts w:ascii="Cambria" w:hAnsi="Cambria" w:cs="Cambria" w:eastAsia="Cambria"/>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Porter’s Five Forces model is a strategy used by companies to analyse the internal activities of the firm or industry. Such as which activities lead to the cost or differentiation competitive advantage are pinpointed by this strategic tool. </w:t>
      </w:r>
    </w:p>
    <w:p>
      <w:pPr>
        <w:spacing w:before="0" w:after="160" w:line="360"/>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Considering the automotive industry, a car manufacturer’s primary undertakings are not the only source of value added to the end product. A firm’s competitive advantage can also stem from its support activities such as the infrastructure, logistics and procurement, technology, and last but not least the human resource management team.</w:t>
      </w:r>
    </w:p>
    <w:p>
      <w:pPr>
        <w:numPr>
          <w:ilvl w:val="0"/>
          <w:numId w:val="17"/>
        </w:numPr>
        <w:spacing w:before="0" w:after="160" w:line="360"/>
        <w:ind w:right="0" w:left="72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u w:val="single"/>
          <w:shd w:fill="auto" w:val="clear"/>
        </w:rPr>
        <w:t xml:space="preserve">Bargaining power of suppliers:</w:t>
      </w:r>
      <w:r>
        <w:rPr>
          <w:rFonts w:ascii="Cambria" w:hAnsi="Cambria" w:cs="Cambria" w:eastAsia="Cambria"/>
          <w:color w:val="auto"/>
          <w:spacing w:val="0"/>
          <w:position w:val="0"/>
          <w:sz w:val="24"/>
          <w:shd w:fill="auto" w:val="clear"/>
        </w:rPr>
        <w:t xml:space="preserve"> Suppliers are so many in number that their bargaining power is very low. This position is not helped by the fact that with the exception of a few large suppliers, most of them are small companies. Suppliers in this industry also have no feasible options to go for forward integration. Manufacturers can to some extent substitute the materials needed for making vehicles such as using carbon fibre instead of steel or aluminium. The most important threat to car manufacturers in Europe is the worker. Wages and salaries in Europe are so high that they drive up the cost of production and ultimately the price of the car making it accessible to only the upper strata of the income ladder. The recent yellow-vest movement in France is a highlighted case of too much power in the hands of the insignificant proletariats. The proper way to belittle these audacious workers is to outsource the manual labour to low-cost low-wage countries such as Bangladesh, Syria, and Yemen. Consequently, the enormous workforces of Europe’s car manufacturers must be down sized and streamlined by introducing automated assembly plants to make the manufacturing process cost-effective and efficient. The introduction of the electric vehicles is a healthy prospect for all of these aforementioned aspirations </w:t>
      </w:r>
      <w:r>
        <w:rPr>
          <w:rFonts w:ascii="Cambria" w:hAnsi="Cambria" w:cs="Cambria" w:eastAsia="Cambria"/>
          <w:color w:val="auto"/>
          <w:spacing w:val="0"/>
          <w:position w:val="0"/>
          <w:sz w:val="24"/>
          <w:shd w:fill="FFFFFF" w:val="clear"/>
        </w:rPr>
        <w:t xml:space="preserve">(Harvard Business Review, 2009)</w:t>
      </w:r>
      <w:r>
        <w:rPr>
          <w:rFonts w:ascii="Cambria" w:hAnsi="Cambria" w:cs="Cambria" w:eastAsia="Cambria"/>
          <w:color w:val="auto"/>
          <w:spacing w:val="0"/>
          <w:position w:val="0"/>
          <w:sz w:val="24"/>
          <w:shd w:fill="auto" w:val="clear"/>
        </w:rPr>
        <w:t xml:space="preserve">.</w:t>
      </w:r>
    </w:p>
    <w:p>
      <w:pPr>
        <w:numPr>
          <w:ilvl w:val="0"/>
          <w:numId w:val="17"/>
        </w:numPr>
        <w:spacing w:before="0" w:after="160" w:line="360"/>
        <w:ind w:right="0" w:left="72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u w:val="single"/>
          <w:shd w:fill="auto" w:val="clear"/>
        </w:rPr>
        <w:t xml:space="preserve">Bargaining power of buyers:</w:t>
      </w:r>
      <w:r>
        <w:rPr>
          <w:rFonts w:ascii="Cambria" w:hAnsi="Cambria" w:cs="Cambria" w:eastAsia="Cambria"/>
          <w:color w:val="auto"/>
          <w:spacing w:val="0"/>
          <w:position w:val="0"/>
          <w:sz w:val="24"/>
          <w:shd w:fill="auto" w:val="clear"/>
        </w:rPr>
        <w:t xml:space="preserve"> The power wielded by buyers is strong. The number of individual buyers is colossal compared to corporations or governments who purchase large fleets. It is very easy for buyers to substitute one vehicle brand for another owing to the fact that there are so many car manufacturers. Buyers’ purchasing behaviour is dependent largely on price of the vehicle, cost of insurance, and total cost of ownership. Brand loyalty is a thing of the past nowadays. People switch from one brand to another without a second thought if their investment turns out to be a lemon. Once proud and strong brands such as Mercedes and BMW are now struggling with newcomers like KIA and Genesis to capture market share and keep afloat in the segment of luxury vehicles.</w:t>
      </w:r>
    </w:p>
    <w:p>
      <w:pPr>
        <w:numPr>
          <w:ilvl w:val="0"/>
          <w:numId w:val="17"/>
        </w:numPr>
        <w:spacing w:before="0" w:after="160" w:line="360"/>
        <w:ind w:right="0" w:left="72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u w:val="single"/>
          <w:shd w:fill="auto" w:val="clear"/>
        </w:rPr>
        <w:t xml:space="preserve">Threat of substitutes:</w:t>
      </w:r>
      <w:r>
        <w:rPr>
          <w:rFonts w:ascii="Cambria" w:hAnsi="Cambria" w:cs="Cambria" w:eastAsia="Cambria"/>
          <w:color w:val="auto"/>
          <w:spacing w:val="0"/>
          <w:position w:val="0"/>
          <w:sz w:val="24"/>
          <w:shd w:fill="auto" w:val="clear"/>
        </w:rPr>
        <w:t xml:space="preserve"> There a multitude of substitutes such as bicycles, motorcycles, trains, buses, airplanes, ships, ferries, and boats, in the automotive industry. Still their threat is minimal. This is because these substitutes do not offer the same degree of convenience as do vehicles such as cars. On the other hand, the substitute types of transportation are more environment friendly if used by bulk such as buses, trains, airplanes, and ships. This makes them more appealing particularly to the younger generation who are more conscious about their carbon footprints and more passionate about the environment</w:t>
      </w:r>
      <w:r>
        <w:rPr>
          <w:rFonts w:ascii="Cambria" w:hAnsi="Cambria" w:cs="Cambria" w:eastAsia="Cambria"/>
          <w:color w:val="auto"/>
          <w:spacing w:val="0"/>
          <w:position w:val="0"/>
          <w:sz w:val="24"/>
          <w:shd w:fill="FFFFFF" w:val="clear"/>
        </w:rPr>
        <w:t xml:space="preserve">.</w:t>
      </w:r>
    </w:p>
    <w:p>
      <w:pPr>
        <w:numPr>
          <w:ilvl w:val="0"/>
          <w:numId w:val="17"/>
        </w:numPr>
        <w:spacing w:before="0" w:after="160" w:line="360"/>
        <w:ind w:right="0" w:left="72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u w:val="single"/>
          <w:shd w:fill="auto" w:val="clear"/>
        </w:rPr>
        <w:t xml:space="preserve">Barriers to entry:</w:t>
      </w:r>
      <w:r>
        <w:rPr>
          <w:rFonts w:ascii="Cambria" w:hAnsi="Cambria" w:cs="Cambria" w:eastAsia="Cambria"/>
          <w:color w:val="auto"/>
          <w:spacing w:val="0"/>
          <w:position w:val="0"/>
          <w:sz w:val="24"/>
          <w:shd w:fill="auto" w:val="clear"/>
        </w:rPr>
        <w:t xml:space="preserve"> The automotive industry has high barriers to new entrants. This is due to the vast amount of capital required to set up a car manufacturing business, retaliation from existing well-established companies, and existing entrenched brands. Furthermore, laws made by countries to protect their domestic firms make it harder for new entrants to set up vehicle manufacturing businesses. Not only does a newcomer need colossal sums of money for assembly plants and marketing but warehousing cost is also a huge pain in the derriere </w:t>
      </w:r>
      <w:r>
        <w:rPr>
          <w:rFonts w:ascii="Cambria" w:hAnsi="Cambria" w:cs="Cambria" w:eastAsia="Cambria"/>
          <w:color w:val="auto"/>
          <w:spacing w:val="0"/>
          <w:position w:val="0"/>
          <w:sz w:val="24"/>
          <w:shd w:fill="FFFFFF" w:val="clear"/>
        </w:rPr>
        <w:t xml:space="preserve">(League, 2016)</w:t>
      </w:r>
      <w:r>
        <w:rPr>
          <w:rFonts w:ascii="Cambria" w:hAnsi="Cambria" w:cs="Cambria" w:eastAsia="Cambria"/>
          <w:color w:val="auto"/>
          <w:spacing w:val="0"/>
          <w:position w:val="0"/>
          <w:sz w:val="24"/>
          <w:shd w:fill="auto" w:val="clear"/>
        </w:rPr>
        <w:t xml:space="preserve">.</w:t>
      </w:r>
    </w:p>
    <w:p>
      <w:pPr>
        <w:numPr>
          <w:ilvl w:val="0"/>
          <w:numId w:val="17"/>
        </w:numPr>
        <w:spacing w:before="0" w:after="160" w:line="360"/>
        <w:ind w:right="0" w:left="72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u w:val="single"/>
          <w:shd w:fill="auto" w:val="clear"/>
        </w:rPr>
        <w:t xml:space="preserve">Existing industry competition:</w:t>
      </w:r>
      <w:r>
        <w:rPr>
          <w:rFonts w:ascii="Cambria" w:hAnsi="Cambria" w:cs="Cambria" w:eastAsia="Cambria"/>
          <w:color w:val="auto"/>
          <w:spacing w:val="0"/>
          <w:position w:val="0"/>
          <w:sz w:val="24"/>
          <w:shd w:fill="auto" w:val="clear"/>
        </w:rPr>
        <w:t xml:space="preserve"> The total number of competitors is moderately high and almost all of them have well established brands. Since extremely high fixed costs are involved in setting up shop in this industry, therefore, when firms decide to shut down their businesses, they most often choose to declare bankruptcy, enter into merger agreements or stay in the industry forever even in a loss facing capacity. Competition is diversified on the many varied consumer segments based on demographic and geographic factors such as location, age, gender, income, and nationality. Mergers and acquisitions are some of the only ways to expand existing businesses since the industry is more or less matured and saturated </w:t>
      </w:r>
      <w:r>
        <w:rPr>
          <w:rFonts w:ascii="Cambria" w:hAnsi="Cambria" w:cs="Cambria" w:eastAsia="Cambria"/>
          <w:color w:val="auto"/>
          <w:spacing w:val="0"/>
          <w:position w:val="0"/>
          <w:sz w:val="24"/>
          <w:shd w:fill="FFFFFF" w:val="clear"/>
        </w:rPr>
        <w:t xml:space="preserve">(Amacher and Sweeney, 1996)</w:t>
      </w:r>
      <w:r>
        <w:rPr>
          <w:rFonts w:ascii="Cambria" w:hAnsi="Cambria" w:cs="Cambria" w:eastAsia="Cambria"/>
          <w:color w:val="auto"/>
          <w:spacing w:val="0"/>
          <w:position w:val="0"/>
          <w:sz w:val="24"/>
          <w:shd w:fill="auto" w:val="clear"/>
        </w:rPr>
        <w:t xml:space="preserve">.</w:t>
      </w:r>
    </w:p>
    <w:p>
      <w:pPr>
        <w:spacing w:before="0" w:after="160" w:line="360"/>
        <w:ind w:right="0" w:left="0" w:firstLine="0"/>
        <w:jc w:val="both"/>
        <w:rPr>
          <w:rFonts w:ascii="Cambria" w:hAnsi="Cambria" w:cs="Cambria" w:eastAsia="Cambria"/>
          <w:b/>
          <w:color w:val="auto"/>
          <w:spacing w:val="0"/>
          <w:position w:val="0"/>
          <w:sz w:val="24"/>
          <w:shd w:fill="auto" w:val="clear"/>
        </w:rPr>
      </w:pPr>
    </w:p>
    <w:p>
      <w:pPr>
        <w:spacing w:before="0" w:after="160" w:line="360"/>
        <w:ind w:right="0" w:left="0" w:firstLine="0"/>
        <w:jc w:val="both"/>
        <w:rPr>
          <w:rFonts w:ascii="Cambria" w:hAnsi="Cambria" w:cs="Cambria" w:eastAsia="Cambria"/>
          <w:b/>
          <w:color w:val="auto"/>
          <w:spacing w:val="0"/>
          <w:position w:val="0"/>
          <w:sz w:val="24"/>
          <w:shd w:fill="auto" w:val="clear"/>
        </w:rPr>
      </w:pPr>
    </w:p>
    <w:p>
      <w:pPr>
        <w:keepNext w:val="true"/>
        <w:keepLines w:val="true"/>
        <w:spacing w:before="40" w:after="0" w:line="259"/>
        <w:ind w:right="0" w:left="0" w:firstLine="0"/>
        <w:jc w:val="left"/>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Organizational changes and the reasons</w:t>
      </w:r>
    </w:p>
    <w:p>
      <w:pPr>
        <w:spacing w:before="0" w:after="160" w:line="360"/>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While the drive towards electric vehicles is being motivated by increased consumer demand for a cleaner and greener vehicle, the greater imperative is to save costs. As governments are gearing towards more energy independence and self-sustainability, electric vehicles are becoming attractive options in order to wean their economies off the dependence on oil. With the current level of strife in the oil producing nations, there have been much fluctuations in the price of oil which has affected the economies of Europe adversely; not to mention the devastating effects of the sustained use of fossil fuels on the existing global warming crisis </w:t>
      </w:r>
      <w:r>
        <w:rPr>
          <w:rFonts w:ascii="Cambria" w:hAnsi="Cambria" w:cs="Cambria" w:eastAsia="Cambria"/>
          <w:color w:val="auto"/>
          <w:spacing w:val="0"/>
          <w:position w:val="0"/>
          <w:sz w:val="24"/>
          <w:shd w:fill="FFFFFF" w:val="clear"/>
        </w:rPr>
        <w:t xml:space="preserve">(Potoglou and Kanaroglou, 2007)</w:t>
      </w:r>
      <w:r>
        <w:rPr>
          <w:rFonts w:ascii="Cambria" w:hAnsi="Cambria" w:cs="Cambria" w:eastAsia="Cambria"/>
          <w:color w:val="auto"/>
          <w:spacing w:val="0"/>
          <w:position w:val="0"/>
          <w:sz w:val="24"/>
          <w:shd w:fill="auto" w:val="clear"/>
        </w:rPr>
        <w:t xml:space="preserve">. </w:t>
      </w:r>
    </w:p>
    <w:p>
      <w:pPr>
        <w:spacing w:before="0" w:after="160" w:line="360"/>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To ward off this predicament and to boost electric vehicle sales the governments of Europe are rolling out several incentives and rewards for early adopters. These instruments are cost savings in the form of subsidies without which the initial investment needed to purchase electric vehicles is currently beyond the purchasing ability of the masses. Additionally, in order to stimulate sales of electric vehicles in the megacities of Europe governments are providing drivers with special perks such as preferential parking permits, permission to use bus and taxi lanes, and fast charging stations along highways. What is more, purchase, lease, and road taxes are encumbrances which are being alleviated by electric vehicle buyers. These tax breaks are a welcome addition to the overall stimulus package that is meant to make electric vehicles more attractive to both individual and corporate buyers </w:t>
      </w:r>
      <w:r>
        <w:rPr>
          <w:rFonts w:ascii="Cambria" w:hAnsi="Cambria" w:cs="Cambria" w:eastAsia="Cambria"/>
          <w:color w:val="auto"/>
          <w:spacing w:val="0"/>
          <w:position w:val="0"/>
          <w:sz w:val="24"/>
          <w:shd w:fill="FFFFFF" w:val="clear"/>
        </w:rPr>
        <w:t xml:space="preserve">(Cotter, 2015)</w:t>
      </w:r>
      <w:r>
        <w:rPr>
          <w:rFonts w:ascii="Cambria" w:hAnsi="Cambria" w:cs="Cambria" w:eastAsia="Cambria"/>
          <w:color w:val="auto"/>
          <w:spacing w:val="0"/>
          <w:position w:val="0"/>
          <w:sz w:val="24"/>
          <w:shd w:fill="auto" w:val="clear"/>
        </w:rPr>
        <w:t xml:space="preserve">. </w:t>
      </w:r>
    </w:p>
    <w:p>
      <w:pPr>
        <w:spacing w:before="0" w:after="160" w:line="360"/>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As part of the European Union’s obligations stemming from recent climate resolutions passed by the United Nations and also the regional European Bloc meetings, governments of all the signatory nations have set ambitious targets to reduce their CO</w:t>
      </w:r>
      <w:r>
        <w:rPr>
          <w:rFonts w:ascii="Cambria" w:hAnsi="Cambria" w:cs="Cambria" w:eastAsia="Cambria"/>
          <w:color w:val="auto"/>
          <w:spacing w:val="0"/>
          <w:position w:val="0"/>
          <w:sz w:val="24"/>
          <w:shd w:fill="auto" w:val="clear"/>
          <w:vertAlign w:val="subscript"/>
        </w:rPr>
        <w:t xml:space="preserve">2</w:t>
      </w:r>
      <w:r>
        <w:rPr>
          <w:rFonts w:ascii="Cambria" w:hAnsi="Cambria" w:cs="Cambria" w:eastAsia="Cambria"/>
          <w:color w:val="auto"/>
          <w:spacing w:val="0"/>
          <w:position w:val="0"/>
          <w:sz w:val="24"/>
          <w:shd w:fill="auto" w:val="clear"/>
        </w:rPr>
        <w:t xml:space="preserve"> and NO</w:t>
      </w:r>
      <w:r>
        <w:rPr>
          <w:rFonts w:ascii="Cambria" w:hAnsi="Cambria" w:cs="Cambria" w:eastAsia="Cambria"/>
          <w:color w:val="auto"/>
          <w:spacing w:val="0"/>
          <w:position w:val="0"/>
          <w:sz w:val="24"/>
          <w:shd w:fill="auto" w:val="clear"/>
          <w:vertAlign w:val="subscript"/>
        </w:rPr>
        <w:t xml:space="preserve">X</w:t>
      </w:r>
      <w:r>
        <w:rPr>
          <w:rFonts w:ascii="Cambria" w:hAnsi="Cambria" w:cs="Cambria" w:eastAsia="Cambria"/>
          <w:color w:val="auto"/>
          <w:spacing w:val="0"/>
          <w:position w:val="0"/>
          <w:sz w:val="24"/>
          <w:shd w:fill="auto" w:val="clear"/>
        </w:rPr>
        <w:t xml:space="preserve"> emissions to stave off the impending doom that is global warming and the melting of the ice caps. Tightened regulations pressurizing major OEMs to switch to electric vehicles and optimizing existing internal combustion engines are helping to achieve these emissions reduction targets.</w:t>
      </w:r>
    </w:p>
    <w:p>
      <w:pPr>
        <w:spacing w:before="0" w:after="160" w:line="360"/>
        <w:ind w:right="0" w:left="0" w:firstLine="0"/>
        <w:jc w:val="left"/>
        <w:rPr>
          <w:rFonts w:ascii="Cambria" w:hAnsi="Cambria" w:cs="Cambria" w:eastAsia="Cambria"/>
          <w:b/>
          <w:color w:val="auto"/>
          <w:spacing w:val="0"/>
          <w:position w:val="0"/>
          <w:sz w:val="24"/>
          <w:shd w:fill="auto" w:val="clear"/>
        </w:rPr>
      </w:pPr>
    </w:p>
    <w:p>
      <w:pPr>
        <w:keepNext w:val="true"/>
        <w:keepLines w:val="true"/>
        <w:spacing w:before="240" w:after="0" w:line="259"/>
        <w:ind w:right="0" w:left="0" w:firstLine="0"/>
        <w:jc w:val="left"/>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Conclusion</w:t>
      </w:r>
    </w:p>
    <w:p>
      <w:pPr>
        <w:spacing w:before="0" w:after="160" w:line="360"/>
        <w:ind w:right="0" w:left="0" w:firstLine="0"/>
        <w:jc w:val="center"/>
        <w:rPr>
          <w:rFonts w:ascii="Cambria" w:hAnsi="Cambria" w:cs="Cambria" w:eastAsia="Cambria"/>
          <w:b/>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In short, the main imperative behind the drive towards electric vehicles in Europe is an aspiration to achieve energy independence from an oil-intensive transport sector, accomplish emissions targets set by respective governments, and help save the environment.</w:t>
      </w:r>
    </w:p>
    <w:p>
      <w:pPr>
        <w:spacing w:before="0" w:after="160" w:line="360"/>
        <w:ind w:right="0" w:left="0" w:firstLine="0"/>
        <w:jc w:val="center"/>
        <w:rPr>
          <w:rFonts w:ascii="Cambria" w:hAnsi="Cambria" w:cs="Cambria" w:eastAsia="Cambria"/>
          <w:b/>
          <w:color w:val="auto"/>
          <w:spacing w:val="0"/>
          <w:position w:val="0"/>
          <w:sz w:val="24"/>
          <w:shd w:fill="auto" w:val="clear"/>
        </w:rPr>
      </w:pPr>
    </w:p>
    <w:p>
      <w:pPr>
        <w:keepNext w:val="true"/>
        <w:keepLines w:val="true"/>
        <w:spacing w:before="240" w:after="0" w:line="259"/>
        <w:ind w:right="0" w:left="0" w:firstLine="0"/>
        <w:jc w:val="center"/>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Part -2</w:t>
      </w:r>
    </w:p>
    <w:p>
      <w:pPr>
        <w:spacing w:before="0" w:after="16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40" w:after="0" w:line="259"/>
        <w:ind w:right="0" w:left="0" w:firstLine="0"/>
        <w:jc w:val="left"/>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Porter’s Value Chain Model</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360"/>
        <w:ind w:right="0" w:left="720" w:firstLine="0"/>
        <w:jc w:val="center"/>
        <w:rPr>
          <w:rFonts w:ascii="Cambria" w:hAnsi="Cambria" w:cs="Cambria" w:eastAsia="Cambria"/>
          <w:color w:val="auto"/>
          <w:spacing w:val="0"/>
          <w:position w:val="0"/>
          <w:sz w:val="24"/>
          <w:shd w:fill="auto" w:val="clear"/>
        </w:rPr>
      </w:pPr>
      <w:r>
        <w:object w:dxaOrig="8034" w:dyaOrig="3051">
          <v:rect xmlns:o="urn:schemas-microsoft-com:office:office" xmlns:v="urn:schemas-microsoft-com:vml" id="rectole0000000000" style="width:401.700000pt;height:152.5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Porter’s value chain model is a strategic instrument used to analyse a firm or industry’s activities and find out whether the competitive advantage is based on cost or differentiation. The global automotive industry utilizes the cost based competitive advantage to gain the edge in business. This is because the manufacture of vehicles is a capital-intensive procedure. The primary activities are designing and engineering, purchase of materials and components, assembly of the vehicle, testing and quality control, sales and marketing, and finally distribution and dealer support. The drivers of cost for the automotive industry are the number of sales per model, average order size per supplier, plant capacity and economies of scale, frequency of vehicle recalls, marketing budget, and number of dealerships </w:t>
      </w:r>
      <w:r>
        <w:rPr>
          <w:rFonts w:ascii="Cambria" w:hAnsi="Cambria" w:cs="Cambria" w:eastAsia="Cambria"/>
          <w:color w:val="auto"/>
          <w:spacing w:val="0"/>
          <w:position w:val="0"/>
          <w:sz w:val="24"/>
          <w:shd w:fill="FFFFFF" w:val="clear"/>
        </w:rPr>
        <w:t xml:space="preserve">(Barney and Hesterly, 2006)</w:t>
      </w:r>
      <w:r>
        <w:rPr>
          <w:rFonts w:ascii="Cambria" w:hAnsi="Cambria" w:cs="Cambria" w:eastAsia="Cambria"/>
          <w:color w:val="auto"/>
          <w:spacing w:val="0"/>
          <w:position w:val="0"/>
          <w:sz w:val="24"/>
          <w:shd w:fill="auto" w:val="clear"/>
        </w:rPr>
        <w:t xml:space="preserve">. </w:t>
      </w:r>
    </w:p>
    <w:p>
      <w:pPr>
        <w:spacing w:before="0" w:after="160" w:line="360"/>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Linking the activities is the major fulcrum behind a firm’s competitive advantage. For example, a high-quality assembly process can reduce manufacturing defects which in turn will reduce vehicle recalls and decrease quality control costs. Having fewer models such as Honda and Mazda, also reduces assembling costs. On the other hand, high order sizes such as Toyota, increases warehousing costs </w:t>
      </w:r>
      <w:r>
        <w:rPr>
          <w:rFonts w:ascii="Cambria" w:hAnsi="Cambria" w:cs="Cambria" w:eastAsia="Cambria"/>
          <w:color w:val="auto"/>
          <w:spacing w:val="0"/>
          <w:position w:val="0"/>
          <w:sz w:val="24"/>
          <w:shd w:fill="FFFFFF" w:val="clear"/>
        </w:rPr>
        <w:t xml:space="preserve">(Dhillon and Vachhrajani, 2012)</w:t>
      </w:r>
      <w:r>
        <w:rPr>
          <w:rFonts w:ascii="Cambria" w:hAnsi="Cambria" w:cs="Cambria" w:eastAsia="Cambria"/>
          <w:color w:val="auto"/>
          <w:spacing w:val="0"/>
          <w:position w:val="0"/>
          <w:sz w:val="24"/>
          <w:shd w:fill="auto" w:val="clear"/>
        </w:rPr>
        <w:t xml:space="preserve">.</w:t>
      </w:r>
    </w:p>
    <w:p>
      <w:pPr>
        <w:spacing w:before="0" w:after="160" w:line="360"/>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Support activities also add tremendous value but only if they are appropriately deployed by a capable forerunner. An efficient and effective distribution channel will reduce inventory and warehousing costs, transportation costs of raw materials and finished goods, streamlined marketing and advertising costs. Eventually leading to highly competitive pricing for the finished product which in turn will lead to substantial sales and a respectable profit </w:t>
      </w:r>
      <w:r>
        <w:rPr>
          <w:rFonts w:ascii="Cambria" w:hAnsi="Cambria" w:cs="Cambria" w:eastAsia="Cambria"/>
          <w:color w:val="auto"/>
          <w:spacing w:val="0"/>
          <w:position w:val="0"/>
          <w:sz w:val="24"/>
          <w:shd w:fill="FFFFFF" w:val="clear"/>
        </w:rPr>
        <w:t xml:space="preserve">(Mutinda, 2013)</w:t>
      </w:r>
      <w:r>
        <w:rPr>
          <w:rFonts w:ascii="Cambria" w:hAnsi="Cambria" w:cs="Cambria" w:eastAsia="Cambria"/>
          <w:color w:val="auto"/>
          <w:spacing w:val="0"/>
          <w:position w:val="0"/>
          <w:sz w:val="24"/>
          <w:shd w:fill="auto" w:val="clear"/>
        </w:rPr>
        <w:t xml:space="preserve">.</w:t>
      </w:r>
    </w:p>
    <w:p>
      <w:pPr>
        <w:spacing w:before="0" w:after="160" w:line="360"/>
        <w:ind w:right="0" w:left="0" w:firstLine="0"/>
        <w:jc w:val="both"/>
        <w:rPr>
          <w:rFonts w:ascii="Cambria" w:hAnsi="Cambria" w:cs="Cambria" w:eastAsia="Cambria"/>
          <w:color w:val="auto"/>
          <w:spacing w:val="0"/>
          <w:position w:val="0"/>
          <w:sz w:val="24"/>
          <w:shd w:fill="auto" w:val="clear"/>
        </w:rPr>
      </w:pPr>
    </w:p>
    <w:p>
      <w:pPr>
        <w:keepNext w:val="true"/>
        <w:keepLines w:val="true"/>
        <w:spacing w:before="40" w:after="0" w:line="259"/>
        <w:ind w:right="0" w:left="0" w:firstLine="0"/>
        <w:jc w:val="left"/>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Emerging business prospects due to the electric vehicle</w:t>
      </w:r>
    </w:p>
    <w:p>
      <w:pPr>
        <w:spacing w:before="0" w:after="160" w:line="360"/>
        <w:ind w:right="0" w:left="0" w:firstLine="0"/>
        <w:jc w:val="both"/>
        <w:rPr>
          <w:rFonts w:ascii="Cambria" w:hAnsi="Cambria" w:cs="Cambria" w:eastAsia="Cambria"/>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Since the main difference between petroleum powered vehicles and electric vehicles is the powertrain, the shift towards production of electric vehicles opens up exciting new avenues for commercial exploitation. The entire value chain will be overhauled anew as firms will struggle to change their business processes or enhance them to suit the new and novel needs of the electric vehicle.</w:t>
      </w:r>
    </w:p>
    <w:p>
      <w:pPr>
        <w:spacing w:before="0" w:after="160" w:line="360"/>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To start off, there will be a global demand for new raw materials needed to produce batteries such as copper, nickel and other rare earth metals such as neodymium. Car manufacturers and component suppliers will forge new business relationships to fabricate electric motors and batteries for electric vehicles </w:t>
      </w:r>
      <w:r>
        <w:rPr>
          <w:rFonts w:ascii="Cambria" w:hAnsi="Cambria" w:cs="Cambria" w:eastAsia="Cambria"/>
          <w:color w:val="auto"/>
          <w:spacing w:val="0"/>
          <w:position w:val="0"/>
          <w:sz w:val="24"/>
          <w:shd w:fill="FFFFFF" w:val="clear"/>
        </w:rPr>
        <w:t xml:space="preserve">(Gordon, 2014)</w:t>
      </w:r>
      <w:r>
        <w:rPr>
          <w:rFonts w:ascii="Cambria" w:hAnsi="Cambria" w:cs="Cambria" w:eastAsia="Cambria"/>
          <w:color w:val="auto"/>
          <w:spacing w:val="0"/>
          <w:position w:val="0"/>
          <w:sz w:val="24"/>
          <w:shd w:fill="auto" w:val="clear"/>
        </w:rPr>
        <w:t xml:space="preserve">. </w:t>
      </w:r>
    </w:p>
    <w:p>
      <w:pPr>
        <w:spacing w:before="0" w:after="160" w:line="360"/>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Existing utilities and infrastructure will be replaced or enhanced to support the adoption of the electric vehicle. For example, petrol pump stations will be upgraded to include charging stations for electric vehicles. While, standalone charging stations are bound to crop up all over the globe. Furthermore, these infrastructures will require ancillary businesses for support such as plugs, battery replacements, and battery maintenance.</w:t>
      </w:r>
    </w:p>
    <w:p>
      <w:pPr>
        <w:spacing w:before="0" w:after="160" w:line="360"/>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Since the electric vehicle was the product of the machinations of environment-conscious people, there is no doubt that recycling of batteries and other electric vehicle components will be a real money spinner.</w:t>
      </w:r>
    </w:p>
    <w:p>
      <w:pPr>
        <w:spacing w:before="0" w:after="160" w:line="360"/>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Further implementation of supplementary services and applications such as hardware, software and navigation for charging infrastructures. Financial and accounting services for customers and stakeholders of electric vehicles. Smart usage of the power sector will become necessary to prevent peak-hour overwhelming of the national power grid.</w:t>
      </w:r>
    </w:p>
    <w:p>
      <w:pPr>
        <w:spacing w:before="0" w:after="160" w:line="360"/>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Wired charging is the trend nowadays, but pilot projects have been initiated already for induction based wireless charging to streamline the continuous maintenance of the electric vehicle range.</w:t>
      </w:r>
    </w:p>
    <w:p>
      <w:pPr>
        <w:keepNext w:val="true"/>
        <w:keepLines w:val="true"/>
        <w:spacing w:before="40" w:after="0" w:line="259"/>
        <w:ind w:right="0" w:left="0" w:firstLine="0"/>
        <w:jc w:val="left"/>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Businesses to be discontinued</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However, the electric vehicle will not be rosy for all businesses. The after-sales service companies especially the maintenance services will be negatively hit since battery operated electric vehicles do not require much maintenance as their petroleum powered counterparts do. Moreover, manufacturers of components such as superchargers and turbochargers will most likely be forced out of business due to unadulterated redundancy.</w:t>
      </w:r>
    </w:p>
    <w:p>
      <w:pPr>
        <w:spacing w:before="0" w:after="160" w:line="360"/>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Existing businesses such as oil companies such as BP and SHELL will have to downsize their workforce and close down branch offices to accommodate the new bleak future they are destined for in the face of such open aggression from the electric vehicle and its sycophants.</w:t>
      </w:r>
    </w:p>
    <w:p>
      <w:pPr>
        <w:spacing w:before="0" w:after="160" w:line="360"/>
        <w:ind w:right="0" w:left="0" w:firstLine="0"/>
        <w:jc w:val="both"/>
        <w:rPr>
          <w:rFonts w:ascii="Cambria" w:hAnsi="Cambria" w:cs="Cambria" w:eastAsia="Cambria"/>
          <w:color w:val="auto"/>
          <w:spacing w:val="0"/>
          <w:position w:val="0"/>
          <w:sz w:val="24"/>
          <w:shd w:fill="auto" w:val="clear"/>
        </w:rPr>
      </w:pPr>
    </w:p>
    <w:p>
      <w:pPr>
        <w:spacing w:before="0" w:after="160" w:line="360"/>
        <w:ind w:right="0" w:left="0" w:firstLine="0"/>
        <w:jc w:val="both"/>
        <w:rPr>
          <w:rFonts w:ascii="Cambria" w:hAnsi="Cambria" w:cs="Cambria" w:eastAsia="Cambria"/>
          <w:color w:val="auto"/>
          <w:spacing w:val="0"/>
          <w:position w:val="0"/>
          <w:sz w:val="24"/>
          <w:shd w:fill="auto" w:val="clear"/>
        </w:rPr>
      </w:pPr>
    </w:p>
    <w:p>
      <w:pPr>
        <w:spacing w:before="0" w:after="160" w:line="360"/>
        <w:ind w:right="0" w:left="0" w:firstLine="0"/>
        <w:jc w:val="center"/>
        <w:rPr>
          <w:rFonts w:ascii="Cambria" w:hAnsi="Cambria" w:cs="Cambria" w:eastAsia="Cambria"/>
          <w:b/>
          <w:color w:val="auto"/>
          <w:spacing w:val="0"/>
          <w:position w:val="0"/>
          <w:sz w:val="24"/>
          <w:shd w:fill="auto" w:val="clear"/>
        </w:rPr>
      </w:pPr>
    </w:p>
    <w:p>
      <w:pPr>
        <w:spacing w:before="0" w:after="160" w:line="360"/>
        <w:ind w:right="0" w:left="0" w:firstLine="0"/>
        <w:jc w:val="center"/>
        <w:rPr>
          <w:rFonts w:ascii="Cambria" w:hAnsi="Cambria" w:cs="Cambria" w:eastAsia="Cambria"/>
          <w:b/>
          <w:color w:val="auto"/>
          <w:spacing w:val="0"/>
          <w:position w:val="0"/>
          <w:sz w:val="24"/>
          <w:shd w:fill="auto" w:val="clear"/>
        </w:rPr>
      </w:pPr>
    </w:p>
    <w:p>
      <w:pPr>
        <w:spacing w:before="0" w:after="160" w:line="360"/>
        <w:ind w:right="0" w:left="0" w:firstLine="0"/>
        <w:jc w:val="center"/>
        <w:rPr>
          <w:rFonts w:ascii="Cambria" w:hAnsi="Cambria" w:cs="Cambria" w:eastAsia="Cambria"/>
          <w:b/>
          <w:color w:val="auto"/>
          <w:spacing w:val="0"/>
          <w:position w:val="0"/>
          <w:sz w:val="24"/>
          <w:shd w:fill="auto" w:val="clear"/>
        </w:rPr>
      </w:pPr>
    </w:p>
    <w:p>
      <w:pPr>
        <w:spacing w:before="0" w:after="160" w:line="360"/>
        <w:ind w:right="0" w:left="0" w:firstLine="0"/>
        <w:jc w:val="center"/>
        <w:rPr>
          <w:rFonts w:ascii="Cambria" w:hAnsi="Cambria" w:cs="Cambria" w:eastAsia="Cambria"/>
          <w:b/>
          <w:color w:val="auto"/>
          <w:spacing w:val="0"/>
          <w:position w:val="0"/>
          <w:sz w:val="24"/>
          <w:shd w:fill="auto" w:val="clear"/>
        </w:rPr>
      </w:pPr>
    </w:p>
    <w:p>
      <w:pPr>
        <w:keepNext w:val="true"/>
        <w:keepLines w:val="true"/>
        <w:spacing w:before="240" w:after="0" w:line="259"/>
        <w:ind w:right="0" w:left="0" w:firstLine="0"/>
        <w:jc w:val="left"/>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Conclusion</w:t>
      </w:r>
    </w:p>
    <w:p>
      <w:pPr>
        <w:spacing w:before="0" w:after="160" w:line="360"/>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As with all things in life there will be advantages and disadvantages, ups and downs, negatives and positives, pros and cons for the electric vehicle. But considering all the angles, the electric vehicle is a welcome prospect for all in the face of the worldwide pandemic of global warming, the melting of the ice caps, and the inevitable rising of sea levels that would submerge all the low lands and provoke a mass exodus of displaced people unlike anything ever seen in human history.</w:t>
      </w:r>
    </w:p>
    <w:p>
      <w:pPr>
        <w:spacing w:before="0" w:after="160" w:line="259"/>
        <w:ind w:right="0" w:left="0" w:firstLine="0"/>
        <w:jc w:val="left"/>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 </w:t>
      </w:r>
    </w:p>
    <w:p>
      <w:pPr>
        <w:spacing w:before="0" w:after="160" w:line="259"/>
        <w:ind w:right="0" w:left="0" w:firstLine="0"/>
        <w:jc w:val="left"/>
        <w:rPr>
          <w:rFonts w:ascii="Cambria" w:hAnsi="Cambria" w:cs="Cambria" w:eastAsia="Cambria"/>
          <w:color w:val="auto"/>
          <w:spacing w:val="0"/>
          <w:position w:val="0"/>
          <w:sz w:val="24"/>
          <w:shd w:fill="auto" w:val="clear"/>
        </w:rPr>
      </w:pPr>
    </w:p>
    <w:p>
      <w:pPr>
        <w:keepNext w:val="true"/>
        <w:keepLines w:val="true"/>
        <w:spacing w:before="240" w:after="0" w:line="259"/>
        <w:ind w:right="0" w:left="0" w:firstLine="0"/>
        <w:jc w:val="left"/>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References</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360"/>
        <w:ind w:right="0" w:left="0" w:firstLine="0"/>
        <w:jc w:val="both"/>
        <w:rPr>
          <w:rFonts w:ascii="Cambria" w:hAnsi="Cambria" w:cs="Cambria" w:eastAsia="Cambria"/>
          <w:color w:val="auto"/>
          <w:spacing w:val="0"/>
          <w:position w:val="0"/>
          <w:sz w:val="24"/>
          <w:shd w:fill="FFFFFF" w:val="clear"/>
        </w:rPr>
      </w:pPr>
      <w:r>
        <w:rPr>
          <w:rFonts w:ascii="Cambria" w:hAnsi="Cambria" w:cs="Cambria" w:eastAsia="Cambria"/>
          <w:color w:val="auto"/>
          <w:spacing w:val="0"/>
          <w:position w:val="0"/>
          <w:sz w:val="24"/>
          <w:shd w:fill="FFFFFF" w:val="clear"/>
        </w:rPr>
        <w:t xml:space="preserve">Makos, J. and Makos, J. (2015). </w:t>
      </w:r>
      <w:r>
        <w:rPr>
          <w:rFonts w:ascii="Cambria" w:hAnsi="Cambria" w:cs="Cambria" w:eastAsia="Cambria"/>
          <w:i/>
          <w:color w:val="auto"/>
          <w:spacing w:val="0"/>
          <w:position w:val="0"/>
          <w:sz w:val="24"/>
          <w:shd w:fill="FFFFFF" w:val="clear"/>
        </w:rPr>
        <w:t xml:space="preserve">An Overview of the PESTEL Framework</w:t>
      </w:r>
      <w:r>
        <w:rPr>
          <w:rFonts w:ascii="Cambria" w:hAnsi="Cambria" w:cs="Cambria" w:eastAsia="Cambria"/>
          <w:color w:val="auto"/>
          <w:spacing w:val="0"/>
          <w:position w:val="0"/>
          <w:sz w:val="24"/>
          <w:shd w:fill="FFFFFF" w:val="clear"/>
        </w:rPr>
        <w:t xml:space="preserve">.</w:t>
      </w:r>
    </w:p>
    <w:p>
      <w:pPr>
        <w:spacing w:before="0" w:after="160" w:line="360"/>
        <w:ind w:right="0" w:left="0" w:firstLine="0"/>
        <w:jc w:val="both"/>
        <w:rPr>
          <w:rFonts w:ascii="Cambria" w:hAnsi="Cambria" w:cs="Cambria" w:eastAsia="Cambria"/>
          <w:color w:val="auto"/>
          <w:spacing w:val="0"/>
          <w:position w:val="0"/>
          <w:sz w:val="24"/>
          <w:shd w:fill="FFFFFF" w:val="clear"/>
        </w:rPr>
      </w:pPr>
      <w:r>
        <w:rPr>
          <w:rFonts w:ascii="Cambria" w:hAnsi="Cambria" w:cs="Cambria" w:eastAsia="Cambria"/>
          <w:color w:val="auto"/>
          <w:spacing w:val="0"/>
          <w:position w:val="0"/>
          <w:sz w:val="24"/>
          <w:shd w:fill="FFFFFF" w:val="clear"/>
        </w:rPr>
        <w:t xml:space="preserve">PESTLE Analysis. (2015). </w:t>
      </w:r>
      <w:r>
        <w:rPr>
          <w:rFonts w:ascii="Cambria" w:hAnsi="Cambria" w:cs="Cambria" w:eastAsia="Cambria"/>
          <w:i/>
          <w:color w:val="auto"/>
          <w:spacing w:val="0"/>
          <w:position w:val="0"/>
          <w:sz w:val="24"/>
          <w:shd w:fill="FFFFFF" w:val="clear"/>
        </w:rPr>
        <w:t xml:space="preserve">What is PESTLE Analysis? A Tool for Business Analysis</w:t>
      </w:r>
      <w:r>
        <w:rPr>
          <w:rFonts w:ascii="Cambria" w:hAnsi="Cambria" w:cs="Cambria" w:eastAsia="Cambria"/>
          <w:color w:val="auto"/>
          <w:spacing w:val="0"/>
          <w:position w:val="0"/>
          <w:sz w:val="24"/>
          <w:shd w:fill="FFFFFF" w:val="clear"/>
        </w:rPr>
        <w:t xml:space="preserve">.</w:t>
      </w:r>
    </w:p>
    <w:p>
      <w:pPr>
        <w:spacing w:before="0" w:after="160" w:line="360"/>
        <w:ind w:right="0" w:left="0" w:firstLine="0"/>
        <w:jc w:val="both"/>
        <w:rPr>
          <w:rFonts w:ascii="Cambria" w:hAnsi="Cambria" w:cs="Cambria" w:eastAsia="Cambria"/>
          <w:color w:val="auto"/>
          <w:spacing w:val="0"/>
          <w:position w:val="0"/>
          <w:sz w:val="24"/>
          <w:shd w:fill="FFFFFF" w:val="clear"/>
        </w:rPr>
      </w:pPr>
      <w:r>
        <w:rPr>
          <w:rFonts w:ascii="Cambria" w:hAnsi="Cambria" w:cs="Cambria" w:eastAsia="Cambria"/>
          <w:color w:val="auto"/>
          <w:spacing w:val="0"/>
          <w:position w:val="0"/>
          <w:sz w:val="24"/>
          <w:shd w:fill="FFFFFF" w:val="clear"/>
        </w:rPr>
        <w:t xml:space="preserve">Basterretxea, I. and Albizu, E. (2010). Management training as a source of perceived competitive advantage: The Mondragon Cooperative Group case. </w:t>
      </w:r>
      <w:r>
        <w:rPr>
          <w:rFonts w:ascii="Cambria" w:hAnsi="Cambria" w:cs="Cambria" w:eastAsia="Cambria"/>
          <w:i/>
          <w:color w:val="auto"/>
          <w:spacing w:val="0"/>
          <w:position w:val="0"/>
          <w:sz w:val="24"/>
          <w:shd w:fill="FFFFFF" w:val="clear"/>
        </w:rPr>
        <w:t xml:space="preserve">Economic and Industrial Democracy</w:t>
      </w:r>
      <w:r>
        <w:rPr>
          <w:rFonts w:ascii="Cambria" w:hAnsi="Cambria" w:cs="Cambria" w:eastAsia="Cambria"/>
          <w:color w:val="auto"/>
          <w:spacing w:val="0"/>
          <w:position w:val="0"/>
          <w:sz w:val="24"/>
          <w:shd w:fill="FFFFFF" w:val="clear"/>
        </w:rPr>
        <w:t xml:space="preserve">, 32(2), pp.199-222.</w:t>
      </w:r>
    </w:p>
    <w:p>
      <w:pPr>
        <w:spacing w:before="0" w:after="160" w:line="360"/>
        <w:ind w:right="0" w:left="0" w:firstLine="0"/>
        <w:jc w:val="both"/>
        <w:rPr>
          <w:rFonts w:ascii="Cambria" w:hAnsi="Cambria" w:cs="Cambria" w:eastAsia="Cambria"/>
          <w:color w:val="auto"/>
          <w:spacing w:val="0"/>
          <w:position w:val="0"/>
          <w:sz w:val="24"/>
          <w:shd w:fill="FFFFFF" w:val="clear"/>
        </w:rPr>
      </w:pPr>
      <w:r>
        <w:rPr>
          <w:rFonts w:ascii="Cambria" w:hAnsi="Cambria" w:cs="Cambria" w:eastAsia="Cambria"/>
          <w:color w:val="auto"/>
          <w:spacing w:val="0"/>
          <w:position w:val="0"/>
          <w:sz w:val="24"/>
          <w:shd w:fill="FFFFFF" w:val="clear"/>
        </w:rPr>
        <w:t xml:space="preserve">Harvard Business Review. (2009). </w:t>
      </w:r>
      <w:r>
        <w:rPr>
          <w:rFonts w:ascii="Cambria" w:hAnsi="Cambria" w:cs="Cambria" w:eastAsia="Cambria"/>
          <w:i/>
          <w:color w:val="auto"/>
          <w:spacing w:val="0"/>
          <w:position w:val="0"/>
          <w:sz w:val="24"/>
          <w:shd w:fill="FFFFFF" w:val="clear"/>
        </w:rPr>
        <w:t xml:space="preserve">How Competitive Forces Shape Strategy</w:t>
      </w:r>
      <w:r>
        <w:rPr>
          <w:rFonts w:ascii="Cambria" w:hAnsi="Cambria" w:cs="Cambria" w:eastAsia="Cambria"/>
          <w:color w:val="auto"/>
          <w:spacing w:val="0"/>
          <w:position w:val="0"/>
          <w:sz w:val="24"/>
          <w:shd w:fill="FFFFFF" w:val="clear"/>
        </w:rPr>
        <w:t xml:space="preserve">.</w:t>
      </w:r>
    </w:p>
    <w:p>
      <w:pPr>
        <w:spacing w:before="0" w:after="160" w:line="360"/>
        <w:ind w:right="0" w:left="0" w:firstLine="0"/>
        <w:jc w:val="both"/>
        <w:rPr>
          <w:rFonts w:ascii="Cambria" w:hAnsi="Cambria" w:cs="Cambria" w:eastAsia="Cambria"/>
          <w:color w:val="auto"/>
          <w:spacing w:val="0"/>
          <w:position w:val="0"/>
          <w:sz w:val="24"/>
          <w:shd w:fill="FFFFFF" w:val="clear"/>
        </w:rPr>
      </w:pPr>
      <w:r>
        <w:rPr>
          <w:rFonts w:ascii="Cambria" w:hAnsi="Cambria" w:cs="Cambria" w:eastAsia="Cambria"/>
          <w:color w:val="auto"/>
          <w:spacing w:val="0"/>
          <w:position w:val="0"/>
          <w:sz w:val="24"/>
          <w:shd w:fill="FFFFFF" w:val="clear"/>
        </w:rPr>
        <w:t xml:space="preserve">League, A. (2016). </w:t>
      </w:r>
      <w:r>
        <w:rPr>
          <w:rFonts w:ascii="Cambria" w:hAnsi="Cambria" w:cs="Cambria" w:eastAsia="Cambria"/>
          <w:i/>
          <w:color w:val="auto"/>
          <w:spacing w:val="0"/>
          <w:position w:val="0"/>
          <w:sz w:val="24"/>
          <w:shd w:fill="FFFFFF" w:val="clear"/>
        </w:rPr>
        <w:t xml:space="preserve">Kids and Gadgets: The Effects of Electronic Media on Developing Brains</w:t>
      </w:r>
      <w:r>
        <w:rPr>
          <w:rFonts w:ascii="Cambria" w:hAnsi="Cambria" w:cs="Cambria" w:eastAsia="Cambria"/>
          <w:color w:val="auto"/>
          <w:spacing w:val="0"/>
          <w:position w:val="0"/>
          <w:sz w:val="24"/>
          <w:shd w:fill="FFFFFF" w:val="clear"/>
        </w:rPr>
        <w:t xml:space="preserve">.</w:t>
      </w:r>
    </w:p>
    <w:p>
      <w:pPr>
        <w:spacing w:before="0" w:after="160" w:line="360"/>
        <w:ind w:right="0" w:left="0" w:firstLine="0"/>
        <w:jc w:val="both"/>
        <w:rPr>
          <w:rFonts w:ascii="Cambria" w:hAnsi="Cambria" w:cs="Cambria" w:eastAsia="Cambria"/>
          <w:color w:val="auto"/>
          <w:spacing w:val="0"/>
          <w:position w:val="0"/>
          <w:sz w:val="24"/>
          <w:shd w:fill="FFFFFF" w:val="clear"/>
        </w:rPr>
      </w:pPr>
      <w:r>
        <w:rPr>
          <w:rFonts w:ascii="Cambria" w:hAnsi="Cambria" w:cs="Cambria" w:eastAsia="Cambria"/>
          <w:color w:val="auto"/>
          <w:spacing w:val="0"/>
          <w:position w:val="0"/>
          <w:sz w:val="24"/>
          <w:shd w:fill="FFFFFF" w:val="clear"/>
        </w:rPr>
        <w:t xml:space="preserve">Amacher, R. and Sweeney, R. (1996). International Commodity Cartels And The Threat Of New Entry: Implications Of Ocean Mineral Resources. </w:t>
      </w:r>
      <w:r>
        <w:rPr>
          <w:rFonts w:ascii="Cambria" w:hAnsi="Cambria" w:cs="Cambria" w:eastAsia="Cambria"/>
          <w:i/>
          <w:color w:val="auto"/>
          <w:spacing w:val="0"/>
          <w:position w:val="0"/>
          <w:sz w:val="24"/>
          <w:shd w:fill="FFFFFF" w:val="clear"/>
        </w:rPr>
        <w:t xml:space="preserve">Kyklos</w:t>
      </w:r>
      <w:r>
        <w:rPr>
          <w:rFonts w:ascii="Cambria" w:hAnsi="Cambria" w:cs="Cambria" w:eastAsia="Cambria"/>
          <w:color w:val="auto"/>
          <w:spacing w:val="0"/>
          <w:position w:val="0"/>
          <w:sz w:val="24"/>
          <w:shd w:fill="FFFFFF" w:val="clear"/>
        </w:rPr>
        <w:t xml:space="preserve">, 29(2), pp.292-309.</w:t>
      </w:r>
    </w:p>
    <w:p>
      <w:pPr>
        <w:spacing w:before="0" w:after="160" w:line="360"/>
        <w:ind w:right="0" w:left="0" w:firstLine="0"/>
        <w:jc w:val="both"/>
        <w:rPr>
          <w:rFonts w:ascii="Cambria" w:hAnsi="Cambria" w:cs="Cambria" w:eastAsia="Cambria"/>
          <w:color w:val="auto"/>
          <w:spacing w:val="0"/>
          <w:position w:val="0"/>
          <w:sz w:val="24"/>
          <w:shd w:fill="FFFFFF" w:val="clear"/>
        </w:rPr>
      </w:pPr>
      <w:r>
        <w:rPr>
          <w:rFonts w:ascii="Cambria" w:hAnsi="Cambria" w:cs="Cambria" w:eastAsia="Cambria"/>
          <w:color w:val="auto"/>
          <w:spacing w:val="0"/>
          <w:position w:val="0"/>
          <w:sz w:val="24"/>
          <w:shd w:fill="FFFFFF" w:val="clear"/>
        </w:rPr>
        <w:t xml:space="preserve">Potoglou, D. and Kanaroglou, P. (2007). Household demand and willingness to pay for clean vehicles. </w:t>
      </w:r>
      <w:r>
        <w:rPr>
          <w:rFonts w:ascii="Cambria" w:hAnsi="Cambria" w:cs="Cambria" w:eastAsia="Cambria"/>
          <w:i/>
          <w:color w:val="auto"/>
          <w:spacing w:val="0"/>
          <w:position w:val="0"/>
          <w:sz w:val="24"/>
          <w:shd w:fill="FFFFFF" w:val="clear"/>
        </w:rPr>
        <w:t xml:space="preserve">Transportation Research Part D: Transport and Environment</w:t>
      </w:r>
      <w:r>
        <w:rPr>
          <w:rFonts w:ascii="Cambria" w:hAnsi="Cambria" w:cs="Cambria" w:eastAsia="Cambria"/>
          <w:color w:val="auto"/>
          <w:spacing w:val="0"/>
          <w:position w:val="0"/>
          <w:sz w:val="24"/>
          <w:shd w:fill="FFFFFF" w:val="clear"/>
        </w:rPr>
        <w:t xml:space="preserve">, 12(4).</w:t>
      </w:r>
    </w:p>
    <w:p>
      <w:pPr>
        <w:spacing w:before="0" w:after="160" w:line="360"/>
        <w:ind w:right="0" w:left="0" w:firstLine="0"/>
        <w:jc w:val="both"/>
        <w:rPr>
          <w:rFonts w:ascii="Cambria" w:hAnsi="Cambria" w:cs="Cambria" w:eastAsia="Cambria"/>
          <w:color w:val="auto"/>
          <w:spacing w:val="0"/>
          <w:position w:val="0"/>
          <w:sz w:val="24"/>
          <w:shd w:fill="FFFFFF" w:val="clear"/>
        </w:rPr>
      </w:pPr>
      <w:r>
        <w:rPr>
          <w:rFonts w:ascii="Cambria" w:hAnsi="Cambria" w:cs="Cambria" w:eastAsia="Cambria"/>
          <w:color w:val="auto"/>
          <w:spacing w:val="0"/>
          <w:position w:val="0"/>
          <w:sz w:val="24"/>
          <w:shd w:fill="FFFFFF" w:val="clear"/>
        </w:rPr>
        <w:t xml:space="preserve">Cotter, M. (2015). </w:t>
      </w:r>
      <w:r>
        <w:rPr>
          <w:rFonts w:ascii="Cambria" w:hAnsi="Cambria" w:cs="Cambria" w:eastAsia="Cambria"/>
          <w:i/>
          <w:color w:val="auto"/>
          <w:spacing w:val="0"/>
          <w:position w:val="0"/>
          <w:sz w:val="24"/>
          <w:shd w:fill="FFFFFF" w:val="clear"/>
        </w:rPr>
        <w:t xml:space="preserve">SynergEthic’s 3-Wheeled Tilter Electric Vehicle is Part Motorcycle, Part Car</w:t>
      </w:r>
      <w:r>
        <w:rPr>
          <w:rFonts w:ascii="Cambria" w:hAnsi="Cambria" w:cs="Cambria" w:eastAsia="Cambria"/>
          <w:color w:val="auto"/>
          <w:spacing w:val="0"/>
          <w:position w:val="0"/>
          <w:sz w:val="24"/>
          <w:shd w:fill="FFFFFF" w:val="clear"/>
        </w:rPr>
        <w:t xml:space="preserve">.</w:t>
      </w:r>
    </w:p>
    <w:p>
      <w:pPr>
        <w:spacing w:before="0" w:after="160" w:line="360"/>
        <w:ind w:right="0" w:left="0" w:firstLine="0"/>
        <w:jc w:val="both"/>
        <w:rPr>
          <w:rFonts w:ascii="Cambria" w:hAnsi="Cambria" w:cs="Cambria" w:eastAsia="Cambria"/>
          <w:color w:val="auto"/>
          <w:spacing w:val="0"/>
          <w:position w:val="0"/>
          <w:sz w:val="24"/>
          <w:shd w:fill="FFFFFF" w:val="clear"/>
        </w:rPr>
      </w:pPr>
      <w:r>
        <w:rPr>
          <w:rFonts w:ascii="Cambria" w:hAnsi="Cambria" w:cs="Cambria" w:eastAsia="Cambria"/>
          <w:color w:val="auto"/>
          <w:spacing w:val="0"/>
          <w:position w:val="0"/>
          <w:sz w:val="24"/>
          <w:shd w:fill="FFFFFF" w:val="clear"/>
        </w:rPr>
        <w:t xml:space="preserve">Barney, J. and Hesterly, W. (2006). </w:t>
      </w:r>
      <w:r>
        <w:rPr>
          <w:rFonts w:ascii="Cambria" w:hAnsi="Cambria" w:cs="Cambria" w:eastAsia="Cambria"/>
          <w:i/>
          <w:color w:val="auto"/>
          <w:spacing w:val="0"/>
          <w:position w:val="0"/>
          <w:sz w:val="24"/>
          <w:shd w:fill="FFFFFF" w:val="clear"/>
        </w:rPr>
        <w:t xml:space="preserve">Strategic management and competitive advantage</w:t>
      </w:r>
      <w:r>
        <w:rPr>
          <w:rFonts w:ascii="Cambria" w:hAnsi="Cambria" w:cs="Cambria" w:eastAsia="Cambria"/>
          <w:color w:val="auto"/>
          <w:spacing w:val="0"/>
          <w:position w:val="0"/>
          <w:sz w:val="24"/>
          <w:shd w:fill="FFFFFF" w:val="clear"/>
        </w:rPr>
        <w:t xml:space="preserve">. Upper Saddle River, NJ: Pearson/Prentice Hall.</w:t>
      </w:r>
    </w:p>
    <w:p>
      <w:pPr>
        <w:spacing w:before="0" w:after="160" w:line="360"/>
        <w:ind w:right="0" w:left="0" w:firstLine="0"/>
        <w:jc w:val="both"/>
        <w:rPr>
          <w:rFonts w:ascii="Cambria" w:hAnsi="Cambria" w:cs="Cambria" w:eastAsia="Cambria"/>
          <w:color w:val="auto"/>
          <w:spacing w:val="0"/>
          <w:position w:val="0"/>
          <w:sz w:val="24"/>
          <w:shd w:fill="FFFFFF" w:val="clear"/>
        </w:rPr>
      </w:pPr>
      <w:r>
        <w:rPr>
          <w:rFonts w:ascii="Cambria" w:hAnsi="Cambria" w:cs="Cambria" w:eastAsia="Cambria"/>
          <w:color w:val="auto"/>
          <w:spacing w:val="0"/>
          <w:position w:val="0"/>
          <w:sz w:val="24"/>
          <w:shd w:fill="FFFFFF" w:val="clear"/>
        </w:rPr>
        <w:t xml:space="preserve">Dhillon, A. and Vachhrajani, H. (2012). </w:t>
      </w:r>
      <w:r>
        <w:rPr>
          <w:rFonts w:ascii="Cambria" w:hAnsi="Cambria" w:cs="Cambria" w:eastAsia="Cambria"/>
          <w:i/>
          <w:color w:val="auto"/>
          <w:spacing w:val="0"/>
          <w:position w:val="0"/>
          <w:sz w:val="24"/>
          <w:shd w:fill="FFFFFF" w:val="clear"/>
        </w:rPr>
        <w:t xml:space="preserve">Impact of Operational E</w:t>
      </w:r>
      <w:r>
        <w:rPr>
          <w:rFonts w:ascii="Cambria" w:hAnsi="Cambria" w:cs="Cambria" w:eastAsia="Cambria"/>
          <w:i/>
          <w:color w:val="auto"/>
          <w:spacing w:val="0"/>
          <w:position w:val="0"/>
          <w:sz w:val="24"/>
          <w:shd w:fill="FFFFFF" w:val="clear"/>
        </w:rPr>
        <w:t xml:space="preserve">ﬃ</w:t>
      </w:r>
      <w:r>
        <w:rPr>
          <w:rFonts w:ascii="Cambria" w:hAnsi="Cambria" w:cs="Cambria" w:eastAsia="Cambria"/>
          <w:i/>
          <w:color w:val="auto"/>
          <w:spacing w:val="0"/>
          <w:position w:val="0"/>
          <w:sz w:val="24"/>
          <w:shd w:fill="FFFFFF" w:val="clear"/>
        </w:rPr>
        <w:t xml:space="preserve">ciency on Overall Pro</w:t>
      </w:r>
      <w:r>
        <w:rPr>
          <w:rFonts w:ascii="Cambria" w:hAnsi="Cambria" w:cs="Cambria" w:eastAsia="Cambria"/>
          <w:i/>
          <w:color w:val="auto"/>
          <w:spacing w:val="0"/>
          <w:position w:val="0"/>
          <w:sz w:val="24"/>
          <w:shd w:fill="FFFFFF" w:val="clear"/>
        </w:rPr>
        <w:t xml:space="preserve">ﬁ</w:t>
      </w:r>
      <w:r>
        <w:rPr>
          <w:rFonts w:ascii="Cambria" w:hAnsi="Cambria" w:cs="Cambria" w:eastAsia="Cambria"/>
          <w:i/>
          <w:color w:val="auto"/>
          <w:spacing w:val="0"/>
          <w:position w:val="0"/>
          <w:sz w:val="24"/>
          <w:shd w:fill="FFFFFF" w:val="clear"/>
        </w:rPr>
        <w:t xml:space="preserve">tability- A Case Study of GIPCL</w:t>
      </w:r>
      <w:r>
        <w:rPr>
          <w:rFonts w:ascii="Cambria" w:hAnsi="Cambria" w:cs="Cambria" w:eastAsia="Cambria"/>
          <w:color w:val="auto"/>
          <w:spacing w:val="0"/>
          <w:position w:val="0"/>
          <w:sz w:val="24"/>
          <w:shd w:fill="FFFFFF" w:val="clear"/>
        </w:rPr>
        <w:t xml:space="preserve">. Amrita Vishwa Vidyapeetham, University.</w:t>
      </w:r>
    </w:p>
    <w:p>
      <w:pPr>
        <w:spacing w:before="0" w:after="160" w:line="360"/>
        <w:ind w:right="0" w:left="0" w:firstLine="0"/>
        <w:jc w:val="both"/>
        <w:rPr>
          <w:rFonts w:ascii="Cambria" w:hAnsi="Cambria" w:cs="Cambria" w:eastAsia="Cambria"/>
          <w:color w:val="auto"/>
          <w:spacing w:val="0"/>
          <w:position w:val="0"/>
          <w:sz w:val="24"/>
          <w:shd w:fill="FFFFFF" w:val="clear"/>
        </w:rPr>
      </w:pPr>
      <w:r>
        <w:rPr>
          <w:rFonts w:ascii="Cambria" w:hAnsi="Cambria" w:cs="Cambria" w:eastAsia="Cambria"/>
          <w:color w:val="auto"/>
          <w:spacing w:val="0"/>
          <w:position w:val="0"/>
          <w:sz w:val="24"/>
          <w:shd w:fill="FFFFFF" w:val="clear"/>
        </w:rPr>
        <w:t xml:space="preserve">Mutinda, A. (2013). </w:t>
      </w:r>
      <w:r>
        <w:rPr>
          <w:rFonts w:ascii="Cambria" w:hAnsi="Cambria" w:cs="Cambria" w:eastAsia="Cambria"/>
          <w:i/>
          <w:color w:val="auto"/>
          <w:spacing w:val="0"/>
          <w:position w:val="0"/>
          <w:sz w:val="24"/>
          <w:shd w:fill="FFFFFF" w:val="clear"/>
        </w:rPr>
        <w:t xml:space="preserve">Value chain and competitive advantage in Commercial banks in Kenya</w:t>
      </w:r>
      <w:r>
        <w:rPr>
          <w:rFonts w:ascii="Cambria" w:hAnsi="Cambria" w:cs="Cambria" w:eastAsia="Cambria"/>
          <w:color w:val="auto"/>
          <w:spacing w:val="0"/>
          <w:position w:val="0"/>
          <w:sz w:val="24"/>
          <w:shd w:fill="FFFFFF" w:val="clear"/>
        </w:rPr>
        <w:t xml:space="preserve">. MBA. University of Nairobi.</w:t>
      </w:r>
    </w:p>
    <w:p>
      <w:pPr>
        <w:spacing w:before="0" w:after="160" w:line="360"/>
        <w:ind w:right="0" w:left="0" w:firstLine="0"/>
        <w:jc w:val="both"/>
        <w:rPr>
          <w:rFonts w:ascii="Cambria" w:hAnsi="Cambria" w:cs="Cambria" w:eastAsia="Cambria"/>
          <w:color w:val="auto"/>
          <w:spacing w:val="0"/>
          <w:position w:val="0"/>
          <w:sz w:val="24"/>
          <w:shd w:fill="FFFFFF" w:val="clear"/>
        </w:rPr>
      </w:pPr>
      <w:r>
        <w:rPr>
          <w:rFonts w:ascii="Cambria" w:hAnsi="Cambria" w:cs="Cambria" w:eastAsia="Cambria"/>
          <w:color w:val="auto"/>
          <w:spacing w:val="0"/>
          <w:position w:val="0"/>
          <w:sz w:val="24"/>
          <w:shd w:fill="FFFFFF" w:val="clear"/>
        </w:rPr>
        <w:t xml:space="preserve">Gordon-Bloomfield, N. (2014). </w:t>
      </w:r>
      <w:r>
        <w:rPr>
          <w:rFonts w:ascii="Cambria" w:hAnsi="Cambria" w:cs="Cambria" w:eastAsia="Cambria"/>
          <w:i/>
          <w:color w:val="auto"/>
          <w:spacing w:val="0"/>
          <w:position w:val="0"/>
          <w:sz w:val="24"/>
          <w:shd w:fill="FFFFFF" w:val="clear"/>
        </w:rPr>
        <w:t xml:space="preserve">How Nissan Makes its Electric Car Battery Packs, Part One of Three: On Being Super-Clean - Transport Evolved</w:t>
      </w:r>
      <w:r>
        <w:rPr>
          <w:rFonts w:ascii="Cambria" w:hAnsi="Cambria" w:cs="Cambria" w:eastAsia="Cambria"/>
          <w:color w:val="auto"/>
          <w:spacing w:val="0"/>
          <w:position w:val="0"/>
          <w:sz w:val="24"/>
          <w:shd w:fill="FFFFFF" w:val="clear"/>
        </w:rPr>
        <w:t xml:space="preserve">.</w:t>
      </w:r>
    </w:p>
    <w:p>
      <w:pPr>
        <w:spacing w:before="0" w:after="160" w:line="360"/>
        <w:ind w:right="0" w:left="0" w:firstLine="0"/>
        <w:jc w:val="both"/>
        <w:rPr>
          <w:rFonts w:ascii="Cambria" w:hAnsi="Cambria" w:cs="Cambria" w:eastAsia="Cambria"/>
          <w:color w:val="auto"/>
          <w:spacing w:val="0"/>
          <w:position w:val="0"/>
          <w:sz w:val="24"/>
          <w:shd w:fill="FFFFFF" w:val="clear"/>
        </w:rPr>
      </w:pPr>
      <w:r>
        <w:rPr>
          <w:rFonts w:ascii="Cambria" w:hAnsi="Cambria" w:cs="Cambria" w:eastAsia="Cambria"/>
          <w:color w:val="auto"/>
          <w:spacing w:val="0"/>
          <w:position w:val="0"/>
          <w:sz w:val="24"/>
          <w:shd w:fill="FFFFFF" w:val="clear"/>
        </w:rPr>
        <w:t xml:space="preserve">Gnttype (2017). </w:t>
      </w:r>
      <w:r>
        <w:rPr>
          <w:rFonts w:ascii="Cambria" w:hAnsi="Cambria" w:cs="Cambria" w:eastAsia="Cambria"/>
          <w:i/>
          <w:color w:val="auto"/>
          <w:spacing w:val="0"/>
          <w:position w:val="0"/>
          <w:sz w:val="24"/>
          <w:shd w:fill="FFFFFF" w:val="clear"/>
        </w:rPr>
        <w:t xml:space="preserve">Turbocharger Compressor Calculations</w:t>
      </w:r>
      <w:r>
        <w:rPr>
          <w:rFonts w:ascii="Cambria" w:hAnsi="Cambria" w:cs="Cambria" w:eastAsia="Cambria"/>
          <w:color w:val="auto"/>
          <w:spacing w:val="0"/>
          <w:position w:val="0"/>
          <w:sz w:val="24"/>
          <w:shd w:fill="FFFFFF" w:val="clear"/>
        </w:rPr>
        <w:t xml:space="preserve">.</w:t>
      </w:r>
    </w:p>
    <w:p>
      <w:pPr>
        <w:spacing w:before="0" w:after="160" w:line="360"/>
        <w:ind w:right="0" w:left="0" w:firstLine="0"/>
        <w:jc w:val="both"/>
        <w:rPr>
          <w:rFonts w:ascii="Cambria" w:hAnsi="Cambria" w:cs="Cambria" w:eastAsia="Cambria"/>
          <w:color w:val="auto"/>
          <w:spacing w:val="0"/>
          <w:position w:val="0"/>
          <w:sz w:val="24"/>
          <w:shd w:fill="FFFFFF" w:val="clear"/>
        </w:rPr>
      </w:pPr>
      <w:r>
        <w:rPr>
          <w:rFonts w:ascii="Cambria" w:hAnsi="Cambria" w:cs="Cambria" w:eastAsia="Cambria"/>
          <w:color w:val="auto"/>
          <w:spacing w:val="0"/>
          <w:position w:val="0"/>
          <w:sz w:val="24"/>
          <w:shd w:fill="FFFFFF" w:val="clear"/>
        </w:rPr>
        <w:t xml:space="preserve">Cbsnews (2015). </w:t>
      </w:r>
      <w:r>
        <w:rPr>
          <w:rFonts w:ascii="Cambria" w:hAnsi="Cambria" w:cs="Cambria" w:eastAsia="Cambria"/>
          <w:i/>
          <w:color w:val="auto"/>
          <w:spacing w:val="0"/>
          <w:position w:val="0"/>
          <w:sz w:val="24"/>
          <w:shd w:fill="FFFFFF" w:val="clear"/>
        </w:rPr>
        <w:t xml:space="preserve">Gulf Oil Spill: Fears of a BP Bankruptcy Filing Are Overblown</w:t>
      </w:r>
      <w:r>
        <w:rPr>
          <w:rFonts w:ascii="Cambria" w:hAnsi="Cambria" w:cs="Cambria" w:eastAsia="Cambria"/>
          <w:color w:val="auto"/>
          <w:spacing w:val="0"/>
          <w:position w:val="0"/>
          <w:sz w:val="24"/>
          <w:shd w:fill="FFFFFF" w:val="clear"/>
        </w:rPr>
        <w:t xml:space="preserve">.</w:t>
      </w:r>
    </w:p>
    <w:p>
      <w:pPr>
        <w:spacing w:before="0" w:after="160" w:line="360"/>
        <w:ind w:right="0" w:left="0" w:firstLine="0"/>
        <w:jc w:val="both"/>
        <w:rPr>
          <w:rFonts w:ascii="Cambria" w:hAnsi="Cambria" w:cs="Cambria" w:eastAsia="Cambria"/>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10">
    <w:abstractNumId w:val="6"/>
  </w:num>
  <w:num w:numId="17">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