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A827F" w14:textId="4588B44E" w:rsidR="009C1A41" w:rsidRDefault="0016675C" w:rsidP="0016675C">
      <w:pPr>
        <w:pStyle w:val="Title"/>
        <w:spacing w:after="0"/>
        <w:jc w:val="center"/>
        <w:rPr>
          <w:rFonts w:ascii="Arial" w:eastAsia="Arial" w:hAnsi="Arial" w:cs="Arial"/>
        </w:rPr>
      </w:pPr>
      <w:r>
        <w:rPr>
          <w:noProof/>
          <w14:ligatures w14:val="standardContextual"/>
        </w:rPr>
        <w:drawing>
          <wp:inline distT="0" distB="0" distL="0" distR="0" wp14:anchorId="2879E6D5" wp14:editId="78D422B0">
            <wp:extent cx="2548998" cy="1073150"/>
            <wp:effectExtent l="0" t="0" r="3810" b="0"/>
            <wp:docPr id="6" name="Picture 1" descr="University of Wales Trinity Saint David | World-Class Education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University of Wales Trinity Saint David | World-Class Education in Wales"/>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a:xfrm>
                      <a:off x="0" y="0"/>
                      <a:ext cx="2580508" cy="1086416"/>
                    </a:xfrm>
                    <a:prstGeom prst="rect">
                      <a:avLst/>
                    </a:prstGeom>
                    <a:noFill/>
                    <a:ln>
                      <a:noFill/>
                    </a:ln>
                  </pic:spPr>
                </pic:pic>
              </a:graphicData>
            </a:graphic>
          </wp:inline>
        </w:drawing>
      </w:r>
    </w:p>
    <w:p w14:paraId="602D3DD7" w14:textId="003777E8" w:rsidR="009C1A41" w:rsidRPr="0016675C" w:rsidRDefault="0016675C" w:rsidP="0016675C">
      <w:pPr>
        <w:pStyle w:val="Title"/>
        <w:spacing w:after="0"/>
        <w:jc w:val="center"/>
        <w:rPr>
          <w:rFonts w:ascii="Arial" w:eastAsia="Arial" w:hAnsi="Arial" w:cs="Arial"/>
          <w:sz w:val="52"/>
          <w:szCs w:val="52"/>
        </w:rPr>
      </w:pPr>
      <w:r w:rsidRPr="0016675C">
        <w:rPr>
          <w:rFonts w:ascii="Arial" w:eastAsia="Arial" w:hAnsi="Arial" w:cs="Arial"/>
          <w:sz w:val="52"/>
          <w:szCs w:val="52"/>
        </w:rPr>
        <w:t>BUSINESS DEVELOPMENT PROPOSAL</w:t>
      </w:r>
    </w:p>
    <w:p w14:paraId="42AA5D1D" w14:textId="77777777" w:rsidR="009C1A41" w:rsidRDefault="009C1A41" w:rsidP="009C1A41">
      <w:pPr>
        <w:pStyle w:val="Title"/>
        <w:spacing w:after="0"/>
        <w:rPr>
          <w:rFonts w:ascii="Arial" w:eastAsia="Arial" w:hAnsi="Arial" w:cs="Arial"/>
        </w:rPr>
      </w:pPr>
    </w:p>
    <w:p w14:paraId="7CFC1D05" w14:textId="77777777" w:rsidR="009C1A41" w:rsidRDefault="009C1A41" w:rsidP="009C1A41">
      <w:pPr>
        <w:jc w:val="center"/>
        <w:rPr>
          <w:rFonts w:ascii="Arial" w:eastAsia="Arial" w:hAnsi="Arial" w:cs="Arial"/>
          <w:color w:val="000000"/>
        </w:rPr>
      </w:pPr>
      <w:r>
        <w:rPr>
          <w:rFonts w:ascii="Arial" w:eastAsia="Arial" w:hAnsi="Arial" w:cs="Arial"/>
          <w:color w:val="000000"/>
        </w:rPr>
        <w:t xml:space="preserve">“Expanding Affordable Electric Vehicle Adoption in Emerging Markets through Sustainable Innovation and Digital Transformation in Tesla” </w:t>
      </w:r>
    </w:p>
    <w:p w14:paraId="6EF24EC9" w14:textId="77777777" w:rsidR="009C1A41" w:rsidRDefault="009C1A41" w:rsidP="009C1A41">
      <w:pPr>
        <w:tabs>
          <w:tab w:val="left" w:pos="2490"/>
        </w:tabs>
        <w:jc w:val="center"/>
        <w:rPr>
          <w:rFonts w:ascii="Arial" w:eastAsia="Arial" w:hAnsi="Arial" w:cs="Arial"/>
          <w:b/>
          <w:color w:val="EE0000"/>
        </w:rPr>
      </w:pPr>
      <w:r w:rsidRPr="00D135A0">
        <w:rPr>
          <w:rFonts w:ascii="Arial" w:eastAsia="Arial" w:hAnsi="Arial" w:cs="Arial"/>
          <w:b/>
          <w:color w:val="EE0000"/>
        </w:rPr>
        <w:t>Tesla (EV &amp; AI Industry)</w:t>
      </w:r>
    </w:p>
    <w:p w14:paraId="60C56C87" w14:textId="77777777" w:rsidR="009C1A41" w:rsidRPr="00D135A0" w:rsidRDefault="009C1A41" w:rsidP="009C1A41">
      <w:pPr>
        <w:tabs>
          <w:tab w:val="left" w:pos="2490"/>
        </w:tabs>
        <w:jc w:val="center"/>
        <w:rPr>
          <w:rFonts w:ascii="Arial" w:eastAsia="Arial" w:hAnsi="Arial" w:cs="Arial"/>
          <w:b/>
          <w:color w:val="EE0000"/>
        </w:rPr>
      </w:pPr>
    </w:p>
    <w:p w14:paraId="10E16C75" w14:textId="66156521" w:rsidR="009C1A41" w:rsidRPr="00D135A0" w:rsidRDefault="00DE4569" w:rsidP="00DE4569">
      <w:pPr>
        <w:rPr>
          <w:rFonts w:ascii="Arial" w:eastAsia="Arial" w:hAnsi="Arial" w:cs="Arial"/>
          <w:b/>
          <w:color w:val="000000"/>
          <w:sz w:val="28"/>
          <w:szCs w:val="28"/>
        </w:rPr>
      </w:pPr>
      <w:r>
        <w:rPr>
          <w:rFonts w:ascii="Arial" w:eastAsia="Arial" w:hAnsi="Arial" w:cs="Arial"/>
          <w:b/>
          <w:color w:val="000000"/>
          <w:sz w:val="28"/>
          <w:szCs w:val="28"/>
        </w:rPr>
        <w:t xml:space="preserve">                                   </w:t>
      </w:r>
      <w:r w:rsidR="009C1A41" w:rsidRPr="00D135A0">
        <w:rPr>
          <w:rFonts w:ascii="Arial" w:eastAsia="Arial" w:hAnsi="Arial" w:cs="Arial"/>
          <w:b/>
          <w:color w:val="000000"/>
          <w:sz w:val="28"/>
          <w:szCs w:val="28"/>
        </w:rPr>
        <w:t>Module code: LCMB7037</w:t>
      </w:r>
    </w:p>
    <w:p w14:paraId="330A902F" w14:textId="77777777" w:rsidR="009C1A41" w:rsidRPr="00D135A0" w:rsidRDefault="009C1A41" w:rsidP="009C1A41">
      <w:pPr>
        <w:jc w:val="center"/>
        <w:rPr>
          <w:rFonts w:ascii="Arial" w:eastAsia="Arial" w:hAnsi="Arial" w:cs="Arial"/>
          <w:b/>
          <w:color w:val="000000"/>
          <w:sz w:val="28"/>
          <w:szCs w:val="28"/>
        </w:rPr>
      </w:pPr>
      <w:r w:rsidRPr="00D135A0">
        <w:rPr>
          <w:rFonts w:ascii="Arial" w:eastAsia="Arial" w:hAnsi="Arial" w:cs="Arial"/>
          <w:b/>
          <w:color w:val="000000"/>
          <w:sz w:val="28"/>
          <w:szCs w:val="28"/>
        </w:rPr>
        <w:t xml:space="preserve">Name: Khunti Sneha </w:t>
      </w:r>
      <w:proofErr w:type="spellStart"/>
      <w:r w:rsidRPr="00D135A0">
        <w:rPr>
          <w:rFonts w:ascii="Arial" w:eastAsia="Arial" w:hAnsi="Arial" w:cs="Arial"/>
          <w:b/>
          <w:color w:val="000000"/>
          <w:sz w:val="28"/>
          <w:szCs w:val="28"/>
        </w:rPr>
        <w:t>Sajanbhai</w:t>
      </w:r>
      <w:proofErr w:type="spellEnd"/>
    </w:p>
    <w:p w14:paraId="374A2016" w14:textId="77777777" w:rsidR="009C1A41" w:rsidRPr="00D135A0" w:rsidRDefault="009C1A41" w:rsidP="009C1A41">
      <w:pPr>
        <w:jc w:val="center"/>
        <w:rPr>
          <w:rFonts w:ascii="Arial" w:eastAsia="Arial" w:hAnsi="Arial" w:cs="Arial"/>
          <w:b/>
          <w:color w:val="000000"/>
          <w:sz w:val="28"/>
          <w:szCs w:val="28"/>
        </w:rPr>
      </w:pPr>
      <w:r w:rsidRPr="00D135A0">
        <w:rPr>
          <w:rFonts w:ascii="Arial" w:eastAsia="Arial" w:hAnsi="Arial" w:cs="Arial"/>
          <w:b/>
          <w:color w:val="000000"/>
          <w:sz w:val="28"/>
          <w:szCs w:val="28"/>
        </w:rPr>
        <w:t>Student ID: 2504970</w:t>
      </w:r>
    </w:p>
    <w:p w14:paraId="31BDAAA2" w14:textId="77777777" w:rsidR="009C1A41" w:rsidRDefault="009C1A41" w:rsidP="009C1A41">
      <w:pPr>
        <w:jc w:val="center"/>
        <w:rPr>
          <w:rFonts w:ascii="Arial" w:eastAsia="Arial" w:hAnsi="Arial" w:cs="Arial"/>
          <w:color w:val="000000"/>
        </w:rPr>
      </w:pPr>
    </w:p>
    <w:p w14:paraId="5447DCFF" w14:textId="77777777" w:rsidR="009C1A41" w:rsidRDefault="009C1A41" w:rsidP="009C1A41">
      <w:pPr>
        <w:rPr>
          <w:rFonts w:ascii="Arial" w:eastAsia="Arial" w:hAnsi="Arial" w:cs="Arial"/>
          <w:color w:val="000000"/>
        </w:rPr>
      </w:pPr>
    </w:p>
    <w:p w14:paraId="63F5FBCD" w14:textId="77777777" w:rsidR="009C1A41" w:rsidRDefault="009C1A41" w:rsidP="009C1A41">
      <w:pPr>
        <w:rPr>
          <w:rFonts w:ascii="Arial" w:eastAsia="Arial" w:hAnsi="Arial" w:cs="Arial"/>
          <w:color w:val="000000"/>
        </w:rPr>
      </w:pPr>
    </w:p>
    <w:p w14:paraId="6EC9C727" w14:textId="77777777" w:rsidR="009C1A41" w:rsidRDefault="009C1A41" w:rsidP="009C1A41">
      <w:pPr>
        <w:rPr>
          <w:rFonts w:ascii="Arial" w:eastAsia="Arial" w:hAnsi="Arial" w:cs="Arial"/>
          <w:color w:val="000000"/>
        </w:rPr>
      </w:pPr>
    </w:p>
    <w:p w14:paraId="4DEA21A5" w14:textId="77777777" w:rsidR="009C1A41" w:rsidRDefault="009C1A41" w:rsidP="009C1A41">
      <w:pPr>
        <w:rPr>
          <w:rFonts w:ascii="Arial" w:eastAsia="Arial" w:hAnsi="Arial" w:cs="Arial"/>
          <w:color w:val="000000"/>
        </w:rPr>
      </w:pPr>
    </w:p>
    <w:p w14:paraId="2A19A829" w14:textId="77777777" w:rsidR="009C1A41" w:rsidRDefault="009C1A41" w:rsidP="009C1A41">
      <w:pPr>
        <w:rPr>
          <w:rFonts w:ascii="Arial" w:eastAsia="Arial" w:hAnsi="Arial" w:cs="Arial"/>
          <w:color w:val="000000"/>
        </w:rPr>
      </w:pPr>
    </w:p>
    <w:p w14:paraId="3554F1FB" w14:textId="77777777" w:rsidR="009C1A41" w:rsidRDefault="009C1A41" w:rsidP="009C1A41">
      <w:pPr>
        <w:tabs>
          <w:tab w:val="left" w:pos="2475"/>
        </w:tabs>
        <w:rPr>
          <w:rFonts w:ascii="Arial" w:eastAsia="Arial" w:hAnsi="Arial" w:cs="Arial"/>
          <w:color w:val="000000"/>
          <w:sz w:val="52"/>
          <w:szCs w:val="52"/>
        </w:rPr>
      </w:pPr>
      <w:r>
        <w:rPr>
          <w:rFonts w:ascii="Arial" w:eastAsia="Arial" w:hAnsi="Arial" w:cs="Arial"/>
          <w:color w:val="000000"/>
          <w:sz w:val="52"/>
          <w:szCs w:val="52"/>
        </w:rPr>
        <w:tab/>
      </w:r>
    </w:p>
    <w:p w14:paraId="16D3EFCB" w14:textId="77777777" w:rsidR="009C1A41" w:rsidRDefault="009C1A41" w:rsidP="009C1A41">
      <w:pPr>
        <w:spacing w:before="0" w:after="200" w:line="276" w:lineRule="auto"/>
        <w:jc w:val="left"/>
        <w:rPr>
          <w:rFonts w:ascii="Arial" w:eastAsia="Arial" w:hAnsi="Arial" w:cs="Arial"/>
          <w:color w:val="000000"/>
          <w:sz w:val="52"/>
          <w:szCs w:val="52"/>
        </w:rPr>
      </w:pPr>
      <w:r>
        <w:br w:type="page"/>
      </w:r>
    </w:p>
    <w:p w14:paraId="5BA30EC5" w14:textId="77777777" w:rsidR="009C1A41" w:rsidRDefault="009C1A41" w:rsidP="009C1A41">
      <w:pPr>
        <w:keepNext/>
        <w:keepLines/>
        <w:pBdr>
          <w:top w:val="nil"/>
          <w:left w:val="nil"/>
          <w:bottom w:val="nil"/>
          <w:right w:val="nil"/>
          <w:between w:val="nil"/>
        </w:pBdr>
        <w:spacing w:before="240" w:after="0" w:line="259" w:lineRule="auto"/>
        <w:jc w:val="center"/>
        <w:rPr>
          <w:rFonts w:ascii="Arial" w:eastAsia="Arial" w:hAnsi="Arial" w:cs="Arial"/>
          <w:b/>
          <w:color w:val="000000"/>
          <w:sz w:val="28"/>
          <w:szCs w:val="28"/>
        </w:rPr>
      </w:pPr>
      <w:r>
        <w:rPr>
          <w:rFonts w:ascii="Arial" w:eastAsia="Arial" w:hAnsi="Arial" w:cs="Arial"/>
          <w:b/>
          <w:color w:val="000000"/>
          <w:sz w:val="28"/>
          <w:szCs w:val="28"/>
        </w:rPr>
        <w:lastRenderedPageBreak/>
        <w:t>Table of Contents</w:t>
      </w:r>
    </w:p>
    <w:sdt>
      <w:sdtPr>
        <w:id w:val="377909669"/>
        <w:docPartObj>
          <w:docPartGallery w:val="Table of Contents"/>
          <w:docPartUnique/>
        </w:docPartObj>
      </w:sdtPr>
      <w:sdtContent>
        <w:p w14:paraId="197A751C" w14:textId="77777777" w:rsidR="009C1A41" w:rsidRDefault="009C1A41" w:rsidP="009C1A41">
          <w:pPr>
            <w:pBdr>
              <w:top w:val="nil"/>
              <w:left w:val="nil"/>
              <w:bottom w:val="nil"/>
              <w:right w:val="nil"/>
              <w:between w:val="nil"/>
            </w:pBdr>
            <w:tabs>
              <w:tab w:val="right" w:leader="dot" w:pos="9016"/>
            </w:tabs>
            <w:spacing w:after="100"/>
            <w:rPr>
              <w:rFonts w:ascii="Arial" w:eastAsia="Arial" w:hAnsi="Arial" w:cs="Arial"/>
              <w:color w:val="000000"/>
            </w:rPr>
          </w:pPr>
          <w:r>
            <w:fldChar w:fldCharType="begin"/>
          </w:r>
          <w:r>
            <w:instrText xml:space="preserve"> TOC \h \u \z \t "Heading 1,1,Heading 2,2,Heading 3,3,"</w:instrText>
          </w:r>
          <w:r>
            <w:fldChar w:fldCharType="separate"/>
          </w:r>
          <w:hyperlink w:anchor="_gjdgxs">
            <w:r>
              <w:rPr>
                <w:rFonts w:ascii="Arial" w:eastAsia="Arial" w:hAnsi="Arial" w:cs="Arial"/>
                <w:color w:val="000000"/>
              </w:rPr>
              <w:t>Introduction</w:t>
            </w:r>
            <w:r>
              <w:rPr>
                <w:rFonts w:ascii="Arial" w:eastAsia="Arial" w:hAnsi="Arial" w:cs="Arial"/>
                <w:color w:val="000000"/>
              </w:rPr>
              <w:tab/>
              <w:t>3</w:t>
            </w:r>
          </w:hyperlink>
        </w:p>
        <w:p w14:paraId="09EB68F9" w14:textId="77777777" w:rsidR="009C1A41" w:rsidRDefault="009C1A41" w:rsidP="009C1A41">
          <w:pPr>
            <w:pBdr>
              <w:top w:val="nil"/>
              <w:left w:val="nil"/>
              <w:bottom w:val="nil"/>
              <w:right w:val="nil"/>
              <w:between w:val="nil"/>
            </w:pBdr>
            <w:tabs>
              <w:tab w:val="right" w:leader="dot" w:pos="9016"/>
            </w:tabs>
            <w:spacing w:after="100"/>
            <w:rPr>
              <w:rFonts w:ascii="Arial" w:eastAsia="Arial" w:hAnsi="Arial" w:cs="Arial"/>
              <w:color w:val="000000"/>
            </w:rPr>
          </w:pPr>
          <w:hyperlink w:anchor="_30j0zll">
            <w:r>
              <w:rPr>
                <w:rFonts w:ascii="Arial" w:eastAsia="Arial" w:hAnsi="Arial" w:cs="Arial"/>
                <w:color w:val="000000"/>
              </w:rPr>
              <w:t>Methodology</w:t>
            </w:r>
            <w:r>
              <w:rPr>
                <w:rFonts w:ascii="Arial" w:eastAsia="Arial" w:hAnsi="Arial" w:cs="Arial"/>
                <w:color w:val="000000"/>
              </w:rPr>
              <w:tab/>
              <w:t>6</w:t>
            </w:r>
          </w:hyperlink>
        </w:p>
        <w:p w14:paraId="2726DBF8" w14:textId="77777777" w:rsidR="009C1A41" w:rsidRDefault="009C1A41" w:rsidP="009C1A41">
          <w:pPr>
            <w:pBdr>
              <w:top w:val="nil"/>
              <w:left w:val="nil"/>
              <w:bottom w:val="nil"/>
              <w:right w:val="nil"/>
              <w:between w:val="nil"/>
            </w:pBdr>
            <w:tabs>
              <w:tab w:val="right" w:leader="dot" w:pos="9016"/>
            </w:tabs>
            <w:spacing w:after="100"/>
            <w:rPr>
              <w:rFonts w:ascii="Arial" w:eastAsia="Arial" w:hAnsi="Arial" w:cs="Arial"/>
              <w:color w:val="000000"/>
            </w:rPr>
          </w:pPr>
          <w:hyperlink w:anchor="_1fob9te">
            <w:r>
              <w:rPr>
                <w:rFonts w:ascii="Arial" w:eastAsia="Arial" w:hAnsi="Arial" w:cs="Arial"/>
                <w:color w:val="000000"/>
              </w:rPr>
              <w:t>Market research and validation</w:t>
            </w:r>
            <w:r>
              <w:rPr>
                <w:rFonts w:ascii="Arial" w:eastAsia="Arial" w:hAnsi="Arial" w:cs="Arial"/>
                <w:color w:val="000000"/>
              </w:rPr>
              <w:tab/>
              <w:t>8</w:t>
            </w:r>
          </w:hyperlink>
        </w:p>
        <w:p w14:paraId="18D185D3" w14:textId="77777777" w:rsidR="009C1A41" w:rsidRDefault="009C1A41" w:rsidP="009C1A41">
          <w:pPr>
            <w:pBdr>
              <w:top w:val="nil"/>
              <w:left w:val="nil"/>
              <w:bottom w:val="nil"/>
              <w:right w:val="nil"/>
              <w:between w:val="nil"/>
            </w:pBdr>
            <w:tabs>
              <w:tab w:val="right" w:leader="dot" w:pos="9016"/>
            </w:tabs>
            <w:spacing w:after="100"/>
            <w:rPr>
              <w:rFonts w:ascii="Arial" w:eastAsia="Arial" w:hAnsi="Arial" w:cs="Arial"/>
              <w:color w:val="000000"/>
            </w:rPr>
          </w:pPr>
          <w:hyperlink w:anchor="_3znysh7">
            <w:r>
              <w:rPr>
                <w:rFonts w:ascii="Arial" w:eastAsia="Arial" w:hAnsi="Arial" w:cs="Arial"/>
                <w:color w:val="000000"/>
              </w:rPr>
              <w:t>Risks</w:t>
            </w:r>
            <w:r>
              <w:rPr>
                <w:rFonts w:ascii="Arial" w:eastAsia="Arial" w:hAnsi="Arial" w:cs="Arial"/>
                <w:color w:val="000000"/>
              </w:rPr>
              <w:tab/>
              <w:t>10</w:t>
            </w:r>
          </w:hyperlink>
        </w:p>
        <w:p w14:paraId="3907A321" w14:textId="77777777" w:rsidR="009C1A41" w:rsidRDefault="009C1A41" w:rsidP="009C1A41">
          <w:pPr>
            <w:pBdr>
              <w:top w:val="nil"/>
              <w:left w:val="nil"/>
              <w:bottom w:val="nil"/>
              <w:right w:val="nil"/>
              <w:between w:val="nil"/>
            </w:pBdr>
            <w:tabs>
              <w:tab w:val="right" w:leader="dot" w:pos="9016"/>
            </w:tabs>
            <w:spacing w:after="100"/>
            <w:rPr>
              <w:rFonts w:ascii="Arial" w:eastAsia="Arial" w:hAnsi="Arial" w:cs="Arial"/>
              <w:color w:val="000000"/>
            </w:rPr>
          </w:pPr>
          <w:hyperlink w:anchor="_2et92p0">
            <w:r>
              <w:rPr>
                <w:rFonts w:ascii="Arial" w:eastAsia="Arial" w:hAnsi="Arial" w:cs="Arial"/>
                <w:color w:val="000000"/>
              </w:rPr>
              <w:t>Timeline (Gantt Chart)</w:t>
            </w:r>
            <w:r>
              <w:rPr>
                <w:rFonts w:ascii="Arial" w:eastAsia="Arial" w:hAnsi="Arial" w:cs="Arial"/>
                <w:color w:val="000000"/>
              </w:rPr>
              <w:tab/>
              <w:t>11</w:t>
            </w:r>
          </w:hyperlink>
        </w:p>
        <w:p w14:paraId="7509FAA8" w14:textId="77777777" w:rsidR="009C1A41" w:rsidRDefault="009C1A41" w:rsidP="009C1A41">
          <w:pPr>
            <w:pBdr>
              <w:top w:val="nil"/>
              <w:left w:val="nil"/>
              <w:bottom w:val="nil"/>
              <w:right w:val="nil"/>
              <w:between w:val="nil"/>
            </w:pBdr>
            <w:tabs>
              <w:tab w:val="right" w:leader="dot" w:pos="9016"/>
            </w:tabs>
            <w:spacing w:after="100"/>
            <w:rPr>
              <w:rFonts w:ascii="Arial" w:eastAsia="Arial" w:hAnsi="Arial" w:cs="Arial"/>
              <w:color w:val="000000"/>
            </w:rPr>
          </w:pPr>
          <w:hyperlink w:anchor="_tyjcwt">
            <w:r>
              <w:rPr>
                <w:rFonts w:ascii="Arial" w:eastAsia="Arial" w:hAnsi="Arial" w:cs="Arial"/>
                <w:color w:val="000000"/>
              </w:rPr>
              <w:t>References</w:t>
            </w:r>
            <w:r>
              <w:rPr>
                <w:rFonts w:ascii="Arial" w:eastAsia="Arial" w:hAnsi="Arial" w:cs="Arial"/>
                <w:color w:val="000000"/>
              </w:rPr>
              <w:tab/>
              <w:t>12</w:t>
            </w:r>
          </w:hyperlink>
        </w:p>
        <w:p w14:paraId="1AE1FEC9" w14:textId="77777777" w:rsidR="009C1A41" w:rsidRDefault="009C1A41" w:rsidP="009C1A41">
          <w:pPr>
            <w:rPr>
              <w:rFonts w:ascii="Arial" w:eastAsia="Arial" w:hAnsi="Arial" w:cs="Arial"/>
            </w:rPr>
          </w:pPr>
          <w:r>
            <w:fldChar w:fldCharType="end"/>
          </w:r>
        </w:p>
      </w:sdtContent>
    </w:sdt>
    <w:p w14:paraId="6AF83351" w14:textId="77777777" w:rsidR="009C1A41" w:rsidRDefault="009C1A41" w:rsidP="009C1A41">
      <w:pPr>
        <w:spacing w:before="0" w:after="200" w:line="276" w:lineRule="auto"/>
        <w:jc w:val="left"/>
        <w:rPr>
          <w:rFonts w:ascii="Arial" w:eastAsia="Arial" w:hAnsi="Arial" w:cs="Arial"/>
          <w:color w:val="000000"/>
        </w:rPr>
      </w:pPr>
      <w:r>
        <w:br w:type="page"/>
      </w:r>
    </w:p>
    <w:p w14:paraId="4ED5A382" w14:textId="77777777" w:rsidR="009C1A41" w:rsidRDefault="009C1A41" w:rsidP="009C1A41">
      <w:pPr>
        <w:pStyle w:val="Heading1"/>
        <w:rPr>
          <w:rFonts w:ascii="Arial" w:eastAsia="Arial" w:hAnsi="Arial" w:cs="Arial"/>
        </w:rPr>
      </w:pPr>
      <w:bookmarkStart w:id="0" w:name="_gjdgxs" w:colFirst="0" w:colLast="0"/>
      <w:bookmarkEnd w:id="0"/>
      <w:r>
        <w:rPr>
          <w:rFonts w:ascii="Arial" w:eastAsia="Arial" w:hAnsi="Arial" w:cs="Arial"/>
        </w:rPr>
        <w:t xml:space="preserve">Introduction </w:t>
      </w:r>
    </w:p>
    <w:p w14:paraId="74EEA071" w14:textId="77777777" w:rsidR="009C1A41" w:rsidRDefault="009C1A41" w:rsidP="009C1A41">
      <w:pPr>
        <w:rPr>
          <w:rFonts w:ascii="Arial" w:eastAsia="Arial" w:hAnsi="Arial" w:cs="Arial"/>
          <w:b/>
        </w:rPr>
      </w:pPr>
      <w:r>
        <w:rPr>
          <w:rFonts w:ascii="Arial" w:eastAsia="Arial" w:hAnsi="Arial" w:cs="Arial"/>
          <w:b/>
        </w:rPr>
        <w:t xml:space="preserve">Background </w:t>
      </w:r>
    </w:p>
    <w:p w14:paraId="018E16AD" w14:textId="77777777" w:rsidR="009C1A41" w:rsidRDefault="009C1A41" w:rsidP="009C1A41">
      <w:pPr>
        <w:rPr>
          <w:rFonts w:ascii="Arial" w:eastAsia="Arial" w:hAnsi="Arial" w:cs="Arial"/>
          <w:color w:val="000000"/>
        </w:rPr>
      </w:pPr>
      <w:r>
        <w:rPr>
          <w:rFonts w:ascii="Arial" w:eastAsia="Arial" w:hAnsi="Arial" w:cs="Arial"/>
          <w:color w:val="000000"/>
        </w:rPr>
        <w:t>In the current business time, the automotive sector has experienced a major amount of variation, and this is mainly in terms of environmental and technological growth as well as development that results in a reduction in environmental footprint. In addition to this, pollution, and changes in climate and also customers, governments, and other businesses are making enhanced consideration in terms of finding an alternative mode of travel. Also, it could be stated that inefficient combustion engines of different vehicles result in impacting the planet, and also in this aspect, sustainability plays a fundamental role in order to meet the changes needed and demanded by customers. This is due to multiple reasons, including government policies and innovations in battery technology, and rising consumer consciousness regarding EV benefits. This includes fuel economy, low carbon production and high efficiencies. In this kind of scenario, Tesla has emerged as one of the most noticeable companies revolutionising the auto sector (</w:t>
      </w:r>
      <w:r>
        <w:rPr>
          <w:rFonts w:ascii="Arial" w:eastAsia="Arial" w:hAnsi="Arial" w:cs="Arial"/>
        </w:rPr>
        <w:t>Tesla, 2026)</w:t>
      </w:r>
      <w:r>
        <w:rPr>
          <w:rFonts w:ascii="Arial" w:eastAsia="Arial" w:hAnsi="Arial" w:cs="Arial"/>
          <w:color w:val="000000"/>
        </w:rPr>
        <w:t>.</w:t>
      </w:r>
    </w:p>
    <w:p w14:paraId="430895A2" w14:textId="77777777" w:rsidR="009C1A41" w:rsidRDefault="009C1A41" w:rsidP="009C1A41">
      <w:pPr>
        <w:rPr>
          <w:rFonts w:ascii="Arial" w:eastAsia="Arial" w:hAnsi="Arial" w:cs="Arial"/>
          <w:color w:val="000000"/>
        </w:rPr>
      </w:pPr>
      <w:r>
        <w:rPr>
          <w:rFonts w:ascii="Arial" w:eastAsia="Arial" w:hAnsi="Arial" w:cs="Arial"/>
          <w:color w:val="000000"/>
        </w:rPr>
        <w:t>Tesla Inc.'s modern electric vehicle, battery, AI and digital revolution initiatives go far in explaining why it is renowned around the world. The corporation has created innovative electric vehicles such as Model S, Model 3, Model X, and Model Y, all combining environmental virtues with cutting-edge technology. Autonomous driving features, OTA software updates, and digitalisation have given Tesla one more leg up and set the stage for it to be one of the most competitive electric car makers in the world.</w:t>
      </w:r>
    </w:p>
    <w:p w14:paraId="3B6136D4" w14:textId="77777777" w:rsidR="009C1A41" w:rsidRDefault="009C1A41" w:rsidP="009C1A41">
      <w:pPr>
        <w:rPr>
          <w:rFonts w:ascii="Arial" w:eastAsia="Arial" w:hAnsi="Arial" w:cs="Arial"/>
          <w:color w:val="000000"/>
        </w:rPr>
      </w:pPr>
      <w:r>
        <w:rPr>
          <w:rFonts w:ascii="Arial" w:eastAsia="Arial" w:hAnsi="Arial" w:cs="Arial"/>
          <w:color w:val="000000"/>
        </w:rPr>
        <w:t>Electric vehicles (EVs) are experiencing rapid adoption in the developed world, but have many problems that prevent their use in developing countries. Those countries experiencing population growth and increased demand for transport, such as UK, Brazil, Indonesia and South Africa, have not been able to switch to electricity in volume due to issues regarding cost, lack of charging stations, and consumer awareness. The majority of Teslas are luxury cars and thus not even available to the average buyer in less developed countries.</w:t>
      </w:r>
    </w:p>
    <w:p w14:paraId="1B813331" w14:textId="77777777" w:rsidR="009C1A41" w:rsidRDefault="009C1A41" w:rsidP="009C1A41">
      <w:pPr>
        <w:rPr>
          <w:rFonts w:ascii="Arial" w:eastAsia="Arial" w:hAnsi="Arial" w:cs="Arial"/>
          <w:color w:val="000000"/>
        </w:rPr>
      </w:pPr>
      <w:r>
        <w:rPr>
          <w:rFonts w:ascii="Arial" w:eastAsia="Arial" w:hAnsi="Arial" w:cs="Arial"/>
          <w:color w:val="000000"/>
        </w:rPr>
        <w:t>Geographic constraints are another constraint to EV uptake. The number of charging infrastructure and renewable energy facilities is not adequate in the majority of emerging markets, and this lack is a direct consequence of this. Furthermore, the consumer confidence still remains influenced by battery performance, maintenance cost, and charging station availability/accessibility. But rising consumer interest in 'green' issues, fuel costs and government incentives for ‘green' transport are opening opportunities to expand EV.</w:t>
      </w:r>
    </w:p>
    <w:p w14:paraId="46959FEA" w14:textId="77777777" w:rsidR="009C1A41" w:rsidRDefault="009C1A41" w:rsidP="009C1A41">
      <w:pPr>
        <w:rPr>
          <w:rFonts w:ascii="Arial" w:eastAsia="Arial" w:hAnsi="Arial" w:cs="Arial"/>
          <w:color w:val="000000"/>
        </w:rPr>
      </w:pPr>
      <w:r>
        <w:rPr>
          <w:rFonts w:ascii="Arial" w:eastAsia="Arial" w:hAnsi="Arial" w:cs="Arial"/>
          <w:color w:val="000000"/>
        </w:rPr>
        <w:t>This business proposal emphasises the concept of sustainable innovation and digital transformation, respectively, as key strategies of Tesla's future and unlocking the potential of the expansion of affordable EV adoption in emerging markets. It highlights the obstacles that prevent EVs from being accessible and the strategic solutions that could promote accessibility, EV infrastructure, and user engagement, and overall promote sustainability goals.</w:t>
      </w:r>
    </w:p>
    <w:p w14:paraId="7524A7ED" w14:textId="77777777" w:rsidR="009C1A41" w:rsidRDefault="009C1A41" w:rsidP="009C1A41">
      <w:pPr>
        <w:rPr>
          <w:rFonts w:ascii="Arial" w:eastAsia="Arial" w:hAnsi="Arial" w:cs="Arial"/>
          <w:b/>
        </w:rPr>
      </w:pPr>
      <w:r>
        <w:rPr>
          <w:rFonts w:ascii="Arial" w:eastAsia="Arial" w:hAnsi="Arial" w:cs="Arial"/>
          <w:b/>
        </w:rPr>
        <w:t xml:space="preserve">Aim and objectives </w:t>
      </w:r>
    </w:p>
    <w:p w14:paraId="1A4B19B9" w14:textId="77777777" w:rsidR="009C1A41" w:rsidRDefault="009C1A41" w:rsidP="009C1A41">
      <w:pPr>
        <w:numPr>
          <w:ilvl w:val="0"/>
          <w:numId w:val="3"/>
        </w:numPr>
        <w:pBdr>
          <w:top w:val="nil"/>
          <w:left w:val="nil"/>
          <w:bottom w:val="nil"/>
          <w:right w:val="nil"/>
          <w:between w:val="nil"/>
        </w:pBdr>
        <w:rPr>
          <w:color w:val="000000"/>
        </w:rPr>
      </w:pPr>
      <w:r>
        <w:rPr>
          <w:rFonts w:ascii="Arial" w:eastAsia="Arial" w:hAnsi="Arial" w:cs="Arial"/>
          <w:color w:val="000000"/>
        </w:rPr>
        <w:t>To explore how expanding Affordable Electric Vehicle Adoption in Emerging Markets through Sustainable Innovation and Digital Transformation in Tesla</w:t>
      </w:r>
    </w:p>
    <w:p w14:paraId="4E2693F7" w14:textId="77777777" w:rsidR="009C1A41" w:rsidRDefault="009C1A41" w:rsidP="009C1A41">
      <w:pPr>
        <w:rPr>
          <w:rFonts w:ascii="Arial" w:eastAsia="Arial" w:hAnsi="Arial" w:cs="Arial"/>
          <w:color w:val="000000"/>
        </w:rPr>
      </w:pPr>
      <w:r>
        <w:rPr>
          <w:rFonts w:ascii="Arial" w:eastAsia="Arial" w:hAnsi="Arial" w:cs="Arial"/>
          <w:b/>
          <w:color w:val="000000"/>
        </w:rPr>
        <w:t>Objectives</w:t>
      </w:r>
      <w:r>
        <w:rPr>
          <w:rFonts w:ascii="Arial" w:eastAsia="Arial" w:hAnsi="Arial" w:cs="Arial"/>
          <w:color w:val="000000"/>
        </w:rPr>
        <w:t>:</w:t>
      </w:r>
    </w:p>
    <w:p w14:paraId="390748B1" w14:textId="77777777" w:rsidR="009C1A41" w:rsidRDefault="009C1A41" w:rsidP="009C1A41">
      <w:pPr>
        <w:numPr>
          <w:ilvl w:val="0"/>
          <w:numId w:val="2"/>
        </w:numPr>
        <w:pBdr>
          <w:top w:val="nil"/>
          <w:left w:val="nil"/>
          <w:bottom w:val="nil"/>
          <w:right w:val="nil"/>
          <w:between w:val="nil"/>
        </w:pBdr>
        <w:spacing w:after="0"/>
        <w:rPr>
          <w:color w:val="000000"/>
        </w:rPr>
      </w:pPr>
      <w:r>
        <w:rPr>
          <w:rFonts w:ascii="Arial" w:eastAsia="Arial" w:hAnsi="Arial" w:cs="Arial"/>
          <w:color w:val="000000"/>
        </w:rPr>
        <w:t xml:space="preserve">To evaluate Tesla present innovation approach in EV and digital technologies </w:t>
      </w:r>
    </w:p>
    <w:p w14:paraId="677C7F99" w14:textId="77777777" w:rsidR="009C1A41" w:rsidRDefault="009C1A41" w:rsidP="009C1A41">
      <w:pPr>
        <w:numPr>
          <w:ilvl w:val="0"/>
          <w:numId w:val="2"/>
        </w:numPr>
        <w:pBdr>
          <w:top w:val="nil"/>
          <w:left w:val="nil"/>
          <w:bottom w:val="nil"/>
          <w:right w:val="nil"/>
          <w:between w:val="nil"/>
        </w:pBdr>
        <w:spacing w:before="0" w:after="0"/>
        <w:rPr>
          <w:color w:val="000000"/>
        </w:rPr>
      </w:pPr>
      <w:r>
        <w:rPr>
          <w:rFonts w:ascii="Arial" w:eastAsia="Arial" w:hAnsi="Arial" w:cs="Arial"/>
          <w:color w:val="000000"/>
        </w:rPr>
        <w:t xml:space="preserve">To understand barriers to affordable EV adoption in emerging marketing including awareness among consumer, cost and infrastructure. </w:t>
      </w:r>
    </w:p>
    <w:p w14:paraId="2E37ED7F" w14:textId="77777777" w:rsidR="009C1A41" w:rsidRDefault="009C1A41" w:rsidP="009C1A41">
      <w:pPr>
        <w:numPr>
          <w:ilvl w:val="0"/>
          <w:numId w:val="2"/>
        </w:numPr>
        <w:pBdr>
          <w:top w:val="nil"/>
          <w:left w:val="nil"/>
          <w:bottom w:val="nil"/>
          <w:right w:val="nil"/>
          <w:between w:val="nil"/>
        </w:pBdr>
        <w:spacing w:before="0"/>
        <w:rPr>
          <w:color w:val="000000"/>
        </w:rPr>
      </w:pPr>
      <w:r>
        <w:rPr>
          <w:rFonts w:ascii="Arial" w:eastAsia="Arial" w:hAnsi="Arial" w:cs="Arial"/>
          <w:color w:val="000000"/>
        </w:rPr>
        <w:t xml:space="preserve">To proposed strategic solution for improving affordability and accessibility of EV’s from digital transformation and sustainable innovation. </w:t>
      </w:r>
    </w:p>
    <w:p w14:paraId="329EDD9B" w14:textId="77777777" w:rsidR="009C1A41" w:rsidRDefault="009C1A41" w:rsidP="009C1A41">
      <w:pPr>
        <w:rPr>
          <w:rFonts w:ascii="Arial" w:eastAsia="Arial" w:hAnsi="Arial" w:cs="Arial"/>
          <w:b/>
        </w:rPr>
      </w:pPr>
      <w:r>
        <w:rPr>
          <w:rFonts w:ascii="Arial" w:eastAsia="Arial" w:hAnsi="Arial" w:cs="Arial"/>
          <w:b/>
        </w:rPr>
        <w:t xml:space="preserve">Company </w:t>
      </w:r>
    </w:p>
    <w:p w14:paraId="13A84D31" w14:textId="77777777" w:rsidR="009C1A41" w:rsidRDefault="009C1A41" w:rsidP="009C1A41">
      <w:pPr>
        <w:rPr>
          <w:rFonts w:ascii="Arial" w:eastAsia="Arial" w:hAnsi="Arial" w:cs="Arial"/>
        </w:rPr>
      </w:pPr>
      <w:r>
        <w:rPr>
          <w:rFonts w:ascii="Arial" w:eastAsia="Arial" w:hAnsi="Arial" w:cs="Arial"/>
        </w:rPr>
        <w:t>In the current time, Tesla Inc. is growing as a worldwide manufacturer of electric cars, with artificial intelligence, renewable energy, and auto technologies. Tesla was introduced in the year 2003. The company has introduced itself as an innovator within sustainable transport due to the creation of high-performance electric vehicles, which consist of Model Y, Model X, Model 3, and Model S. Tesla has a competitive edge due to vertical integration of its business model, encompassing battery manufacturing and vehicle creation. One of the salient elements of Tesla's innovative approach is its higher focus on digital transformation.  With the use of autonomous driving systems, over-the-air (OTA) software updates, and analytics with artificial intelligence, Tesla manages to constantly enhance vehicles and customer experience without physically upgrading them. This online ecosystem makes work easier and saves users in the long run by minimising maintenance costs.</w:t>
      </w:r>
    </w:p>
    <w:p w14:paraId="3AA60806" w14:textId="77777777" w:rsidR="009C1A41" w:rsidRDefault="009C1A41" w:rsidP="009C1A41">
      <w:pPr>
        <w:spacing w:before="280" w:after="280"/>
        <w:rPr>
          <w:rFonts w:ascii="Arial" w:eastAsia="Arial" w:hAnsi="Arial" w:cs="Arial"/>
        </w:rPr>
      </w:pPr>
      <w:r>
        <w:rPr>
          <w:rFonts w:ascii="Arial" w:eastAsia="Arial" w:hAnsi="Arial" w:cs="Arial"/>
        </w:rPr>
        <w:t>Although Tesla is very successful all around the world, it is not penetrating into emerging economies. Affordability is a significant obstacle to increasing the adoption of the brand, which is mostly in the high-end segments. Moreover, infrastructure constraints in developing countries also limit growth. Nevertheless, Tesla is technologically ahead as well as with a robust brand equity, which it could use to look into scalable opportunities to adopt an affordable EV in the upcoming markets.</w:t>
      </w:r>
    </w:p>
    <w:p w14:paraId="0E8EA300" w14:textId="77777777" w:rsidR="009C1A41" w:rsidRDefault="009C1A41" w:rsidP="009C1A41">
      <w:pPr>
        <w:rPr>
          <w:rFonts w:ascii="Arial" w:eastAsia="Arial" w:hAnsi="Arial" w:cs="Arial"/>
          <w:b/>
        </w:rPr>
      </w:pPr>
      <w:r>
        <w:rPr>
          <w:rFonts w:ascii="Arial" w:eastAsia="Arial" w:hAnsi="Arial" w:cs="Arial"/>
          <w:b/>
        </w:rPr>
        <w:t xml:space="preserve">Idea description </w:t>
      </w:r>
    </w:p>
    <w:p w14:paraId="11100228" w14:textId="77777777" w:rsidR="009C1A41" w:rsidRDefault="009C1A41" w:rsidP="009C1A41">
      <w:pPr>
        <w:rPr>
          <w:rFonts w:ascii="Arial" w:eastAsia="Arial" w:hAnsi="Arial" w:cs="Arial"/>
        </w:rPr>
      </w:pPr>
      <w:r>
        <w:rPr>
          <w:rFonts w:ascii="Arial" w:eastAsia="Arial" w:hAnsi="Arial" w:cs="Arial"/>
        </w:rPr>
        <w:t>The present business development proposal aims at increasing the autonomous adoption of electric vehicles in the developing markets with affordable costs by utilising sustainable innovation and digital transformation at Tesla Inc. The essence is to come up with a high-capacity plan that will allow Tesla to make production costs less expensive, add to accessibility and support infrastructure in growing economies (Abbes, 2025).</w:t>
      </w:r>
    </w:p>
    <w:p w14:paraId="2E2F7320" w14:textId="77777777" w:rsidR="009C1A41" w:rsidRDefault="009C1A41" w:rsidP="009C1A41">
      <w:pPr>
        <w:rPr>
          <w:rFonts w:ascii="Arial" w:eastAsia="Arial" w:hAnsi="Arial" w:cs="Arial"/>
        </w:rPr>
      </w:pPr>
      <w:r>
        <w:rPr>
          <w:rFonts w:ascii="Arial" w:eastAsia="Arial" w:hAnsi="Arial" w:cs="Arial"/>
        </w:rPr>
        <w:t>The proposal implies the use of modular vehicle design, regional manufacturing relationships and optimisation of the supply chain with the help of AI to lower the total costs. Also, one can improve customer experience and real-time car diagnostics using digital platforms and promote a smart charging system.</w:t>
      </w:r>
    </w:p>
    <w:p w14:paraId="6D606E1C" w14:textId="77777777" w:rsidR="009C1A41" w:rsidRDefault="009C1A41" w:rsidP="009C1A41">
      <w:pPr>
        <w:spacing w:before="280" w:after="280"/>
        <w:rPr>
          <w:rFonts w:ascii="Arial" w:eastAsia="Arial" w:hAnsi="Arial" w:cs="Arial"/>
        </w:rPr>
      </w:pPr>
      <w:r>
        <w:rPr>
          <w:rFonts w:ascii="Arial" w:eastAsia="Arial" w:hAnsi="Arial" w:cs="Arial"/>
        </w:rPr>
        <w:t>The approach also involves liaising with governments and energy suppliers to increase renewable charging facilities. Integrating innovation oriented towards smarter sustainability and adding digital transformation will help Tesla to not only establish itself as a high-end EV brand, but also as a global mobility provider that is affordable enough to access the middle-income consumer in the emerging markets.</w:t>
      </w:r>
    </w:p>
    <w:p w14:paraId="276D200F" w14:textId="77777777" w:rsidR="009C1A41" w:rsidRDefault="009C1A41" w:rsidP="009C1A41">
      <w:pPr>
        <w:rPr>
          <w:rFonts w:ascii="Arial" w:eastAsia="Arial" w:hAnsi="Arial" w:cs="Arial"/>
        </w:rPr>
      </w:pPr>
    </w:p>
    <w:p w14:paraId="2073AAE7" w14:textId="77777777" w:rsidR="009C1A41" w:rsidRDefault="009C1A41" w:rsidP="009C1A41">
      <w:pPr>
        <w:rPr>
          <w:rFonts w:ascii="Arial" w:eastAsia="Arial" w:hAnsi="Arial" w:cs="Arial"/>
          <w:color w:val="000000"/>
        </w:rPr>
      </w:pPr>
    </w:p>
    <w:p w14:paraId="10703663" w14:textId="77777777" w:rsidR="009C1A41" w:rsidRDefault="009C1A41" w:rsidP="009C1A41">
      <w:pPr>
        <w:rPr>
          <w:rFonts w:ascii="Arial" w:eastAsia="Arial" w:hAnsi="Arial" w:cs="Arial"/>
          <w:color w:val="000000"/>
        </w:rPr>
      </w:pPr>
    </w:p>
    <w:p w14:paraId="3BE33EF8" w14:textId="77777777" w:rsidR="009C1A41" w:rsidRDefault="009C1A41" w:rsidP="009C1A41">
      <w:pPr>
        <w:rPr>
          <w:rFonts w:ascii="Arial" w:eastAsia="Arial" w:hAnsi="Arial" w:cs="Arial"/>
          <w:color w:val="000000"/>
        </w:rPr>
      </w:pPr>
    </w:p>
    <w:p w14:paraId="17F3831E" w14:textId="77777777" w:rsidR="009C1A41" w:rsidRDefault="009C1A41" w:rsidP="009C1A41">
      <w:pPr>
        <w:spacing w:before="0" w:after="200" w:line="276" w:lineRule="auto"/>
        <w:jc w:val="left"/>
        <w:rPr>
          <w:rFonts w:ascii="Arial" w:eastAsia="Arial" w:hAnsi="Arial" w:cs="Arial"/>
          <w:b/>
          <w:color w:val="000000"/>
          <w:sz w:val="28"/>
          <w:szCs w:val="28"/>
        </w:rPr>
      </w:pPr>
      <w:r>
        <w:br w:type="page"/>
      </w:r>
    </w:p>
    <w:p w14:paraId="73F9D343" w14:textId="77777777" w:rsidR="009C1A41" w:rsidRDefault="009C1A41" w:rsidP="009C1A41">
      <w:pPr>
        <w:pStyle w:val="Heading1"/>
        <w:tabs>
          <w:tab w:val="left" w:pos="2610"/>
        </w:tabs>
        <w:rPr>
          <w:rFonts w:ascii="Arial" w:eastAsia="Arial" w:hAnsi="Arial" w:cs="Arial"/>
        </w:rPr>
      </w:pPr>
      <w:bookmarkStart w:id="1" w:name="_30j0zll" w:colFirst="0" w:colLast="0"/>
      <w:bookmarkEnd w:id="1"/>
      <w:r>
        <w:rPr>
          <w:rFonts w:ascii="Arial" w:eastAsia="Arial" w:hAnsi="Arial" w:cs="Arial"/>
        </w:rPr>
        <w:t xml:space="preserve">Methodology </w:t>
      </w:r>
    </w:p>
    <w:p w14:paraId="522AA87A" w14:textId="77777777" w:rsidR="009C1A41" w:rsidRDefault="009C1A41" w:rsidP="009C1A41">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This business development proposal uses a qualitative secondary research design to discuss the viability of diversifying Tesla Inc.'s sustainable innovation and digital transformation to penetrate the market with the implementation of the adoption of affordable electric vehicles (EV) in emerging markets. The methodology will be critical to analyse available data, determine trends in EV adoption across the globe and assess strategic possibilities in ensuring greater affordability and accessibility in the developing economies.</w:t>
      </w:r>
    </w:p>
    <w:p w14:paraId="498E22F7" w14:textId="77777777" w:rsidR="009C1A41" w:rsidRDefault="009C1A41" w:rsidP="009C1A41">
      <w:pPr>
        <w:rPr>
          <w:rFonts w:ascii="Arial" w:eastAsia="Arial" w:hAnsi="Arial" w:cs="Arial"/>
          <w:b/>
        </w:rPr>
      </w:pPr>
      <w:r>
        <w:rPr>
          <w:rFonts w:ascii="Arial" w:eastAsia="Arial" w:hAnsi="Arial" w:cs="Arial"/>
          <w:b/>
        </w:rPr>
        <w:t>Research Design</w:t>
      </w:r>
    </w:p>
    <w:p w14:paraId="6CE044FB" w14:textId="77777777" w:rsidR="009C1A41" w:rsidRDefault="009C1A41" w:rsidP="009C1A41">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The research design is descriptive and analytical, which can be used to investigate intricate trends and technological progress in the industry. The descriptive component is aimed at defining the present situation in the EV market, especially in the new market, whereas the analytical part of it is concerned with the correlation among the main variables, which include cost, presence of infrastructures, policy regulations, and customer behaviour (Cheong, et al. 2023) This method will allow influencing the systematic interpretation of the trends in EV adoption processes across the globe and how the process of innovative approaches by Tesla could be localised in various economic settings. The design is especially applicable in determining the barriers and opportunities in markets like India, Brazil, Indonesia, and South Africa, where the penetration of EVs remains relatively low, and the market growth can be huge.</w:t>
      </w:r>
    </w:p>
    <w:p w14:paraId="72C3368F" w14:textId="77777777" w:rsidR="009C1A41" w:rsidRDefault="009C1A41" w:rsidP="009C1A41">
      <w:pPr>
        <w:rPr>
          <w:rFonts w:ascii="Arial" w:eastAsia="Arial" w:hAnsi="Arial" w:cs="Arial"/>
          <w:b/>
        </w:rPr>
      </w:pPr>
      <w:r>
        <w:rPr>
          <w:rFonts w:ascii="Arial" w:eastAsia="Arial" w:hAnsi="Arial" w:cs="Arial"/>
          <w:b/>
        </w:rPr>
        <w:t>Data Collection Method</w:t>
      </w:r>
    </w:p>
    <w:p w14:paraId="46110303" w14:textId="77777777" w:rsidR="009C1A41" w:rsidRDefault="009C1A41" w:rsidP="009C1A41">
      <w:pPr>
        <w:rPr>
          <w:rFonts w:ascii="Arial" w:eastAsia="Arial" w:hAnsi="Arial" w:cs="Arial"/>
        </w:rPr>
      </w:pPr>
      <w:r>
        <w:rPr>
          <w:rFonts w:ascii="Arial" w:eastAsia="Arial" w:hAnsi="Arial" w:cs="Arial"/>
        </w:rPr>
        <w:t>The research is founded on secondary data only, which ensures the presence of extensive and properly supported evidence base (Chong, and Plonsky, 2024). To gather the information, a series of credible and authoritative sources, including: It could be stated that the literature review has included the consideration of peer-reviewed journals, in terms of green mobility, innovation of EV, as well as sustainable transport. Also, the sector reporting comprises an organisational report with the inclusion of the International Energy Agency, and a sustainability report of Tesla.  Market intelligence: Market intelligence reports on the automotive trends in the emerging economies. Government policy publications related to the adoption of renewable energy, EV incentives, and climate change strategies. These sources are suitable in that one is assured of both quantitative (e.g. adoption rate and cost trend) and qualitative (e.g. consumer attitude and policy analysis) information.</w:t>
      </w:r>
    </w:p>
    <w:p w14:paraId="15AD55B2" w14:textId="77777777" w:rsidR="009C1A41" w:rsidRDefault="009C1A41" w:rsidP="009C1A41">
      <w:pPr>
        <w:rPr>
          <w:rFonts w:ascii="Arial" w:eastAsia="Arial" w:hAnsi="Arial" w:cs="Arial"/>
          <w:b/>
        </w:rPr>
      </w:pPr>
      <w:r>
        <w:rPr>
          <w:rFonts w:ascii="Arial" w:eastAsia="Arial" w:hAnsi="Arial" w:cs="Arial"/>
          <w:b/>
        </w:rPr>
        <w:t>Analytical Approach</w:t>
      </w:r>
    </w:p>
    <w:p w14:paraId="35BD4BB5" w14:textId="77777777" w:rsidR="009C1A41" w:rsidRDefault="009C1A41" w:rsidP="009C1A41">
      <w:pPr>
        <w:rPr>
          <w:rFonts w:ascii="Arial" w:eastAsia="Arial" w:hAnsi="Arial" w:cs="Arial"/>
        </w:rPr>
      </w:pPr>
      <w:r>
        <w:rPr>
          <w:rFonts w:ascii="Arial" w:eastAsia="Arial" w:hAnsi="Arial" w:cs="Arial"/>
        </w:rPr>
        <w:t>An interpretation of the data gathered is done using a thematic analysis method. This will require finding some common themes and trends that impact EV uptake in emerging markets. Key themes include:</w:t>
      </w:r>
    </w:p>
    <w:p w14:paraId="3A0E2184" w14:textId="77777777" w:rsidR="009C1A41" w:rsidRDefault="009C1A41" w:rsidP="009C1A41">
      <w:pPr>
        <w:numPr>
          <w:ilvl w:val="0"/>
          <w:numId w:val="1"/>
        </w:numPr>
        <w:pBdr>
          <w:top w:val="nil"/>
          <w:left w:val="nil"/>
          <w:bottom w:val="nil"/>
          <w:right w:val="nil"/>
          <w:between w:val="nil"/>
        </w:pBdr>
        <w:spacing w:after="0"/>
        <w:rPr>
          <w:color w:val="000000"/>
        </w:rPr>
      </w:pPr>
      <w:r>
        <w:rPr>
          <w:rFonts w:ascii="Arial" w:eastAsia="Arial" w:hAnsi="Arial" w:cs="Arial"/>
          <w:color w:val="000000"/>
        </w:rPr>
        <w:t xml:space="preserve">High initial pricing and affordability of electric vehicles. </w:t>
      </w:r>
    </w:p>
    <w:p w14:paraId="4B2898B9" w14:textId="77777777" w:rsidR="009C1A41" w:rsidRDefault="009C1A41" w:rsidP="009C1A41">
      <w:pPr>
        <w:numPr>
          <w:ilvl w:val="0"/>
          <w:numId w:val="1"/>
        </w:numPr>
        <w:pBdr>
          <w:top w:val="nil"/>
          <w:left w:val="nil"/>
          <w:bottom w:val="nil"/>
          <w:right w:val="nil"/>
          <w:between w:val="nil"/>
        </w:pBdr>
        <w:spacing w:before="0" w:after="0"/>
        <w:rPr>
          <w:color w:val="000000"/>
        </w:rPr>
      </w:pPr>
      <w:r>
        <w:rPr>
          <w:rFonts w:ascii="Arial" w:eastAsia="Arial" w:hAnsi="Arial" w:cs="Arial"/>
          <w:color w:val="000000"/>
        </w:rPr>
        <w:t xml:space="preserve">Lack of proper charging infrastructure and energy distribution systems. </w:t>
      </w:r>
    </w:p>
    <w:p w14:paraId="6F77CDE4" w14:textId="77777777" w:rsidR="009C1A41" w:rsidRDefault="009C1A41" w:rsidP="009C1A41">
      <w:pPr>
        <w:numPr>
          <w:ilvl w:val="0"/>
          <w:numId w:val="1"/>
        </w:numPr>
        <w:pBdr>
          <w:top w:val="nil"/>
          <w:left w:val="nil"/>
          <w:bottom w:val="nil"/>
          <w:right w:val="nil"/>
          <w:between w:val="nil"/>
        </w:pBdr>
        <w:spacing w:before="0" w:after="0"/>
        <w:rPr>
          <w:color w:val="000000"/>
        </w:rPr>
      </w:pPr>
      <w:r>
        <w:rPr>
          <w:rFonts w:ascii="Arial" w:eastAsia="Arial" w:hAnsi="Arial" w:cs="Arial"/>
          <w:color w:val="000000"/>
        </w:rPr>
        <w:t xml:space="preserve">Low level of consumer awareness and low trust towards EV technology. </w:t>
      </w:r>
    </w:p>
    <w:p w14:paraId="6222981D" w14:textId="77777777" w:rsidR="009C1A41" w:rsidRDefault="009C1A41" w:rsidP="009C1A41">
      <w:pPr>
        <w:numPr>
          <w:ilvl w:val="0"/>
          <w:numId w:val="1"/>
        </w:numPr>
        <w:pBdr>
          <w:top w:val="nil"/>
          <w:left w:val="nil"/>
          <w:bottom w:val="nil"/>
          <w:right w:val="nil"/>
          <w:between w:val="nil"/>
        </w:pBdr>
        <w:spacing w:before="0" w:after="0"/>
        <w:rPr>
          <w:color w:val="000000"/>
        </w:rPr>
      </w:pPr>
      <w:r>
        <w:rPr>
          <w:rFonts w:ascii="Arial" w:eastAsia="Arial" w:hAnsi="Arial" w:cs="Arial"/>
          <w:color w:val="000000"/>
        </w:rPr>
        <w:t xml:space="preserve">Regulation policies and government subsidies of EV development (Nieto, et al. 2024) </w:t>
      </w:r>
    </w:p>
    <w:p w14:paraId="64328D24" w14:textId="77777777" w:rsidR="009C1A41" w:rsidRDefault="009C1A41" w:rsidP="009C1A41">
      <w:pPr>
        <w:numPr>
          <w:ilvl w:val="0"/>
          <w:numId w:val="1"/>
        </w:numPr>
        <w:pBdr>
          <w:top w:val="nil"/>
          <w:left w:val="nil"/>
          <w:bottom w:val="nil"/>
          <w:right w:val="nil"/>
          <w:between w:val="nil"/>
        </w:pBdr>
        <w:spacing w:before="0"/>
        <w:rPr>
          <w:color w:val="000000"/>
        </w:rPr>
      </w:pPr>
      <w:r>
        <w:rPr>
          <w:rFonts w:ascii="Arial" w:eastAsia="Arial" w:hAnsi="Arial" w:cs="Arial"/>
          <w:color w:val="000000"/>
        </w:rPr>
        <w:t xml:space="preserve">Innovation in technologies, battery efficiency, and autonomous driving, as well as AI. </w:t>
      </w:r>
    </w:p>
    <w:p w14:paraId="025D7A8B" w14:textId="77777777" w:rsidR="009C1A41" w:rsidRDefault="009C1A41" w:rsidP="009C1A41">
      <w:pPr>
        <w:rPr>
          <w:rFonts w:ascii="Arial" w:eastAsia="Arial" w:hAnsi="Arial" w:cs="Arial"/>
        </w:rPr>
      </w:pPr>
      <w:r>
        <w:rPr>
          <w:rFonts w:ascii="Arial" w:eastAsia="Arial" w:hAnsi="Arial" w:cs="Arial"/>
        </w:rPr>
        <w:t>Having sorted out data into these themes, the research forms a better perspective on what challenges and opportunities lie within the system that could influence the strategy of Tesla to expand.</w:t>
      </w:r>
    </w:p>
    <w:p w14:paraId="5732DF84" w14:textId="77777777" w:rsidR="009C1A41" w:rsidRDefault="009C1A41" w:rsidP="009C1A41">
      <w:pPr>
        <w:rPr>
          <w:rFonts w:ascii="Arial" w:eastAsia="Arial" w:hAnsi="Arial" w:cs="Arial"/>
          <w:b/>
        </w:rPr>
      </w:pPr>
      <w:r>
        <w:rPr>
          <w:rFonts w:ascii="Arial" w:eastAsia="Arial" w:hAnsi="Arial" w:cs="Arial"/>
          <w:b/>
        </w:rPr>
        <w:t>Reliability and Validity</w:t>
      </w:r>
    </w:p>
    <w:p w14:paraId="55B5AD8F" w14:textId="77777777" w:rsidR="009C1A41" w:rsidRDefault="009C1A41" w:rsidP="009C1A41">
      <w:pPr>
        <w:rPr>
          <w:rFonts w:ascii="Arial" w:eastAsia="Arial" w:hAnsi="Arial" w:cs="Arial"/>
        </w:rPr>
      </w:pPr>
      <w:r>
        <w:rPr>
          <w:rFonts w:ascii="Arial" w:eastAsia="Arial" w:hAnsi="Arial" w:cs="Arial"/>
        </w:rPr>
        <w:t>Within this business research proposal, validity and reliability play a fundamental role, as this includes the use of tests for effective findings. The use of academic journals, official reports and recognised industry publications is prioritised to reduce cases of misinformation. Data triangulation uses the findings of various sources to derive consistency and accuracy of various datasets (</w:t>
      </w:r>
      <w:r>
        <w:rPr>
          <w:rFonts w:ascii="Arial" w:eastAsia="Arial" w:hAnsi="Arial" w:cs="Arial"/>
          <w:color w:val="EE0000"/>
        </w:rPr>
        <w:t>William, 2024)</w:t>
      </w:r>
      <w:r>
        <w:rPr>
          <w:rFonts w:ascii="Arial" w:eastAsia="Arial" w:hAnsi="Arial" w:cs="Arial"/>
        </w:rPr>
        <w:t>.</w:t>
      </w:r>
    </w:p>
    <w:p w14:paraId="35D0394A" w14:textId="77777777" w:rsidR="009C1A41" w:rsidRDefault="009C1A41" w:rsidP="009C1A41">
      <w:pPr>
        <w:rPr>
          <w:rFonts w:ascii="Arial" w:eastAsia="Arial" w:hAnsi="Arial" w:cs="Arial"/>
          <w:b/>
        </w:rPr>
      </w:pPr>
      <w:r>
        <w:rPr>
          <w:rFonts w:ascii="Arial" w:eastAsia="Arial" w:hAnsi="Arial" w:cs="Arial"/>
          <w:b/>
        </w:rPr>
        <w:t>Weaknesses of the Methodology</w:t>
      </w:r>
    </w:p>
    <w:p w14:paraId="1032ACC5" w14:textId="77777777" w:rsidR="009C1A41" w:rsidRDefault="009C1A41" w:rsidP="009C1A41">
      <w:pPr>
        <w:rPr>
          <w:rFonts w:ascii="Arial" w:eastAsia="Arial" w:hAnsi="Arial" w:cs="Arial"/>
        </w:rPr>
      </w:pPr>
      <w:r>
        <w:rPr>
          <w:rFonts w:ascii="Arial" w:eastAsia="Arial" w:hAnsi="Arial" w:cs="Arial"/>
        </w:rPr>
        <w:t>Although this methodology has benefits, there are some limitations to it. The fact that no primary data is collected implies that no real-time consumer data is available, such as direct surveys or interviews (William, 2024). Also, the dynamism of EV technologies and market situation might change in the long run, affecting the applicability of certain secondary data.</w:t>
      </w:r>
    </w:p>
    <w:p w14:paraId="031AAFBA" w14:textId="77777777" w:rsidR="009C1A41" w:rsidRDefault="009C1A41" w:rsidP="009C1A41">
      <w:pPr>
        <w:pBdr>
          <w:top w:val="nil"/>
          <w:left w:val="nil"/>
          <w:bottom w:val="single" w:sz="6" w:space="1" w:color="000000"/>
          <w:right w:val="nil"/>
          <w:between w:val="nil"/>
        </w:pBdr>
        <w:spacing w:before="0" w:after="0" w:line="240" w:lineRule="auto"/>
        <w:jc w:val="center"/>
        <w:rPr>
          <w:color w:val="000000"/>
        </w:rPr>
      </w:pPr>
      <w:r>
        <w:rPr>
          <w:color w:val="000000"/>
        </w:rPr>
        <w:t>Top of Form</w:t>
      </w:r>
    </w:p>
    <w:p w14:paraId="31D421DA" w14:textId="77777777" w:rsidR="009C1A41" w:rsidRDefault="009C1A41" w:rsidP="009C1A41">
      <w:pPr>
        <w:rPr>
          <w:rFonts w:ascii="Arial" w:eastAsia="Arial" w:hAnsi="Arial" w:cs="Arial"/>
        </w:rPr>
      </w:pPr>
    </w:p>
    <w:p w14:paraId="32237347" w14:textId="77777777" w:rsidR="009C1A41" w:rsidRDefault="009C1A41" w:rsidP="009C1A41">
      <w:pPr>
        <w:pBdr>
          <w:top w:val="single" w:sz="6" w:space="1" w:color="000000"/>
          <w:left w:val="nil"/>
          <w:bottom w:val="nil"/>
          <w:right w:val="nil"/>
          <w:between w:val="nil"/>
        </w:pBdr>
        <w:spacing w:before="0" w:after="0" w:line="240" w:lineRule="auto"/>
        <w:jc w:val="center"/>
        <w:rPr>
          <w:color w:val="000000"/>
        </w:rPr>
      </w:pPr>
      <w:r>
        <w:rPr>
          <w:color w:val="000000"/>
        </w:rPr>
        <w:t>Bottom of Form</w:t>
      </w:r>
    </w:p>
    <w:p w14:paraId="150A356D" w14:textId="77777777" w:rsidR="009C1A41" w:rsidRDefault="009C1A41" w:rsidP="009C1A41">
      <w:pPr>
        <w:rPr>
          <w:rFonts w:ascii="Arial" w:eastAsia="Arial" w:hAnsi="Arial" w:cs="Arial"/>
        </w:rPr>
      </w:pPr>
    </w:p>
    <w:p w14:paraId="43B046C7" w14:textId="77777777" w:rsidR="009C1A41" w:rsidRDefault="009C1A41" w:rsidP="009C1A41">
      <w:pPr>
        <w:rPr>
          <w:rFonts w:ascii="Arial" w:eastAsia="Arial" w:hAnsi="Arial" w:cs="Arial"/>
          <w:color w:val="000000"/>
        </w:rPr>
      </w:pPr>
    </w:p>
    <w:p w14:paraId="5C981243" w14:textId="77777777" w:rsidR="009C1A41" w:rsidRDefault="009C1A41" w:rsidP="009C1A41">
      <w:pPr>
        <w:pStyle w:val="Heading1"/>
        <w:rPr>
          <w:rFonts w:ascii="Arial" w:eastAsia="Arial" w:hAnsi="Arial" w:cs="Arial"/>
        </w:rPr>
      </w:pPr>
      <w:bookmarkStart w:id="2" w:name="_1fob9te" w:colFirst="0" w:colLast="0"/>
      <w:bookmarkEnd w:id="2"/>
      <w:r>
        <w:rPr>
          <w:rFonts w:ascii="Arial" w:eastAsia="Arial" w:hAnsi="Arial" w:cs="Arial"/>
        </w:rPr>
        <w:t xml:space="preserve">Market research and validation </w:t>
      </w:r>
    </w:p>
    <w:p w14:paraId="5101899A" w14:textId="77777777" w:rsidR="009C1A41" w:rsidRDefault="009C1A41" w:rsidP="009C1A41">
      <w:pPr>
        <w:rPr>
          <w:rFonts w:ascii="Arial" w:eastAsia="Arial" w:hAnsi="Arial" w:cs="Arial"/>
        </w:rPr>
      </w:pPr>
      <w:r>
        <w:rPr>
          <w:rFonts w:ascii="Arial" w:eastAsia="Arial" w:hAnsi="Arial" w:cs="Arial"/>
        </w:rPr>
        <w:t xml:space="preserve">Climate change issues, technological advancement, and favourable government policies are also concentrating on the global electric vehicle (EV) industry, which is rapidly transforming. The rate of adoption is, however, very different in developed and emerging markets. </w:t>
      </w:r>
    </w:p>
    <w:p w14:paraId="4308BD0D" w14:textId="77777777" w:rsidR="009C1A41" w:rsidRDefault="009C1A41" w:rsidP="009C1A41">
      <w:pPr>
        <w:rPr>
          <w:rFonts w:ascii="Arial" w:eastAsia="Arial" w:hAnsi="Arial" w:cs="Arial"/>
          <w:sz w:val="27"/>
          <w:szCs w:val="27"/>
        </w:rPr>
      </w:pPr>
      <w:r>
        <w:rPr>
          <w:rFonts w:ascii="Arial" w:eastAsia="Arial" w:hAnsi="Arial" w:cs="Arial"/>
          <w:b/>
        </w:rPr>
        <w:t>Global EV Market Trends</w:t>
      </w:r>
    </w:p>
    <w:p w14:paraId="414968F9" w14:textId="77777777" w:rsidR="009C1A41" w:rsidRDefault="009C1A41" w:rsidP="009C1A41">
      <w:pPr>
        <w:rPr>
          <w:rFonts w:ascii="Arial" w:eastAsia="Arial" w:hAnsi="Arial" w:cs="Arial"/>
        </w:rPr>
      </w:pPr>
      <w:r>
        <w:rPr>
          <w:rFonts w:ascii="Arial" w:eastAsia="Arial" w:hAnsi="Arial" w:cs="Arial"/>
        </w:rPr>
        <w:t xml:space="preserve">The formation of the global EV market has evolved exponentially over the last ten years, and both investments in battery technology, charging infrastructure, and clean energy integration have risen. The existing adoption of EVs is dominated by developed countries that include Europe, China, and North America because they are highly supported by some policies, well-developed infrastructure, and an increased consumer purchasing power (The ICCT, 2026). </w:t>
      </w:r>
    </w:p>
    <w:p w14:paraId="384CFCB6" w14:textId="77777777" w:rsidR="009C1A41" w:rsidRDefault="009C1A41" w:rsidP="009C1A41">
      <w:pPr>
        <w:rPr>
          <w:rFonts w:ascii="Arial" w:eastAsia="Arial" w:hAnsi="Arial" w:cs="Arial"/>
        </w:rPr>
      </w:pPr>
      <w:r>
        <w:rPr>
          <w:rFonts w:ascii="Arial" w:eastAsia="Arial" w:hAnsi="Arial" w:cs="Arial"/>
        </w:rPr>
        <w:t>Conversely, the developing markets are still in the initial phases of EV uptake. Despite the growing interest in sustainable mobility, the penetration rate is low because of structural and economic impediments which are present in the market. However, it is anticipated in long-term predictions that emerging markets will contribute a huge portion of the EV growth as the level of urbanisation, income levels and environmental consciousness are also on the increase.</w:t>
      </w:r>
    </w:p>
    <w:p w14:paraId="7C87AD4D" w14:textId="77777777" w:rsidR="009C1A41" w:rsidRDefault="009C1A41" w:rsidP="009C1A41">
      <w:pPr>
        <w:rPr>
          <w:rFonts w:ascii="Arial" w:eastAsia="Arial" w:hAnsi="Arial" w:cs="Arial"/>
          <w:sz w:val="27"/>
          <w:szCs w:val="27"/>
        </w:rPr>
      </w:pPr>
      <w:r>
        <w:rPr>
          <w:rFonts w:ascii="Arial" w:eastAsia="Arial" w:hAnsi="Arial" w:cs="Arial"/>
          <w:b/>
        </w:rPr>
        <w:t>Demand Conditions in Emerging Markets</w:t>
      </w:r>
    </w:p>
    <w:p w14:paraId="7C106558" w14:textId="77777777" w:rsidR="009C1A41" w:rsidRDefault="009C1A41" w:rsidP="009C1A41">
      <w:pPr>
        <w:rPr>
          <w:rFonts w:ascii="Arial" w:eastAsia="Arial" w:hAnsi="Arial" w:cs="Arial"/>
        </w:rPr>
      </w:pPr>
      <w:r>
        <w:rPr>
          <w:rFonts w:ascii="Arial" w:eastAsia="Arial" w:hAnsi="Arial" w:cs="Arial"/>
        </w:rPr>
        <w:t xml:space="preserve">India, Brazil, Indonesia, and South Africa are emerging economies which have a high latent demand for affordable transportation solutions. The increase in fuel cost, air pollution in cities, and a rise in the number of people with middle incomes are the main factors motivating a change to electric mobility. The cars manufactured by Tesla Inc. fall under the high-end category and are thus not as accessible to most consumers in these localities. In emerging market economies, price sensitivity is considerably higher when compared to the developed economies (CNBC, 2026). </w:t>
      </w:r>
    </w:p>
    <w:p w14:paraId="1C0CE346" w14:textId="77777777" w:rsidR="009C1A41" w:rsidRDefault="009C1A41" w:rsidP="009C1A41">
      <w:pPr>
        <w:rPr>
          <w:rFonts w:ascii="Arial" w:eastAsia="Arial" w:hAnsi="Arial" w:cs="Arial"/>
          <w:sz w:val="27"/>
          <w:szCs w:val="27"/>
        </w:rPr>
      </w:pPr>
      <w:r>
        <w:rPr>
          <w:rFonts w:ascii="Arial" w:eastAsia="Arial" w:hAnsi="Arial" w:cs="Arial"/>
          <w:b/>
        </w:rPr>
        <w:t>Infrastructure and Ecosystem Limitations</w:t>
      </w:r>
    </w:p>
    <w:p w14:paraId="3577A31C" w14:textId="77777777" w:rsidR="009C1A41" w:rsidRDefault="009C1A41" w:rsidP="009C1A41">
      <w:pPr>
        <w:rPr>
          <w:rFonts w:ascii="Arial" w:eastAsia="Arial" w:hAnsi="Arial" w:cs="Arial"/>
        </w:rPr>
      </w:pPr>
      <w:r>
        <w:rPr>
          <w:rFonts w:ascii="Arial" w:eastAsia="Arial" w:hAnsi="Arial" w:cs="Arial"/>
        </w:rPr>
        <w:t>In simple words, this includes the lack of proper charging infrastructure, which creates major issues or limitations in the adoption of EVs. One of the most emerging markets that have inadequate charging infrastructure, mainly within rural areas, can develop major issues (</w:t>
      </w:r>
      <w:r>
        <w:rPr>
          <w:rFonts w:ascii="Arial" w:eastAsia="Arial" w:hAnsi="Arial" w:cs="Arial"/>
          <w:color w:val="EE0000"/>
        </w:rPr>
        <w:t>Singh, and Kalyanshetti, 2024)</w:t>
      </w:r>
      <w:r>
        <w:rPr>
          <w:rFonts w:ascii="Arial" w:eastAsia="Arial" w:hAnsi="Arial" w:cs="Arial"/>
        </w:rPr>
        <w:t xml:space="preserve">. </w:t>
      </w:r>
    </w:p>
    <w:p w14:paraId="49B9493B" w14:textId="77777777" w:rsidR="009C1A41" w:rsidRDefault="009C1A41" w:rsidP="009C1A41">
      <w:pPr>
        <w:rPr>
          <w:rFonts w:ascii="Arial" w:eastAsia="Arial" w:hAnsi="Arial" w:cs="Arial"/>
        </w:rPr>
      </w:pPr>
      <w:r>
        <w:rPr>
          <w:rFonts w:ascii="Arial" w:eastAsia="Arial" w:hAnsi="Arial" w:cs="Arial"/>
        </w:rPr>
        <w:t xml:space="preserve">Moreover, unstable electricity prices and a lack of integration of renewable energy resources weaken consumer confidence further. </w:t>
      </w:r>
    </w:p>
    <w:p w14:paraId="643B3107" w14:textId="77777777" w:rsidR="009C1A41" w:rsidRDefault="009C1A41" w:rsidP="009C1A41">
      <w:pPr>
        <w:rPr>
          <w:rFonts w:ascii="Arial" w:eastAsia="Arial" w:hAnsi="Arial" w:cs="Arial"/>
          <w:sz w:val="27"/>
          <w:szCs w:val="27"/>
        </w:rPr>
      </w:pPr>
      <w:r>
        <w:rPr>
          <w:rFonts w:ascii="Arial" w:eastAsia="Arial" w:hAnsi="Arial" w:cs="Arial"/>
          <w:b/>
        </w:rPr>
        <w:t>Policy and Government Support</w:t>
      </w:r>
    </w:p>
    <w:p w14:paraId="4DD4B627" w14:textId="77777777" w:rsidR="009C1A41" w:rsidRDefault="009C1A41" w:rsidP="009C1A41">
      <w:pPr>
        <w:rPr>
          <w:rFonts w:ascii="Arial" w:eastAsia="Arial" w:hAnsi="Arial" w:cs="Arial"/>
        </w:rPr>
      </w:pPr>
      <w:r>
        <w:rPr>
          <w:rFonts w:ascii="Arial" w:eastAsia="Arial" w:hAnsi="Arial" w:cs="Arial"/>
        </w:rPr>
        <w:t xml:space="preserve">Nevertheless, with infrastructural constraints, the government support of EV introduction continues to grow slowly, but definitely, in the new markets. Subsidies, tax breaks, reduction of import duty, and national EV plans are examples of policy initiatives underway to hasten the move towards sustainable transport. Within the UK, government has introduced the EV program that refer to Zero emission vehicle mandate that make sure about zero-emission with better sales and accordingly encouraging green mobility (Commons Library, 2025). </w:t>
      </w:r>
    </w:p>
    <w:p w14:paraId="745CE37C" w14:textId="77777777" w:rsidR="009C1A41" w:rsidRDefault="009C1A41" w:rsidP="009C1A41">
      <w:pPr>
        <w:rPr>
          <w:rFonts w:ascii="Arial" w:eastAsia="Arial" w:hAnsi="Arial" w:cs="Arial"/>
          <w:sz w:val="27"/>
          <w:szCs w:val="27"/>
        </w:rPr>
      </w:pPr>
      <w:r>
        <w:rPr>
          <w:rFonts w:ascii="Arial" w:eastAsia="Arial" w:hAnsi="Arial" w:cs="Arial"/>
          <w:b/>
        </w:rPr>
        <w:t>Technological Strength and Competitive Position</w:t>
      </w:r>
    </w:p>
    <w:p w14:paraId="2A900CC6" w14:textId="77777777" w:rsidR="009C1A41" w:rsidRDefault="009C1A41" w:rsidP="009C1A41">
      <w:pPr>
        <w:rPr>
          <w:rFonts w:ascii="Arial" w:eastAsia="Arial" w:hAnsi="Arial" w:cs="Arial"/>
        </w:rPr>
      </w:pPr>
      <w:r>
        <w:rPr>
          <w:rFonts w:ascii="Arial" w:eastAsia="Arial" w:hAnsi="Arial" w:cs="Arial"/>
        </w:rPr>
        <w:t>In the present time, Tesla company has experienced the major competitive benefit as it focusses on cost-cutting battery technology, with AI integration as well as vertical integrated product model. However, Tesla will need to solve the affordability problem to achieve success in emerging markets through the application of cost optimisation measures such as production locally, lowering the price of their batteries, and designing entry-level EVs.</w:t>
      </w:r>
    </w:p>
    <w:p w14:paraId="7346E42A" w14:textId="77777777" w:rsidR="009C1A41" w:rsidRDefault="009C1A41" w:rsidP="009C1A41">
      <w:pPr>
        <w:rPr>
          <w:rFonts w:ascii="Arial" w:eastAsia="Arial" w:hAnsi="Arial" w:cs="Arial"/>
        </w:rPr>
      </w:pPr>
      <w:r>
        <w:rPr>
          <w:rFonts w:ascii="Arial" w:eastAsia="Arial" w:hAnsi="Arial" w:cs="Arial"/>
          <w:b/>
        </w:rPr>
        <w:t>Market Validation and Opportunity Assessment</w:t>
      </w:r>
    </w:p>
    <w:p w14:paraId="01AC101B" w14:textId="77777777" w:rsidR="009C1A41" w:rsidRDefault="009C1A41" w:rsidP="009C1A41">
      <w:pPr>
        <w:rPr>
          <w:rFonts w:ascii="Arial" w:eastAsia="Arial" w:hAnsi="Arial" w:cs="Arial"/>
        </w:rPr>
      </w:pPr>
      <w:r>
        <w:rPr>
          <w:rFonts w:ascii="Arial" w:eastAsia="Arial" w:hAnsi="Arial" w:cs="Arial"/>
        </w:rPr>
        <w:t>Market validation testifies to a high prospect of a long-term increase in EV adoption in emerging economies. Under this, the consumers are highly focused on enhancing awareness in terms of environmental sustainability, mainly among the younger people. Also, the high cost of fuel has increased, and government incentives focus on meeting the needs and demands of customers in terms of mobility solutions (</w:t>
      </w:r>
      <w:r>
        <w:rPr>
          <w:rFonts w:ascii="Arial" w:eastAsia="Arial" w:hAnsi="Arial" w:cs="Arial"/>
          <w:color w:val="EE0000"/>
        </w:rPr>
        <w:t>Adamashvili, and Thrassou, 2024)</w:t>
      </w:r>
      <w:r>
        <w:rPr>
          <w:rFonts w:ascii="Arial" w:eastAsia="Arial" w:hAnsi="Arial" w:cs="Arial"/>
        </w:rPr>
        <w:t xml:space="preserve">. </w:t>
      </w:r>
    </w:p>
    <w:p w14:paraId="40F27E33" w14:textId="77777777" w:rsidR="009C1A41" w:rsidRDefault="009C1A41" w:rsidP="009C1A41">
      <w:pPr>
        <w:rPr>
          <w:rFonts w:ascii="Arial" w:eastAsia="Arial" w:hAnsi="Arial" w:cs="Arial"/>
        </w:rPr>
      </w:pPr>
      <w:r>
        <w:rPr>
          <w:rFonts w:ascii="Arial" w:eastAsia="Arial" w:hAnsi="Arial" w:cs="Arial"/>
        </w:rPr>
        <w:t>Market validation is also important due to the digital transformation. In addition to this, it mainly comprises a mobile charging application, with an AI-enhancement management system that resulted in improving the overall user experience and accordingly supports the improved experience of users (EV, 2024).</w:t>
      </w:r>
    </w:p>
    <w:p w14:paraId="31E052AE" w14:textId="77777777" w:rsidR="009C1A41" w:rsidRDefault="009C1A41" w:rsidP="009C1A41">
      <w:pPr>
        <w:pBdr>
          <w:top w:val="nil"/>
          <w:left w:val="nil"/>
          <w:bottom w:val="nil"/>
          <w:right w:val="nil"/>
          <w:between w:val="nil"/>
        </w:pBdr>
        <w:spacing w:before="280" w:after="280"/>
        <w:rPr>
          <w:rFonts w:ascii="Arial" w:eastAsia="Arial" w:hAnsi="Arial" w:cs="Arial"/>
          <w:color w:val="000000"/>
        </w:rPr>
      </w:pPr>
      <w:r>
        <w:rPr>
          <w:rFonts w:ascii="Arial" w:eastAsia="Arial" w:hAnsi="Arial" w:cs="Arial"/>
          <w:color w:val="000000"/>
        </w:rPr>
        <w:t>In sum, the discussion validates the fact that despite the obstacles, the trend in demand and the policy environment are in favour of the further development of EVs. In case the issue of affordability and infrastructure has been resolved, then the emerging markets may serve as a significant engine of global expansion for Tesla.</w:t>
      </w:r>
    </w:p>
    <w:p w14:paraId="05D0BA20" w14:textId="77777777" w:rsidR="009C1A41" w:rsidRDefault="009C1A41" w:rsidP="009C1A41">
      <w:pPr>
        <w:pStyle w:val="Heading1"/>
        <w:rPr>
          <w:rFonts w:ascii="Arial" w:eastAsia="Arial" w:hAnsi="Arial" w:cs="Arial"/>
        </w:rPr>
      </w:pPr>
      <w:bookmarkStart w:id="3" w:name="_3znysh7" w:colFirst="0" w:colLast="0"/>
      <w:bookmarkEnd w:id="3"/>
      <w:r>
        <w:rPr>
          <w:rFonts w:ascii="Arial" w:eastAsia="Arial" w:hAnsi="Arial" w:cs="Arial"/>
        </w:rPr>
        <w:t xml:space="preserve">Risks </w:t>
      </w:r>
    </w:p>
    <w:p w14:paraId="33811A18" w14:textId="77777777" w:rsidR="009C1A41" w:rsidRDefault="009C1A41" w:rsidP="009C1A41">
      <w:pPr>
        <w:rPr>
          <w:rFonts w:ascii="Arial" w:eastAsia="Arial" w:hAnsi="Arial" w:cs="Arial"/>
        </w:rPr>
      </w:pPr>
      <w:r>
        <w:rPr>
          <w:rFonts w:ascii="Arial" w:eastAsia="Arial" w:hAnsi="Arial" w:cs="Arial"/>
        </w:rPr>
        <w:t xml:space="preserve">The growth of cheap electric vehicle (EV) adoption across emerging markets via sustainable innovation and digital change in Tesla Inc. poses a few strategic, operational and external threats that should be carefully addressed to secure long-term success </w:t>
      </w:r>
      <w:r>
        <w:rPr>
          <w:rFonts w:ascii="Arial" w:eastAsia="Arial" w:hAnsi="Arial" w:cs="Arial"/>
          <w:color w:val="EE0000"/>
        </w:rPr>
        <w:t>(Bowen, et al. 2024)</w:t>
      </w:r>
      <w:r>
        <w:rPr>
          <w:rFonts w:ascii="Arial" w:eastAsia="Arial" w:hAnsi="Arial" w:cs="Arial"/>
        </w:rPr>
        <w:t>.</w:t>
      </w:r>
    </w:p>
    <w:p w14:paraId="7AD2D498" w14:textId="77777777" w:rsidR="009C1A41" w:rsidRDefault="009C1A41" w:rsidP="009C1A41">
      <w:pPr>
        <w:rPr>
          <w:rFonts w:ascii="Arial" w:eastAsia="Arial" w:hAnsi="Arial" w:cs="Arial"/>
          <w:b/>
        </w:rPr>
      </w:pPr>
      <w:r>
        <w:rPr>
          <w:rFonts w:ascii="Arial" w:eastAsia="Arial" w:hAnsi="Arial" w:cs="Arial"/>
          <w:b/>
        </w:rPr>
        <w:t>Financial and Cost Risks</w:t>
      </w:r>
    </w:p>
    <w:p w14:paraId="0532CF2C" w14:textId="77777777" w:rsidR="009C1A41" w:rsidRDefault="009C1A41" w:rsidP="009C1A41">
      <w:pPr>
        <w:rPr>
          <w:rFonts w:ascii="Arial" w:eastAsia="Arial" w:hAnsi="Arial" w:cs="Arial"/>
        </w:rPr>
      </w:pPr>
      <w:r>
        <w:rPr>
          <w:rFonts w:ascii="Arial" w:eastAsia="Arial" w:hAnsi="Arial" w:cs="Arial"/>
        </w:rPr>
        <w:t xml:space="preserve">The high cost of EV production and innovation is one of the most crucial threats. There is a possibility of making the cheaper models without affecting the performance, safety and brand value, which will reduce the profit margins. In addition to this, fluctuations in the prices of the key raw materials such as lithium, cobalt and nickel could cause a drastic impact on the price of production of the batteries and lead to a financial disaster (Gnanavendan, </w:t>
      </w:r>
      <w:r>
        <w:rPr>
          <w:rFonts w:ascii="Arial" w:eastAsia="Arial" w:hAnsi="Arial" w:cs="Arial"/>
          <w:i/>
        </w:rPr>
        <w:t>et al</w:t>
      </w:r>
      <w:r>
        <w:rPr>
          <w:rFonts w:ascii="Arial" w:eastAsia="Arial" w:hAnsi="Arial" w:cs="Arial"/>
        </w:rPr>
        <w:t>. 2024).</w:t>
      </w:r>
    </w:p>
    <w:p w14:paraId="09427985" w14:textId="77777777" w:rsidR="009C1A41" w:rsidRDefault="009C1A41" w:rsidP="009C1A41">
      <w:pPr>
        <w:rPr>
          <w:rFonts w:ascii="Arial" w:eastAsia="Arial" w:hAnsi="Arial" w:cs="Arial"/>
          <w:b/>
        </w:rPr>
      </w:pPr>
      <w:r>
        <w:rPr>
          <w:rFonts w:ascii="Arial" w:eastAsia="Arial" w:hAnsi="Arial" w:cs="Arial"/>
          <w:b/>
        </w:rPr>
        <w:t>Supply Chain Risks</w:t>
      </w:r>
    </w:p>
    <w:p w14:paraId="563C8F13" w14:textId="77777777" w:rsidR="009C1A41" w:rsidRDefault="009C1A41" w:rsidP="009C1A41">
      <w:pPr>
        <w:rPr>
          <w:rFonts w:ascii="Arial" w:eastAsia="Arial" w:hAnsi="Arial" w:cs="Arial"/>
        </w:rPr>
      </w:pPr>
      <w:r>
        <w:rPr>
          <w:rFonts w:ascii="Arial" w:eastAsia="Arial" w:hAnsi="Arial" w:cs="Arial"/>
        </w:rPr>
        <w:t>The global supply chain of the company is experiencing a major number of issues that have resulted in impacting the outcome because of trade issues, logistics, as well as geopolitical tension. Other issues that emerging markets might encounter when trying to supply components or have a stable local supply chain may slow down production and entry into the market.</w:t>
      </w:r>
    </w:p>
    <w:p w14:paraId="6C49A8BC" w14:textId="77777777" w:rsidR="009C1A41" w:rsidRDefault="009C1A41" w:rsidP="009C1A41">
      <w:pPr>
        <w:rPr>
          <w:rFonts w:ascii="Arial" w:eastAsia="Arial" w:hAnsi="Arial" w:cs="Arial"/>
        </w:rPr>
      </w:pPr>
      <w:r>
        <w:rPr>
          <w:rFonts w:ascii="Arial" w:eastAsia="Arial" w:hAnsi="Arial" w:cs="Arial"/>
          <w:b/>
        </w:rPr>
        <w:t>Infrastructure</w:t>
      </w:r>
      <w:r>
        <w:rPr>
          <w:rFonts w:ascii="Arial" w:eastAsia="Arial" w:hAnsi="Arial" w:cs="Arial"/>
        </w:rPr>
        <w:t xml:space="preserve"> </w:t>
      </w:r>
      <w:r>
        <w:rPr>
          <w:rFonts w:ascii="Arial" w:eastAsia="Arial" w:hAnsi="Arial" w:cs="Arial"/>
          <w:b/>
        </w:rPr>
        <w:t>Risks</w:t>
      </w:r>
    </w:p>
    <w:p w14:paraId="60DB3685" w14:textId="77777777" w:rsidR="009C1A41" w:rsidRDefault="009C1A41" w:rsidP="009C1A41">
      <w:pPr>
        <w:rPr>
          <w:rFonts w:ascii="Arial" w:eastAsia="Arial" w:hAnsi="Arial" w:cs="Arial"/>
        </w:rPr>
      </w:pPr>
      <w:r>
        <w:rPr>
          <w:rFonts w:ascii="Arial" w:eastAsia="Arial" w:hAnsi="Arial" w:cs="Arial"/>
        </w:rPr>
        <w:t>Lack of sufficient charging infrastructure in the developing economies has been one of the biggest detriments. Lack of adequate charging networks and reliable electricity supply can keep consumer confidence in EV adoption low and limit market growth, even with existing products in the market.</w:t>
      </w:r>
    </w:p>
    <w:p w14:paraId="54C780D4" w14:textId="77777777" w:rsidR="009C1A41" w:rsidRDefault="009C1A41" w:rsidP="009C1A41">
      <w:pPr>
        <w:rPr>
          <w:rFonts w:ascii="Arial" w:eastAsia="Arial" w:hAnsi="Arial" w:cs="Arial"/>
          <w:b/>
        </w:rPr>
      </w:pPr>
      <w:r>
        <w:rPr>
          <w:rFonts w:ascii="Arial" w:eastAsia="Arial" w:hAnsi="Arial" w:cs="Arial"/>
          <w:b/>
        </w:rPr>
        <w:t>Technological Risks</w:t>
      </w:r>
    </w:p>
    <w:p w14:paraId="04A6302B" w14:textId="77777777" w:rsidR="009C1A41" w:rsidRDefault="009C1A41" w:rsidP="009C1A41">
      <w:pPr>
        <w:rPr>
          <w:rFonts w:ascii="Arial" w:eastAsia="Arial" w:hAnsi="Arial" w:cs="Arial"/>
        </w:rPr>
      </w:pPr>
      <w:r>
        <w:rPr>
          <w:rFonts w:ascii="Arial" w:eastAsia="Arial" w:hAnsi="Arial" w:cs="Arial"/>
        </w:rPr>
        <w:t>Quick improvements in battery and autonomous driving systems are the main risk factors of technological obsolescence. To sustain competitiveness, continuous innovation is mandatory, and this heightens research and development pressure.</w:t>
      </w:r>
    </w:p>
    <w:p w14:paraId="76928B5A" w14:textId="77777777" w:rsidR="009C1A41" w:rsidRDefault="009C1A41" w:rsidP="009C1A41">
      <w:pPr>
        <w:rPr>
          <w:rFonts w:ascii="Arial" w:eastAsia="Arial" w:hAnsi="Arial" w:cs="Arial"/>
          <w:b/>
        </w:rPr>
      </w:pPr>
      <w:r>
        <w:rPr>
          <w:rFonts w:ascii="Arial" w:eastAsia="Arial" w:hAnsi="Arial" w:cs="Arial"/>
          <w:b/>
        </w:rPr>
        <w:t>Market and Regulatory Risks</w:t>
      </w:r>
    </w:p>
    <w:p w14:paraId="6EF90290" w14:textId="77777777" w:rsidR="009C1A41" w:rsidRDefault="009C1A41" w:rsidP="009C1A41">
      <w:pPr>
        <w:rPr>
          <w:rFonts w:ascii="Arial" w:eastAsia="Arial" w:hAnsi="Arial" w:cs="Arial"/>
        </w:rPr>
      </w:pPr>
      <w:r>
        <w:rPr>
          <w:rFonts w:ascii="Arial" w:eastAsia="Arial" w:hAnsi="Arial" w:cs="Arial"/>
        </w:rPr>
        <w:t>Low awareness, cultural beliefs that people have towards conventional skills, and fear of maintenance can be obstacles to adoption. Moreover, government policy, taxation or the import policies in newer markets might also adversely impact expansion strategies.</w:t>
      </w:r>
    </w:p>
    <w:p w14:paraId="61E44CB7" w14:textId="77777777" w:rsidR="009C1A41" w:rsidRDefault="009C1A41" w:rsidP="009C1A41">
      <w:pPr>
        <w:pStyle w:val="Heading1"/>
        <w:rPr>
          <w:rFonts w:ascii="Arial" w:eastAsia="Arial" w:hAnsi="Arial" w:cs="Arial"/>
        </w:rPr>
      </w:pPr>
      <w:bookmarkStart w:id="4" w:name="_2et92p0" w:colFirst="0" w:colLast="0"/>
      <w:bookmarkEnd w:id="4"/>
      <w:r>
        <w:rPr>
          <w:rFonts w:ascii="Arial" w:eastAsia="Arial" w:hAnsi="Arial" w:cs="Arial"/>
        </w:rPr>
        <w:t>Timeline (Gantt Chart)</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7"/>
        <w:gridCol w:w="1170"/>
        <w:gridCol w:w="1170"/>
        <w:gridCol w:w="1171"/>
        <w:gridCol w:w="1173"/>
        <w:gridCol w:w="1185"/>
        <w:gridCol w:w="1130"/>
      </w:tblGrid>
      <w:tr w:rsidR="009C1A41" w14:paraId="6B1DA74A" w14:textId="77777777" w:rsidTr="00BC191B">
        <w:tc>
          <w:tcPr>
            <w:tcW w:w="2017" w:type="dxa"/>
          </w:tcPr>
          <w:p w14:paraId="0E5FF2CF" w14:textId="77777777" w:rsidR="009C1A41" w:rsidRDefault="009C1A41" w:rsidP="00BC191B">
            <w:pPr>
              <w:rPr>
                <w:rFonts w:ascii="Arial" w:eastAsia="Arial" w:hAnsi="Arial" w:cs="Arial"/>
              </w:rPr>
            </w:pPr>
            <w:r>
              <w:rPr>
                <w:rFonts w:ascii="Arial" w:eastAsia="Arial" w:hAnsi="Arial" w:cs="Arial"/>
              </w:rPr>
              <w:t>Activities/months</w:t>
            </w:r>
          </w:p>
        </w:tc>
        <w:tc>
          <w:tcPr>
            <w:tcW w:w="1170" w:type="dxa"/>
          </w:tcPr>
          <w:p w14:paraId="11F29903" w14:textId="77777777" w:rsidR="009C1A41" w:rsidRDefault="009C1A41" w:rsidP="00BC191B">
            <w:pPr>
              <w:rPr>
                <w:rFonts w:ascii="Arial" w:eastAsia="Arial" w:hAnsi="Arial" w:cs="Arial"/>
                <w:color w:val="EE0000"/>
              </w:rPr>
            </w:pPr>
            <w:r>
              <w:rPr>
                <w:rFonts w:ascii="Arial" w:eastAsia="Arial" w:hAnsi="Arial" w:cs="Arial"/>
                <w:color w:val="EE0000"/>
              </w:rPr>
              <w:t>1-4</w:t>
            </w:r>
          </w:p>
        </w:tc>
        <w:tc>
          <w:tcPr>
            <w:tcW w:w="1170" w:type="dxa"/>
          </w:tcPr>
          <w:p w14:paraId="22E4C934" w14:textId="77777777" w:rsidR="009C1A41" w:rsidRDefault="009C1A41" w:rsidP="00BC191B">
            <w:pPr>
              <w:rPr>
                <w:rFonts w:ascii="Arial" w:eastAsia="Arial" w:hAnsi="Arial" w:cs="Arial"/>
                <w:color w:val="EE0000"/>
              </w:rPr>
            </w:pPr>
            <w:r>
              <w:rPr>
                <w:rFonts w:ascii="Arial" w:eastAsia="Arial" w:hAnsi="Arial" w:cs="Arial"/>
                <w:color w:val="EE0000"/>
              </w:rPr>
              <w:t>5-8</w:t>
            </w:r>
          </w:p>
        </w:tc>
        <w:tc>
          <w:tcPr>
            <w:tcW w:w="1171" w:type="dxa"/>
          </w:tcPr>
          <w:p w14:paraId="3E07A3D0" w14:textId="77777777" w:rsidR="009C1A41" w:rsidRDefault="009C1A41" w:rsidP="00BC191B">
            <w:pPr>
              <w:rPr>
                <w:rFonts w:ascii="Arial" w:eastAsia="Arial" w:hAnsi="Arial" w:cs="Arial"/>
                <w:color w:val="EE0000"/>
              </w:rPr>
            </w:pPr>
            <w:r>
              <w:rPr>
                <w:rFonts w:ascii="Arial" w:eastAsia="Arial" w:hAnsi="Arial" w:cs="Arial"/>
                <w:color w:val="EE0000"/>
              </w:rPr>
              <w:t>9-11</w:t>
            </w:r>
          </w:p>
        </w:tc>
        <w:tc>
          <w:tcPr>
            <w:tcW w:w="1173" w:type="dxa"/>
          </w:tcPr>
          <w:p w14:paraId="462426D2" w14:textId="77777777" w:rsidR="009C1A41" w:rsidRDefault="009C1A41" w:rsidP="00BC191B">
            <w:pPr>
              <w:rPr>
                <w:rFonts w:ascii="Arial" w:eastAsia="Arial" w:hAnsi="Arial" w:cs="Arial"/>
                <w:color w:val="EE0000"/>
              </w:rPr>
            </w:pPr>
            <w:r>
              <w:rPr>
                <w:rFonts w:ascii="Arial" w:eastAsia="Arial" w:hAnsi="Arial" w:cs="Arial"/>
                <w:color w:val="EE0000"/>
              </w:rPr>
              <w:t>12-13</w:t>
            </w:r>
          </w:p>
        </w:tc>
        <w:tc>
          <w:tcPr>
            <w:tcW w:w="1185" w:type="dxa"/>
          </w:tcPr>
          <w:p w14:paraId="73F23255" w14:textId="77777777" w:rsidR="009C1A41" w:rsidRDefault="009C1A41" w:rsidP="00BC191B">
            <w:pPr>
              <w:rPr>
                <w:rFonts w:ascii="Arial" w:eastAsia="Arial" w:hAnsi="Arial" w:cs="Arial"/>
                <w:color w:val="EE0000"/>
              </w:rPr>
            </w:pPr>
            <w:r>
              <w:rPr>
                <w:rFonts w:ascii="Arial" w:eastAsia="Arial" w:hAnsi="Arial" w:cs="Arial"/>
                <w:color w:val="EE0000"/>
              </w:rPr>
              <w:t>14-15</w:t>
            </w:r>
          </w:p>
        </w:tc>
        <w:tc>
          <w:tcPr>
            <w:tcW w:w="1130" w:type="dxa"/>
          </w:tcPr>
          <w:p w14:paraId="2D81E43C" w14:textId="77777777" w:rsidR="009C1A41" w:rsidRDefault="009C1A41" w:rsidP="00BC191B">
            <w:pPr>
              <w:rPr>
                <w:rFonts w:ascii="Arial" w:eastAsia="Arial" w:hAnsi="Arial" w:cs="Arial"/>
                <w:color w:val="EE0000"/>
              </w:rPr>
            </w:pPr>
            <w:r>
              <w:rPr>
                <w:rFonts w:ascii="Arial" w:eastAsia="Arial" w:hAnsi="Arial" w:cs="Arial"/>
                <w:color w:val="EE0000"/>
              </w:rPr>
              <w:t>16</w:t>
            </w:r>
          </w:p>
        </w:tc>
      </w:tr>
      <w:tr w:rsidR="009C1A41" w14:paraId="0723110D" w14:textId="77777777" w:rsidTr="00BC191B">
        <w:tc>
          <w:tcPr>
            <w:tcW w:w="2017" w:type="dxa"/>
          </w:tcPr>
          <w:p w14:paraId="6BA7A563" w14:textId="77777777" w:rsidR="009C1A41" w:rsidRDefault="009C1A41" w:rsidP="00BC191B">
            <w:pPr>
              <w:rPr>
                <w:rFonts w:ascii="Arial" w:eastAsia="Arial" w:hAnsi="Arial" w:cs="Arial"/>
              </w:rPr>
            </w:pPr>
            <w:r>
              <w:rPr>
                <w:rFonts w:ascii="Arial" w:eastAsia="Arial" w:hAnsi="Arial" w:cs="Arial"/>
              </w:rPr>
              <w:t xml:space="preserve">Research and feasibility of the study </w:t>
            </w:r>
          </w:p>
        </w:tc>
        <w:tc>
          <w:tcPr>
            <w:tcW w:w="1170" w:type="dxa"/>
            <w:shd w:val="clear" w:color="auto" w:fill="76923C"/>
          </w:tcPr>
          <w:p w14:paraId="1980A933" w14:textId="77777777" w:rsidR="009C1A41" w:rsidRDefault="009C1A41" w:rsidP="00BC191B">
            <w:pPr>
              <w:rPr>
                <w:rFonts w:ascii="Arial" w:eastAsia="Arial" w:hAnsi="Arial" w:cs="Arial"/>
              </w:rPr>
            </w:pPr>
          </w:p>
        </w:tc>
        <w:tc>
          <w:tcPr>
            <w:tcW w:w="1170" w:type="dxa"/>
          </w:tcPr>
          <w:p w14:paraId="77E7C218" w14:textId="77777777" w:rsidR="009C1A41" w:rsidRDefault="009C1A41" w:rsidP="00BC191B">
            <w:pPr>
              <w:rPr>
                <w:rFonts w:ascii="Arial" w:eastAsia="Arial" w:hAnsi="Arial" w:cs="Arial"/>
              </w:rPr>
            </w:pPr>
          </w:p>
        </w:tc>
        <w:tc>
          <w:tcPr>
            <w:tcW w:w="1171" w:type="dxa"/>
          </w:tcPr>
          <w:p w14:paraId="110E183F" w14:textId="77777777" w:rsidR="009C1A41" w:rsidRDefault="009C1A41" w:rsidP="00BC191B">
            <w:pPr>
              <w:rPr>
                <w:rFonts w:ascii="Arial" w:eastAsia="Arial" w:hAnsi="Arial" w:cs="Arial"/>
              </w:rPr>
            </w:pPr>
          </w:p>
        </w:tc>
        <w:tc>
          <w:tcPr>
            <w:tcW w:w="1173" w:type="dxa"/>
          </w:tcPr>
          <w:p w14:paraId="64C4D05F" w14:textId="77777777" w:rsidR="009C1A41" w:rsidRDefault="009C1A41" w:rsidP="00BC191B">
            <w:pPr>
              <w:rPr>
                <w:rFonts w:ascii="Arial" w:eastAsia="Arial" w:hAnsi="Arial" w:cs="Arial"/>
              </w:rPr>
            </w:pPr>
          </w:p>
        </w:tc>
        <w:tc>
          <w:tcPr>
            <w:tcW w:w="1185" w:type="dxa"/>
          </w:tcPr>
          <w:p w14:paraId="6D7AC226" w14:textId="77777777" w:rsidR="009C1A41" w:rsidRDefault="009C1A41" w:rsidP="00BC191B">
            <w:pPr>
              <w:rPr>
                <w:rFonts w:ascii="Arial" w:eastAsia="Arial" w:hAnsi="Arial" w:cs="Arial"/>
              </w:rPr>
            </w:pPr>
          </w:p>
        </w:tc>
        <w:tc>
          <w:tcPr>
            <w:tcW w:w="1130" w:type="dxa"/>
          </w:tcPr>
          <w:p w14:paraId="19770C64" w14:textId="77777777" w:rsidR="009C1A41" w:rsidRDefault="009C1A41" w:rsidP="00BC191B">
            <w:pPr>
              <w:rPr>
                <w:rFonts w:ascii="Arial" w:eastAsia="Arial" w:hAnsi="Arial" w:cs="Arial"/>
              </w:rPr>
            </w:pPr>
          </w:p>
        </w:tc>
      </w:tr>
      <w:tr w:rsidR="009C1A41" w14:paraId="330FD6D4" w14:textId="77777777" w:rsidTr="00BC191B">
        <w:tc>
          <w:tcPr>
            <w:tcW w:w="2017" w:type="dxa"/>
          </w:tcPr>
          <w:p w14:paraId="6751E674" w14:textId="77777777" w:rsidR="009C1A41" w:rsidRDefault="009C1A41" w:rsidP="00BC191B">
            <w:pPr>
              <w:rPr>
                <w:rFonts w:ascii="Arial" w:eastAsia="Arial" w:hAnsi="Arial" w:cs="Arial"/>
              </w:rPr>
            </w:pPr>
            <w:r>
              <w:rPr>
                <w:rFonts w:ascii="Arial" w:eastAsia="Arial" w:hAnsi="Arial" w:cs="Arial"/>
              </w:rPr>
              <w:t xml:space="preserve">Development of the study </w:t>
            </w:r>
          </w:p>
        </w:tc>
        <w:tc>
          <w:tcPr>
            <w:tcW w:w="1170" w:type="dxa"/>
          </w:tcPr>
          <w:p w14:paraId="4C02DBF6" w14:textId="77777777" w:rsidR="009C1A41" w:rsidRDefault="009C1A41" w:rsidP="00BC191B">
            <w:pPr>
              <w:rPr>
                <w:rFonts w:ascii="Arial" w:eastAsia="Arial" w:hAnsi="Arial" w:cs="Arial"/>
              </w:rPr>
            </w:pPr>
          </w:p>
        </w:tc>
        <w:tc>
          <w:tcPr>
            <w:tcW w:w="1170" w:type="dxa"/>
            <w:shd w:val="clear" w:color="auto" w:fill="943734"/>
          </w:tcPr>
          <w:p w14:paraId="24BD54D2" w14:textId="77777777" w:rsidR="009C1A41" w:rsidRDefault="009C1A41" w:rsidP="00BC191B">
            <w:pPr>
              <w:rPr>
                <w:rFonts w:ascii="Arial" w:eastAsia="Arial" w:hAnsi="Arial" w:cs="Arial"/>
              </w:rPr>
            </w:pPr>
          </w:p>
        </w:tc>
        <w:tc>
          <w:tcPr>
            <w:tcW w:w="1171" w:type="dxa"/>
            <w:shd w:val="clear" w:color="auto" w:fill="943734"/>
          </w:tcPr>
          <w:p w14:paraId="0E6BB7B6" w14:textId="77777777" w:rsidR="009C1A41" w:rsidRDefault="009C1A41" w:rsidP="00BC191B">
            <w:pPr>
              <w:rPr>
                <w:rFonts w:ascii="Arial" w:eastAsia="Arial" w:hAnsi="Arial" w:cs="Arial"/>
              </w:rPr>
            </w:pPr>
          </w:p>
        </w:tc>
        <w:tc>
          <w:tcPr>
            <w:tcW w:w="1173" w:type="dxa"/>
          </w:tcPr>
          <w:p w14:paraId="5573762A" w14:textId="77777777" w:rsidR="009C1A41" w:rsidRDefault="009C1A41" w:rsidP="00BC191B">
            <w:pPr>
              <w:rPr>
                <w:rFonts w:ascii="Arial" w:eastAsia="Arial" w:hAnsi="Arial" w:cs="Arial"/>
              </w:rPr>
            </w:pPr>
          </w:p>
        </w:tc>
        <w:tc>
          <w:tcPr>
            <w:tcW w:w="1185" w:type="dxa"/>
          </w:tcPr>
          <w:p w14:paraId="49891A2D" w14:textId="77777777" w:rsidR="009C1A41" w:rsidRDefault="009C1A41" w:rsidP="00BC191B">
            <w:pPr>
              <w:rPr>
                <w:rFonts w:ascii="Arial" w:eastAsia="Arial" w:hAnsi="Arial" w:cs="Arial"/>
              </w:rPr>
            </w:pPr>
          </w:p>
        </w:tc>
        <w:tc>
          <w:tcPr>
            <w:tcW w:w="1130" w:type="dxa"/>
          </w:tcPr>
          <w:p w14:paraId="2BBDFFEC" w14:textId="77777777" w:rsidR="009C1A41" w:rsidRDefault="009C1A41" w:rsidP="00BC191B">
            <w:pPr>
              <w:rPr>
                <w:rFonts w:ascii="Arial" w:eastAsia="Arial" w:hAnsi="Arial" w:cs="Arial"/>
              </w:rPr>
            </w:pPr>
          </w:p>
        </w:tc>
      </w:tr>
      <w:tr w:rsidR="009C1A41" w14:paraId="1EB9E16D" w14:textId="77777777" w:rsidTr="00BC191B">
        <w:tc>
          <w:tcPr>
            <w:tcW w:w="2017" w:type="dxa"/>
          </w:tcPr>
          <w:p w14:paraId="01B1518B" w14:textId="77777777" w:rsidR="009C1A41" w:rsidRDefault="009C1A41" w:rsidP="00BC191B">
            <w:pPr>
              <w:rPr>
                <w:rFonts w:ascii="Arial" w:eastAsia="Arial" w:hAnsi="Arial" w:cs="Arial"/>
              </w:rPr>
            </w:pPr>
            <w:r>
              <w:rPr>
                <w:rFonts w:ascii="Arial" w:eastAsia="Arial" w:hAnsi="Arial" w:cs="Arial"/>
              </w:rPr>
              <w:t>Implementation on pilot plan</w:t>
            </w:r>
          </w:p>
        </w:tc>
        <w:tc>
          <w:tcPr>
            <w:tcW w:w="1170" w:type="dxa"/>
          </w:tcPr>
          <w:p w14:paraId="0A9202C3" w14:textId="77777777" w:rsidR="009C1A41" w:rsidRDefault="009C1A41" w:rsidP="00BC191B">
            <w:pPr>
              <w:rPr>
                <w:rFonts w:ascii="Arial" w:eastAsia="Arial" w:hAnsi="Arial" w:cs="Arial"/>
              </w:rPr>
            </w:pPr>
          </w:p>
        </w:tc>
        <w:tc>
          <w:tcPr>
            <w:tcW w:w="1170" w:type="dxa"/>
            <w:shd w:val="clear" w:color="auto" w:fill="943734"/>
          </w:tcPr>
          <w:p w14:paraId="1E80AE56" w14:textId="77777777" w:rsidR="009C1A41" w:rsidRDefault="009C1A41" w:rsidP="00BC191B">
            <w:pPr>
              <w:rPr>
                <w:rFonts w:ascii="Arial" w:eastAsia="Arial" w:hAnsi="Arial" w:cs="Arial"/>
              </w:rPr>
            </w:pPr>
          </w:p>
        </w:tc>
        <w:tc>
          <w:tcPr>
            <w:tcW w:w="1171" w:type="dxa"/>
            <w:shd w:val="clear" w:color="auto" w:fill="943734"/>
          </w:tcPr>
          <w:p w14:paraId="49ACEC41" w14:textId="77777777" w:rsidR="009C1A41" w:rsidRDefault="009C1A41" w:rsidP="00BC191B">
            <w:pPr>
              <w:rPr>
                <w:rFonts w:ascii="Arial" w:eastAsia="Arial" w:hAnsi="Arial" w:cs="Arial"/>
              </w:rPr>
            </w:pPr>
          </w:p>
        </w:tc>
        <w:tc>
          <w:tcPr>
            <w:tcW w:w="1173" w:type="dxa"/>
          </w:tcPr>
          <w:p w14:paraId="09F04E19" w14:textId="77777777" w:rsidR="009C1A41" w:rsidRDefault="009C1A41" w:rsidP="00BC191B">
            <w:pPr>
              <w:rPr>
                <w:rFonts w:ascii="Arial" w:eastAsia="Arial" w:hAnsi="Arial" w:cs="Arial"/>
              </w:rPr>
            </w:pPr>
          </w:p>
        </w:tc>
        <w:tc>
          <w:tcPr>
            <w:tcW w:w="1185" w:type="dxa"/>
          </w:tcPr>
          <w:p w14:paraId="62F0D405" w14:textId="77777777" w:rsidR="009C1A41" w:rsidRDefault="009C1A41" w:rsidP="00BC191B">
            <w:pPr>
              <w:rPr>
                <w:rFonts w:ascii="Arial" w:eastAsia="Arial" w:hAnsi="Arial" w:cs="Arial"/>
              </w:rPr>
            </w:pPr>
          </w:p>
        </w:tc>
        <w:tc>
          <w:tcPr>
            <w:tcW w:w="1130" w:type="dxa"/>
          </w:tcPr>
          <w:p w14:paraId="4C02B3D5" w14:textId="77777777" w:rsidR="009C1A41" w:rsidRDefault="009C1A41" w:rsidP="00BC191B">
            <w:pPr>
              <w:rPr>
                <w:rFonts w:ascii="Arial" w:eastAsia="Arial" w:hAnsi="Arial" w:cs="Arial"/>
              </w:rPr>
            </w:pPr>
          </w:p>
        </w:tc>
      </w:tr>
      <w:tr w:rsidR="009C1A41" w14:paraId="41FE53CC" w14:textId="77777777" w:rsidTr="00BC191B">
        <w:tc>
          <w:tcPr>
            <w:tcW w:w="2017" w:type="dxa"/>
          </w:tcPr>
          <w:p w14:paraId="5C09CD6A" w14:textId="77777777" w:rsidR="009C1A41" w:rsidRDefault="009C1A41" w:rsidP="00BC191B">
            <w:pPr>
              <w:rPr>
                <w:rFonts w:ascii="Arial" w:eastAsia="Arial" w:hAnsi="Arial" w:cs="Arial"/>
              </w:rPr>
            </w:pPr>
            <w:r>
              <w:rPr>
                <w:rFonts w:ascii="Arial" w:eastAsia="Arial" w:hAnsi="Arial" w:cs="Arial"/>
              </w:rPr>
              <w:t xml:space="preserve">Optimisation and evaluation of the work </w:t>
            </w:r>
          </w:p>
        </w:tc>
        <w:tc>
          <w:tcPr>
            <w:tcW w:w="1170" w:type="dxa"/>
          </w:tcPr>
          <w:p w14:paraId="7F1A4BE6" w14:textId="77777777" w:rsidR="009C1A41" w:rsidRDefault="009C1A41" w:rsidP="00BC191B">
            <w:pPr>
              <w:rPr>
                <w:rFonts w:ascii="Arial" w:eastAsia="Arial" w:hAnsi="Arial" w:cs="Arial"/>
              </w:rPr>
            </w:pPr>
          </w:p>
        </w:tc>
        <w:tc>
          <w:tcPr>
            <w:tcW w:w="1170" w:type="dxa"/>
          </w:tcPr>
          <w:p w14:paraId="2EDEA214" w14:textId="77777777" w:rsidR="009C1A41" w:rsidRDefault="009C1A41" w:rsidP="00BC191B">
            <w:pPr>
              <w:rPr>
                <w:rFonts w:ascii="Arial" w:eastAsia="Arial" w:hAnsi="Arial" w:cs="Arial"/>
              </w:rPr>
            </w:pPr>
          </w:p>
        </w:tc>
        <w:tc>
          <w:tcPr>
            <w:tcW w:w="1171" w:type="dxa"/>
          </w:tcPr>
          <w:p w14:paraId="2DFCA5EB" w14:textId="77777777" w:rsidR="009C1A41" w:rsidRDefault="009C1A41" w:rsidP="00BC191B">
            <w:pPr>
              <w:rPr>
                <w:rFonts w:ascii="Arial" w:eastAsia="Arial" w:hAnsi="Arial" w:cs="Arial"/>
              </w:rPr>
            </w:pPr>
          </w:p>
        </w:tc>
        <w:tc>
          <w:tcPr>
            <w:tcW w:w="1173" w:type="dxa"/>
            <w:shd w:val="clear" w:color="auto" w:fill="5F497A"/>
          </w:tcPr>
          <w:p w14:paraId="5075FB3E" w14:textId="77777777" w:rsidR="009C1A41" w:rsidRDefault="009C1A41" w:rsidP="00BC191B">
            <w:pPr>
              <w:rPr>
                <w:rFonts w:ascii="Arial" w:eastAsia="Arial" w:hAnsi="Arial" w:cs="Arial"/>
              </w:rPr>
            </w:pPr>
          </w:p>
        </w:tc>
        <w:tc>
          <w:tcPr>
            <w:tcW w:w="1185" w:type="dxa"/>
            <w:shd w:val="clear" w:color="auto" w:fill="5F497A"/>
          </w:tcPr>
          <w:p w14:paraId="59344F51" w14:textId="77777777" w:rsidR="009C1A41" w:rsidRDefault="009C1A41" w:rsidP="00BC191B">
            <w:pPr>
              <w:rPr>
                <w:rFonts w:ascii="Arial" w:eastAsia="Arial" w:hAnsi="Arial" w:cs="Arial"/>
              </w:rPr>
            </w:pPr>
          </w:p>
        </w:tc>
        <w:tc>
          <w:tcPr>
            <w:tcW w:w="1130" w:type="dxa"/>
          </w:tcPr>
          <w:p w14:paraId="46D3AF71" w14:textId="77777777" w:rsidR="009C1A41" w:rsidRDefault="009C1A41" w:rsidP="00BC191B">
            <w:pPr>
              <w:rPr>
                <w:rFonts w:ascii="Arial" w:eastAsia="Arial" w:hAnsi="Arial" w:cs="Arial"/>
              </w:rPr>
            </w:pPr>
          </w:p>
        </w:tc>
      </w:tr>
      <w:tr w:rsidR="009C1A41" w14:paraId="539DFCA6" w14:textId="77777777" w:rsidTr="00BC191B">
        <w:tc>
          <w:tcPr>
            <w:tcW w:w="2017" w:type="dxa"/>
          </w:tcPr>
          <w:p w14:paraId="54E19977" w14:textId="77777777" w:rsidR="009C1A41" w:rsidRDefault="009C1A41" w:rsidP="00BC191B">
            <w:pPr>
              <w:rPr>
                <w:rFonts w:ascii="Arial" w:eastAsia="Arial" w:hAnsi="Arial" w:cs="Arial"/>
              </w:rPr>
            </w:pPr>
            <w:r>
              <w:rPr>
                <w:rFonts w:ascii="Arial" w:eastAsia="Arial" w:hAnsi="Arial" w:cs="Arial"/>
              </w:rPr>
              <w:t xml:space="preserve">Focus on full-scale expansion </w:t>
            </w:r>
          </w:p>
        </w:tc>
        <w:tc>
          <w:tcPr>
            <w:tcW w:w="1170" w:type="dxa"/>
          </w:tcPr>
          <w:p w14:paraId="6DC95AB2" w14:textId="77777777" w:rsidR="009C1A41" w:rsidRDefault="009C1A41" w:rsidP="00BC191B">
            <w:pPr>
              <w:rPr>
                <w:rFonts w:ascii="Arial" w:eastAsia="Arial" w:hAnsi="Arial" w:cs="Arial"/>
              </w:rPr>
            </w:pPr>
          </w:p>
        </w:tc>
        <w:tc>
          <w:tcPr>
            <w:tcW w:w="1170" w:type="dxa"/>
          </w:tcPr>
          <w:p w14:paraId="60A95127" w14:textId="77777777" w:rsidR="009C1A41" w:rsidRDefault="009C1A41" w:rsidP="00BC191B">
            <w:pPr>
              <w:rPr>
                <w:rFonts w:ascii="Arial" w:eastAsia="Arial" w:hAnsi="Arial" w:cs="Arial"/>
              </w:rPr>
            </w:pPr>
          </w:p>
        </w:tc>
        <w:tc>
          <w:tcPr>
            <w:tcW w:w="1171" w:type="dxa"/>
          </w:tcPr>
          <w:p w14:paraId="5A9B33FC" w14:textId="77777777" w:rsidR="009C1A41" w:rsidRDefault="009C1A41" w:rsidP="00BC191B">
            <w:pPr>
              <w:rPr>
                <w:rFonts w:ascii="Arial" w:eastAsia="Arial" w:hAnsi="Arial" w:cs="Arial"/>
              </w:rPr>
            </w:pPr>
          </w:p>
        </w:tc>
        <w:tc>
          <w:tcPr>
            <w:tcW w:w="1173" w:type="dxa"/>
          </w:tcPr>
          <w:p w14:paraId="0F263D31" w14:textId="77777777" w:rsidR="009C1A41" w:rsidRDefault="009C1A41" w:rsidP="00BC191B">
            <w:pPr>
              <w:rPr>
                <w:rFonts w:ascii="Arial" w:eastAsia="Arial" w:hAnsi="Arial" w:cs="Arial"/>
              </w:rPr>
            </w:pPr>
          </w:p>
        </w:tc>
        <w:tc>
          <w:tcPr>
            <w:tcW w:w="1185" w:type="dxa"/>
            <w:shd w:val="clear" w:color="auto" w:fill="31849B"/>
          </w:tcPr>
          <w:p w14:paraId="490630D4" w14:textId="77777777" w:rsidR="009C1A41" w:rsidRDefault="009C1A41" w:rsidP="00BC191B">
            <w:pPr>
              <w:rPr>
                <w:rFonts w:ascii="Arial" w:eastAsia="Arial" w:hAnsi="Arial" w:cs="Arial"/>
              </w:rPr>
            </w:pPr>
          </w:p>
        </w:tc>
        <w:tc>
          <w:tcPr>
            <w:tcW w:w="1130" w:type="dxa"/>
            <w:shd w:val="clear" w:color="auto" w:fill="31849B"/>
          </w:tcPr>
          <w:p w14:paraId="0D8C1F6B" w14:textId="77777777" w:rsidR="009C1A41" w:rsidRDefault="009C1A41" w:rsidP="00BC191B">
            <w:pPr>
              <w:rPr>
                <w:rFonts w:ascii="Arial" w:eastAsia="Arial" w:hAnsi="Arial" w:cs="Arial"/>
              </w:rPr>
            </w:pPr>
          </w:p>
        </w:tc>
      </w:tr>
    </w:tbl>
    <w:p w14:paraId="6EF24FA8" w14:textId="77777777" w:rsidR="009C1A41" w:rsidRDefault="009C1A41" w:rsidP="009C1A41">
      <w:pPr>
        <w:spacing w:before="0" w:after="200" w:line="276" w:lineRule="auto"/>
        <w:jc w:val="left"/>
        <w:rPr>
          <w:rFonts w:ascii="Arial" w:eastAsia="Arial" w:hAnsi="Arial" w:cs="Arial"/>
          <w:b/>
          <w:color w:val="000000"/>
          <w:sz w:val="28"/>
          <w:szCs w:val="28"/>
        </w:rPr>
      </w:pPr>
      <w:r>
        <w:br w:type="page"/>
      </w:r>
    </w:p>
    <w:p w14:paraId="60E6DAB0" w14:textId="77777777" w:rsidR="009C1A41" w:rsidRDefault="009C1A41" w:rsidP="009C1A41">
      <w:pPr>
        <w:pStyle w:val="Heading1"/>
        <w:rPr>
          <w:rFonts w:ascii="Arial" w:eastAsia="Arial" w:hAnsi="Arial" w:cs="Arial"/>
        </w:rPr>
      </w:pPr>
      <w:bookmarkStart w:id="5" w:name="_tyjcwt" w:colFirst="0" w:colLast="0"/>
      <w:bookmarkEnd w:id="5"/>
      <w:r>
        <w:rPr>
          <w:rFonts w:ascii="Arial" w:eastAsia="Arial" w:hAnsi="Arial" w:cs="Arial"/>
        </w:rPr>
        <w:t xml:space="preserve">References </w:t>
      </w:r>
    </w:p>
    <w:p w14:paraId="1360791E" w14:textId="77777777" w:rsidR="009C1A41" w:rsidRDefault="009C1A41" w:rsidP="009C1A41">
      <w:pPr>
        <w:rPr>
          <w:rFonts w:ascii="Arial" w:eastAsia="Arial" w:hAnsi="Arial" w:cs="Arial"/>
        </w:rPr>
      </w:pPr>
      <w:r>
        <w:rPr>
          <w:rFonts w:ascii="Arial" w:eastAsia="Arial" w:hAnsi="Arial" w:cs="Arial"/>
        </w:rPr>
        <w:t>Abbes, I (2025) Strategic pathways for innovation and sustainability in digital transformation: Insights from leading global companies. </w:t>
      </w:r>
      <w:r>
        <w:rPr>
          <w:rFonts w:ascii="Arial" w:eastAsia="Arial" w:hAnsi="Arial" w:cs="Arial"/>
          <w:i/>
        </w:rPr>
        <w:t>Social Sciences &amp; Humanities Open</w:t>
      </w:r>
      <w:r>
        <w:rPr>
          <w:rFonts w:ascii="Arial" w:eastAsia="Arial" w:hAnsi="Arial" w:cs="Arial"/>
        </w:rPr>
        <w:t>, </w:t>
      </w:r>
      <w:r>
        <w:rPr>
          <w:rFonts w:ascii="Arial" w:eastAsia="Arial" w:hAnsi="Arial" w:cs="Arial"/>
          <w:i/>
        </w:rPr>
        <w:t>12</w:t>
      </w:r>
      <w:r>
        <w:rPr>
          <w:rFonts w:ascii="Arial" w:eastAsia="Arial" w:hAnsi="Arial" w:cs="Arial"/>
        </w:rPr>
        <w:t xml:space="preserve">, p.101906. </w:t>
      </w:r>
      <w:hyperlink r:id="rId8">
        <w:r>
          <w:rPr>
            <w:rFonts w:ascii="Arial" w:eastAsia="Arial" w:hAnsi="Arial" w:cs="Arial"/>
            <w:color w:val="0000FF"/>
            <w:u w:val="single"/>
          </w:rPr>
          <w:t>https://doi.org/10.1016/j.ssaho.2025.101906</w:t>
        </w:r>
      </w:hyperlink>
      <w:r>
        <w:rPr>
          <w:rFonts w:ascii="Arial" w:eastAsia="Arial" w:hAnsi="Arial" w:cs="Arial"/>
        </w:rPr>
        <w:t xml:space="preserve"> </w:t>
      </w:r>
    </w:p>
    <w:p w14:paraId="77132BF1" w14:textId="77777777" w:rsidR="009C1A41" w:rsidRDefault="009C1A41" w:rsidP="009C1A41">
      <w:pPr>
        <w:rPr>
          <w:rFonts w:ascii="Arial" w:eastAsia="Arial" w:hAnsi="Arial" w:cs="Arial"/>
          <w:color w:val="EE0000"/>
        </w:rPr>
      </w:pPr>
      <w:r>
        <w:rPr>
          <w:rFonts w:ascii="Arial" w:eastAsia="Arial" w:hAnsi="Arial" w:cs="Arial"/>
          <w:color w:val="EE0000"/>
        </w:rPr>
        <w:t>Adamashvili, N. and Thrassou, A. (2024) Towards sustainable decarbonization: Addressing challenges in electric vehicle adoption and infrastructure development. </w:t>
      </w:r>
      <w:r>
        <w:rPr>
          <w:rFonts w:ascii="Arial" w:eastAsia="Arial" w:hAnsi="Arial" w:cs="Arial"/>
          <w:i/>
          <w:color w:val="EE0000"/>
        </w:rPr>
        <w:t>Energies</w:t>
      </w:r>
      <w:r>
        <w:rPr>
          <w:rFonts w:ascii="Arial" w:eastAsia="Arial" w:hAnsi="Arial" w:cs="Arial"/>
          <w:color w:val="EE0000"/>
        </w:rPr>
        <w:t>, </w:t>
      </w:r>
      <w:r>
        <w:rPr>
          <w:rFonts w:ascii="Arial" w:eastAsia="Arial" w:hAnsi="Arial" w:cs="Arial"/>
          <w:i/>
          <w:color w:val="EE0000"/>
        </w:rPr>
        <w:t>17</w:t>
      </w:r>
      <w:r>
        <w:rPr>
          <w:rFonts w:ascii="Arial" w:eastAsia="Arial" w:hAnsi="Arial" w:cs="Arial"/>
          <w:color w:val="EE0000"/>
        </w:rPr>
        <w:t xml:space="preserve">(21), p.5443. </w:t>
      </w:r>
      <w:hyperlink r:id="rId9">
        <w:r>
          <w:rPr>
            <w:rFonts w:ascii="Arial" w:eastAsia="Arial" w:hAnsi="Arial" w:cs="Arial"/>
            <w:color w:val="0000FF"/>
            <w:u w:val="single"/>
          </w:rPr>
          <w:t>https://doi.org/10.3390/en17215443</w:t>
        </w:r>
      </w:hyperlink>
      <w:r>
        <w:rPr>
          <w:rFonts w:ascii="Arial" w:eastAsia="Arial" w:hAnsi="Arial" w:cs="Arial"/>
          <w:color w:val="EE0000"/>
        </w:rPr>
        <w:t xml:space="preserve"> </w:t>
      </w:r>
    </w:p>
    <w:p w14:paraId="3589B7A9" w14:textId="77777777" w:rsidR="009C1A41" w:rsidRDefault="009C1A41" w:rsidP="009C1A41">
      <w:pPr>
        <w:rPr>
          <w:rFonts w:ascii="Arial" w:eastAsia="Arial" w:hAnsi="Arial" w:cs="Arial"/>
          <w:color w:val="EE0000"/>
        </w:rPr>
      </w:pPr>
      <w:r>
        <w:rPr>
          <w:rFonts w:ascii="Arial" w:eastAsia="Arial" w:hAnsi="Arial" w:cs="Arial"/>
          <w:color w:val="EE0000"/>
        </w:rPr>
        <w:t xml:space="preserve">Bowen, G., Bowen, R., Bowen, D., </w:t>
      </w:r>
      <w:proofErr w:type="spellStart"/>
      <w:r>
        <w:rPr>
          <w:rFonts w:ascii="Arial" w:eastAsia="Arial" w:hAnsi="Arial" w:cs="Arial"/>
          <w:color w:val="EE0000"/>
        </w:rPr>
        <w:t>Dadwal</w:t>
      </w:r>
      <w:proofErr w:type="spellEnd"/>
      <w:r>
        <w:rPr>
          <w:rFonts w:ascii="Arial" w:eastAsia="Arial" w:hAnsi="Arial" w:cs="Arial"/>
          <w:color w:val="EE0000"/>
        </w:rPr>
        <w:t>, S. and Okafor, S. (2024) AI: Risk management and measurement. </w:t>
      </w:r>
      <w:r>
        <w:rPr>
          <w:rFonts w:ascii="Arial" w:eastAsia="Arial" w:hAnsi="Arial" w:cs="Arial"/>
          <w:i/>
          <w:color w:val="EE0000"/>
        </w:rPr>
        <w:t>2024 GBATA READINGS BOOK THEME DEVELOPING INNOVATIVE STRATEGIES FOR A CHANGING WORLD</w:t>
      </w:r>
      <w:r>
        <w:rPr>
          <w:rFonts w:ascii="Arial" w:eastAsia="Arial" w:hAnsi="Arial" w:cs="Arial"/>
          <w:color w:val="EE0000"/>
        </w:rPr>
        <w:t xml:space="preserve">, p.56. </w:t>
      </w:r>
      <w:hyperlink r:id="rId10" w:anchor="page=74">
        <w:r>
          <w:rPr>
            <w:rFonts w:ascii="Arial" w:eastAsia="Arial" w:hAnsi="Arial" w:cs="Arial"/>
            <w:color w:val="0000FF"/>
            <w:u w:val="single"/>
          </w:rPr>
          <w:t>https://www.researchgate.net/profile/Sello-Selelo/publication/391343877_GBATA-2024-Readings-Book_-_Co_Authored/links/681334e5df0e3f544f501c1d/GBATA-2024-Readings-Book-Co-Authored.pdf#page=74</w:t>
        </w:r>
      </w:hyperlink>
      <w:r>
        <w:rPr>
          <w:rFonts w:ascii="Arial" w:eastAsia="Arial" w:hAnsi="Arial" w:cs="Arial"/>
          <w:color w:val="EE0000"/>
        </w:rPr>
        <w:t xml:space="preserve"> </w:t>
      </w:r>
    </w:p>
    <w:p w14:paraId="7F5792A7" w14:textId="77777777" w:rsidR="009C1A41" w:rsidRDefault="009C1A41" w:rsidP="009C1A41">
      <w:pPr>
        <w:rPr>
          <w:rFonts w:ascii="Arial" w:eastAsia="Arial" w:hAnsi="Arial" w:cs="Arial"/>
        </w:rPr>
      </w:pPr>
      <w:r>
        <w:rPr>
          <w:rFonts w:ascii="Arial" w:eastAsia="Arial" w:hAnsi="Arial" w:cs="Arial"/>
        </w:rPr>
        <w:t>Cheong, H.I., Lyons, A., Houghton, R. and Majumdar, A. (2023) Secondary qualitative research methodology using online data within the context of social sciences. </w:t>
      </w:r>
      <w:r>
        <w:rPr>
          <w:rFonts w:ascii="Arial" w:eastAsia="Arial" w:hAnsi="Arial" w:cs="Arial"/>
          <w:i/>
        </w:rPr>
        <w:t>International Journal of Qualitative Methods</w:t>
      </w:r>
      <w:r>
        <w:rPr>
          <w:rFonts w:ascii="Arial" w:eastAsia="Arial" w:hAnsi="Arial" w:cs="Arial"/>
        </w:rPr>
        <w:t>, </w:t>
      </w:r>
      <w:r>
        <w:rPr>
          <w:rFonts w:ascii="Arial" w:eastAsia="Arial" w:hAnsi="Arial" w:cs="Arial"/>
          <w:i/>
        </w:rPr>
        <w:t>22</w:t>
      </w:r>
      <w:r>
        <w:rPr>
          <w:rFonts w:ascii="Arial" w:eastAsia="Arial" w:hAnsi="Arial" w:cs="Arial"/>
        </w:rPr>
        <w:t xml:space="preserve">, p.16094069231180160. DOI: 10.1177/16094069231180160 </w:t>
      </w:r>
    </w:p>
    <w:p w14:paraId="5DA1FCB7" w14:textId="77777777" w:rsidR="009C1A41" w:rsidRDefault="009C1A41" w:rsidP="009C1A41">
      <w:pPr>
        <w:rPr>
          <w:rFonts w:ascii="Arial" w:eastAsia="Arial" w:hAnsi="Arial" w:cs="Arial"/>
        </w:rPr>
      </w:pPr>
      <w:r>
        <w:rPr>
          <w:rFonts w:ascii="Arial" w:eastAsia="Arial" w:hAnsi="Arial" w:cs="Arial"/>
        </w:rPr>
        <w:t>Chong, S.W. and Plonsky, L. (2024) A typology of secondary research in applied linguistics. </w:t>
      </w:r>
      <w:r>
        <w:rPr>
          <w:rFonts w:ascii="Arial" w:eastAsia="Arial" w:hAnsi="Arial" w:cs="Arial"/>
          <w:i/>
        </w:rPr>
        <w:t>Applied Linguistics Review</w:t>
      </w:r>
      <w:r>
        <w:rPr>
          <w:rFonts w:ascii="Arial" w:eastAsia="Arial" w:hAnsi="Arial" w:cs="Arial"/>
        </w:rPr>
        <w:t>, </w:t>
      </w:r>
      <w:r>
        <w:rPr>
          <w:rFonts w:ascii="Arial" w:eastAsia="Arial" w:hAnsi="Arial" w:cs="Arial"/>
          <w:i/>
        </w:rPr>
        <w:t>15</w:t>
      </w:r>
      <w:r>
        <w:rPr>
          <w:rFonts w:ascii="Arial" w:eastAsia="Arial" w:hAnsi="Arial" w:cs="Arial"/>
        </w:rPr>
        <w:t xml:space="preserve">(4), pp.1569-1594. </w:t>
      </w:r>
      <w:hyperlink r:id="rId11">
        <w:r>
          <w:rPr>
            <w:rFonts w:ascii="Arial" w:eastAsia="Arial" w:hAnsi="Arial" w:cs="Arial"/>
            <w:color w:val="0000FF"/>
            <w:u w:val="single"/>
          </w:rPr>
          <w:t>https://www.degruyterbrill.com/document/doi/10.1515/applirev-2022-0189/html?lang=en&amp;srsltid=AfmBOoovzJDAHzlsmc0jMPRG5pXbpcGRx9jH4U-QxxUH88hd5v-ZqBtb</w:t>
        </w:r>
      </w:hyperlink>
      <w:r>
        <w:rPr>
          <w:rFonts w:ascii="Arial" w:eastAsia="Arial" w:hAnsi="Arial" w:cs="Arial"/>
        </w:rPr>
        <w:t xml:space="preserve"> </w:t>
      </w:r>
    </w:p>
    <w:p w14:paraId="2A68CFA0" w14:textId="77777777" w:rsidR="009C1A41" w:rsidRDefault="009C1A41" w:rsidP="009C1A41">
      <w:pPr>
        <w:rPr>
          <w:rFonts w:ascii="Arial" w:eastAsia="Arial" w:hAnsi="Arial" w:cs="Arial"/>
        </w:rPr>
      </w:pPr>
      <w:r>
        <w:rPr>
          <w:rFonts w:ascii="Arial" w:eastAsia="Arial" w:hAnsi="Arial" w:cs="Arial"/>
        </w:rPr>
        <w:t xml:space="preserve">CNBC, (2026), Tesla’s stock suffers steepest drop of 2026 on disappointing deliveries report. [Accessed </w:t>
      </w:r>
      <w:proofErr w:type="gramStart"/>
      <w:r>
        <w:rPr>
          <w:rFonts w:ascii="Arial" w:eastAsia="Arial" w:hAnsi="Arial" w:cs="Arial"/>
        </w:rPr>
        <w:t>through]:&lt;</w:t>
      </w:r>
      <w:proofErr w:type="gramEnd"/>
      <w:r>
        <w:rPr>
          <w:rFonts w:ascii="Arial" w:eastAsia="Arial" w:hAnsi="Arial" w:cs="Arial"/>
        </w:rPr>
        <w:t xml:space="preserve"> </w:t>
      </w:r>
      <w:hyperlink r:id="rId12">
        <w:r>
          <w:rPr>
            <w:rFonts w:ascii="Arial" w:eastAsia="Arial" w:hAnsi="Arial" w:cs="Arial"/>
            <w:color w:val="0000FF"/>
            <w:u w:val="single"/>
          </w:rPr>
          <w:t>https://www.cnbc.com/2026/04/02/tesla-tsla-q1-2026-vehicle-delivery-production.html</w:t>
        </w:r>
      </w:hyperlink>
      <w:r>
        <w:rPr>
          <w:rFonts w:ascii="Arial" w:eastAsia="Arial" w:hAnsi="Arial" w:cs="Arial"/>
        </w:rPr>
        <w:t xml:space="preserve">  &gt;</w:t>
      </w:r>
      <w:proofErr w:type="gramStart"/>
      <w:r>
        <w:rPr>
          <w:rFonts w:ascii="Arial" w:eastAsia="Arial" w:hAnsi="Arial" w:cs="Arial"/>
        </w:rPr>
        <w:t>:[</w:t>
      </w:r>
      <w:proofErr w:type="gramEnd"/>
      <w:r>
        <w:rPr>
          <w:rFonts w:ascii="Arial" w:eastAsia="Arial" w:hAnsi="Arial" w:cs="Arial"/>
        </w:rPr>
        <w:t xml:space="preserve">Accessed on: 23th May, 2026]. </w:t>
      </w:r>
    </w:p>
    <w:p w14:paraId="11F1EA1F" w14:textId="77777777" w:rsidR="009C1A41" w:rsidRDefault="009C1A41" w:rsidP="009C1A41">
      <w:pPr>
        <w:rPr>
          <w:rFonts w:ascii="Arial" w:eastAsia="Arial" w:hAnsi="Arial" w:cs="Arial"/>
        </w:rPr>
      </w:pPr>
      <w:r>
        <w:rPr>
          <w:rFonts w:ascii="Arial" w:eastAsia="Arial" w:hAnsi="Arial" w:cs="Arial"/>
        </w:rPr>
        <w:t xml:space="preserve">Commons Library, (2025), Electric vehicles and infrastructure. [Accessed </w:t>
      </w:r>
      <w:proofErr w:type="gramStart"/>
      <w:r>
        <w:rPr>
          <w:rFonts w:ascii="Arial" w:eastAsia="Arial" w:hAnsi="Arial" w:cs="Arial"/>
        </w:rPr>
        <w:t>through]:&lt;</w:t>
      </w:r>
      <w:proofErr w:type="gramEnd"/>
      <w:r>
        <w:rPr>
          <w:rFonts w:ascii="Arial" w:eastAsia="Arial" w:hAnsi="Arial" w:cs="Arial"/>
        </w:rPr>
        <w:t xml:space="preserve"> </w:t>
      </w:r>
      <w:hyperlink r:id="rId13">
        <w:r>
          <w:rPr>
            <w:rFonts w:ascii="Arial" w:eastAsia="Arial" w:hAnsi="Arial" w:cs="Arial"/>
            <w:color w:val="0000FF"/>
            <w:u w:val="single"/>
          </w:rPr>
          <w:t>https://commonslibrary.parliament.uk/research-briefings/cbp-7480/</w:t>
        </w:r>
      </w:hyperlink>
      <w:r>
        <w:rPr>
          <w:rFonts w:ascii="Arial" w:eastAsia="Arial" w:hAnsi="Arial" w:cs="Arial"/>
        </w:rPr>
        <w:t xml:space="preserve">  &gt;</w:t>
      </w:r>
      <w:proofErr w:type="gramStart"/>
      <w:r>
        <w:rPr>
          <w:rFonts w:ascii="Arial" w:eastAsia="Arial" w:hAnsi="Arial" w:cs="Arial"/>
        </w:rPr>
        <w:t>:[</w:t>
      </w:r>
      <w:proofErr w:type="gramEnd"/>
      <w:r>
        <w:rPr>
          <w:rFonts w:ascii="Arial" w:eastAsia="Arial" w:hAnsi="Arial" w:cs="Arial"/>
        </w:rPr>
        <w:t xml:space="preserve">Accessed on: 23th May, 2026]. </w:t>
      </w:r>
    </w:p>
    <w:p w14:paraId="08AF5532" w14:textId="77777777" w:rsidR="009C1A41" w:rsidRDefault="009C1A41" w:rsidP="009C1A41">
      <w:pPr>
        <w:rPr>
          <w:rFonts w:ascii="Arial" w:eastAsia="Arial" w:hAnsi="Arial" w:cs="Arial"/>
        </w:rPr>
      </w:pPr>
      <w:r>
        <w:rPr>
          <w:rFonts w:ascii="Arial" w:eastAsia="Arial" w:hAnsi="Arial" w:cs="Arial"/>
        </w:rPr>
        <w:t xml:space="preserve">EV, (2024), Tesla Rolls Out Megapack Chargers </w:t>
      </w:r>
      <w:proofErr w:type="gramStart"/>
      <w:r>
        <w:rPr>
          <w:rFonts w:ascii="Arial" w:eastAsia="Arial" w:hAnsi="Arial" w:cs="Arial"/>
        </w:rPr>
        <w:t>To</w:t>
      </w:r>
      <w:proofErr w:type="gramEnd"/>
      <w:r>
        <w:rPr>
          <w:rFonts w:ascii="Arial" w:eastAsia="Arial" w:hAnsi="Arial" w:cs="Arial"/>
        </w:rPr>
        <w:t xml:space="preserve"> Ease Holiday EV Charging Surge. [Accessed </w:t>
      </w:r>
      <w:proofErr w:type="gramStart"/>
      <w:r>
        <w:rPr>
          <w:rFonts w:ascii="Arial" w:eastAsia="Arial" w:hAnsi="Arial" w:cs="Arial"/>
        </w:rPr>
        <w:t>through]:&lt;</w:t>
      </w:r>
      <w:proofErr w:type="gramEnd"/>
      <w:r>
        <w:rPr>
          <w:rFonts w:ascii="Arial" w:eastAsia="Arial" w:hAnsi="Arial" w:cs="Arial"/>
        </w:rPr>
        <w:t xml:space="preserve"> </w:t>
      </w:r>
      <w:hyperlink r:id="rId14">
        <w:r>
          <w:rPr>
            <w:rFonts w:ascii="Arial" w:eastAsia="Arial" w:hAnsi="Arial" w:cs="Arial"/>
            <w:color w:val="0000FF"/>
            <w:u w:val="single"/>
          </w:rPr>
          <w:t>https://ev.com/news/tesla-rolls-out-megapackchargers-to-ease-holiday-ev-charging-surge</w:t>
        </w:r>
      </w:hyperlink>
      <w:r>
        <w:rPr>
          <w:rFonts w:ascii="Arial" w:eastAsia="Arial" w:hAnsi="Arial" w:cs="Arial"/>
        </w:rPr>
        <w:t xml:space="preserve">   </w:t>
      </w:r>
      <w:proofErr w:type="gramStart"/>
      <w:r>
        <w:rPr>
          <w:rFonts w:ascii="Arial" w:eastAsia="Arial" w:hAnsi="Arial" w:cs="Arial"/>
        </w:rPr>
        <w:t>&gt;:[</w:t>
      </w:r>
      <w:proofErr w:type="gramEnd"/>
      <w:r>
        <w:rPr>
          <w:rFonts w:ascii="Arial" w:eastAsia="Arial" w:hAnsi="Arial" w:cs="Arial"/>
        </w:rPr>
        <w:t xml:space="preserve">Accessed on: 23th May, 2026]. </w:t>
      </w:r>
    </w:p>
    <w:p w14:paraId="49641FE7" w14:textId="77777777" w:rsidR="009C1A41" w:rsidRDefault="009C1A41" w:rsidP="009C1A41">
      <w:pPr>
        <w:rPr>
          <w:rFonts w:ascii="Arial" w:eastAsia="Arial" w:hAnsi="Arial" w:cs="Arial"/>
        </w:rPr>
      </w:pPr>
      <w:r>
        <w:rPr>
          <w:rFonts w:ascii="Arial" w:eastAsia="Arial" w:hAnsi="Arial" w:cs="Arial"/>
        </w:rPr>
        <w:t xml:space="preserve">Gnanavendan, S., Selvaraj, S.K., Dev, S.J., Mahato, K.K., </w:t>
      </w:r>
      <w:proofErr w:type="spellStart"/>
      <w:r>
        <w:rPr>
          <w:rFonts w:ascii="Arial" w:eastAsia="Arial" w:hAnsi="Arial" w:cs="Arial"/>
        </w:rPr>
        <w:t>Swathish</w:t>
      </w:r>
      <w:proofErr w:type="spellEnd"/>
      <w:r>
        <w:rPr>
          <w:rFonts w:ascii="Arial" w:eastAsia="Arial" w:hAnsi="Arial" w:cs="Arial"/>
        </w:rPr>
        <w:t xml:space="preserve">, R.S., </w:t>
      </w:r>
      <w:proofErr w:type="spellStart"/>
      <w:r>
        <w:rPr>
          <w:rFonts w:ascii="Arial" w:eastAsia="Arial" w:hAnsi="Arial" w:cs="Arial"/>
        </w:rPr>
        <w:t>Sundaramali</w:t>
      </w:r>
      <w:proofErr w:type="spellEnd"/>
      <w:r>
        <w:rPr>
          <w:rFonts w:ascii="Arial" w:eastAsia="Arial" w:hAnsi="Arial" w:cs="Arial"/>
        </w:rPr>
        <w:t>, G., Accouche, O. and Azab, M. (2024) Challenges, solutions and future trends in EV-technology: A review. </w:t>
      </w:r>
      <w:proofErr w:type="spellStart"/>
      <w:r>
        <w:rPr>
          <w:rFonts w:ascii="Arial" w:eastAsia="Arial" w:hAnsi="Arial" w:cs="Arial"/>
          <w:i/>
        </w:rPr>
        <w:t>IEEe</w:t>
      </w:r>
      <w:proofErr w:type="spellEnd"/>
      <w:r>
        <w:rPr>
          <w:rFonts w:ascii="Arial" w:eastAsia="Arial" w:hAnsi="Arial" w:cs="Arial"/>
          <w:i/>
        </w:rPr>
        <w:t xml:space="preserve"> Access</w:t>
      </w:r>
      <w:r>
        <w:rPr>
          <w:rFonts w:ascii="Arial" w:eastAsia="Arial" w:hAnsi="Arial" w:cs="Arial"/>
        </w:rPr>
        <w:t>, </w:t>
      </w:r>
      <w:r>
        <w:rPr>
          <w:rFonts w:ascii="Arial" w:eastAsia="Arial" w:hAnsi="Arial" w:cs="Arial"/>
          <w:i/>
        </w:rPr>
        <w:t>12</w:t>
      </w:r>
      <w:r>
        <w:rPr>
          <w:rFonts w:ascii="Arial" w:eastAsia="Arial" w:hAnsi="Arial" w:cs="Arial"/>
        </w:rPr>
        <w:t xml:space="preserve">, pp.17242-17260. </w:t>
      </w:r>
      <w:hyperlink r:id="rId15">
        <w:r>
          <w:rPr>
            <w:rFonts w:ascii="Arial" w:eastAsia="Arial" w:hAnsi="Arial" w:cs="Arial"/>
            <w:color w:val="0000FF"/>
            <w:u w:val="single"/>
          </w:rPr>
          <w:t>https://ieeexplore.ieee.org/stamp/stamp.jsp?arnumber=10398193</w:t>
        </w:r>
      </w:hyperlink>
      <w:r>
        <w:rPr>
          <w:rFonts w:ascii="Arial" w:eastAsia="Arial" w:hAnsi="Arial" w:cs="Arial"/>
        </w:rPr>
        <w:t xml:space="preserve"> </w:t>
      </w:r>
    </w:p>
    <w:p w14:paraId="2128B85D" w14:textId="77777777" w:rsidR="009C1A41" w:rsidRDefault="009C1A41" w:rsidP="009C1A41">
      <w:pPr>
        <w:rPr>
          <w:rFonts w:ascii="Arial" w:eastAsia="Arial" w:hAnsi="Arial" w:cs="Arial"/>
        </w:rPr>
      </w:pPr>
      <w:r>
        <w:rPr>
          <w:rFonts w:ascii="Arial" w:eastAsia="Arial" w:hAnsi="Arial" w:cs="Arial"/>
        </w:rPr>
        <w:t>Nieto, J., Brockway, P.E., Sakai, M. and Barrett, J. (2024) Assessing the energy and socio-macroeconomic impacts of the EV transition: A UK case study 2020–2050. </w:t>
      </w:r>
      <w:r>
        <w:rPr>
          <w:rFonts w:ascii="Arial" w:eastAsia="Arial" w:hAnsi="Arial" w:cs="Arial"/>
          <w:i/>
        </w:rPr>
        <w:t>Applied Energy</w:t>
      </w:r>
      <w:r>
        <w:rPr>
          <w:rFonts w:ascii="Arial" w:eastAsia="Arial" w:hAnsi="Arial" w:cs="Arial"/>
        </w:rPr>
        <w:t>, </w:t>
      </w:r>
      <w:r>
        <w:rPr>
          <w:rFonts w:ascii="Arial" w:eastAsia="Arial" w:hAnsi="Arial" w:cs="Arial"/>
          <w:i/>
        </w:rPr>
        <w:t>370</w:t>
      </w:r>
      <w:r>
        <w:rPr>
          <w:rFonts w:ascii="Arial" w:eastAsia="Arial" w:hAnsi="Arial" w:cs="Arial"/>
        </w:rPr>
        <w:t xml:space="preserve">, p.123367. </w:t>
      </w:r>
      <w:hyperlink r:id="rId16">
        <w:r>
          <w:rPr>
            <w:rFonts w:ascii="Arial" w:eastAsia="Arial" w:hAnsi="Arial" w:cs="Arial"/>
            <w:color w:val="0000FF"/>
            <w:u w:val="single"/>
          </w:rPr>
          <w:t>https://doi.org/10.1016/j.apenergy.2024.123367</w:t>
        </w:r>
      </w:hyperlink>
      <w:r>
        <w:rPr>
          <w:rFonts w:ascii="Arial" w:eastAsia="Arial" w:hAnsi="Arial" w:cs="Arial"/>
        </w:rPr>
        <w:t xml:space="preserve"> </w:t>
      </w:r>
    </w:p>
    <w:p w14:paraId="32357A4A" w14:textId="77777777" w:rsidR="009C1A41" w:rsidRDefault="009C1A41" w:rsidP="009C1A41">
      <w:pPr>
        <w:rPr>
          <w:rFonts w:ascii="Arial" w:eastAsia="Arial" w:hAnsi="Arial" w:cs="Arial"/>
          <w:color w:val="EE0000"/>
        </w:rPr>
      </w:pPr>
      <w:r>
        <w:rPr>
          <w:rFonts w:ascii="Arial" w:eastAsia="Arial" w:hAnsi="Arial" w:cs="Arial"/>
          <w:color w:val="EE0000"/>
        </w:rPr>
        <w:t>Singh, S. and Kalyanshetti, S. (2024) A Comparative Analysis of Traditional Roadways vs. Electric Vehicle (EV) Roads: Environmental, Infrastructure, And Technological Perspectives. </w:t>
      </w:r>
      <w:r>
        <w:rPr>
          <w:rFonts w:ascii="Arial" w:eastAsia="Arial" w:hAnsi="Arial" w:cs="Arial"/>
          <w:i/>
          <w:color w:val="EE0000"/>
        </w:rPr>
        <w:t>Int. Res. J. Adv. Eng. Hub</w:t>
      </w:r>
      <w:r>
        <w:rPr>
          <w:rFonts w:ascii="Arial" w:eastAsia="Arial" w:hAnsi="Arial" w:cs="Arial"/>
          <w:color w:val="EE0000"/>
        </w:rPr>
        <w:t>, </w:t>
      </w:r>
      <w:r>
        <w:rPr>
          <w:rFonts w:ascii="Arial" w:eastAsia="Arial" w:hAnsi="Arial" w:cs="Arial"/>
          <w:i/>
          <w:color w:val="EE0000"/>
        </w:rPr>
        <w:t>2</w:t>
      </w:r>
      <w:r>
        <w:rPr>
          <w:rFonts w:ascii="Arial" w:eastAsia="Arial" w:hAnsi="Arial" w:cs="Arial"/>
          <w:color w:val="EE0000"/>
        </w:rPr>
        <w:t>(03), pp.450-456.</w:t>
      </w:r>
      <w:r>
        <w:rPr>
          <w:rFonts w:ascii="Arial" w:eastAsia="Arial" w:hAnsi="Arial" w:cs="Arial"/>
        </w:rPr>
        <w:t xml:space="preserve"> </w:t>
      </w:r>
      <w:r>
        <w:rPr>
          <w:rFonts w:ascii="Arial" w:eastAsia="Arial" w:hAnsi="Arial" w:cs="Arial"/>
          <w:color w:val="EE0000"/>
        </w:rPr>
        <w:t xml:space="preserve">https://doi.org/10.47392/IRJAEH.2024.0065 </w:t>
      </w:r>
    </w:p>
    <w:p w14:paraId="48A12CB1" w14:textId="77777777" w:rsidR="009C1A41" w:rsidRDefault="009C1A41" w:rsidP="009C1A41">
      <w:pPr>
        <w:rPr>
          <w:rFonts w:ascii="Arial" w:eastAsia="Arial" w:hAnsi="Arial" w:cs="Arial"/>
        </w:rPr>
      </w:pPr>
      <w:r>
        <w:rPr>
          <w:rFonts w:ascii="Arial" w:eastAsia="Arial" w:hAnsi="Arial" w:cs="Arial"/>
        </w:rPr>
        <w:t xml:space="preserve">Tesla, (2026), About us. [Accessed </w:t>
      </w:r>
      <w:proofErr w:type="gramStart"/>
      <w:r>
        <w:rPr>
          <w:rFonts w:ascii="Arial" w:eastAsia="Arial" w:hAnsi="Arial" w:cs="Arial"/>
        </w:rPr>
        <w:t>through]:&lt;</w:t>
      </w:r>
      <w:proofErr w:type="gramEnd"/>
      <w:r>
        <w:rPr>
          <w:rFonts w:ascii="Arial" w:eastAsia="Arial" w:hAnsi="Arial" w:cs="Arial"/>
        </w:rPr>
        <w:t xml:space="preserve"> </w:t>
      </w:r>
      <w:hyperlink r:id="rId17">
        <w:r>
          <w:rPr>
            <w:rFonts w:ascii="Arial" w:eastAsia="Arial" w:hAnsi="Arial" w:cs="Arial"/>
            <w:color w:val="0000FF"/>
            <w:u w:val="single"/>
          </w:rPr>
          <w:t>https://www.tesla.com/about</w:t>
        </w:r>
      </w:hyperlink>
      <w:r>
        <w:rPr>
          <w:rFonts w:ascii="Arial" w:eastAsia="Arial" w:hAnsi="Arial" w:cs="Arial"/>
        </w:rPr>
        <w:t xml:space="preserve">   </w:t>
      </w:r>
      <w:proofErr w:type="gramStart"/>
      <w:r>
        <w:rPr>
          <w:rFonts w:ascii="Arial" w:eastAsia="Arial" w:hAnsi="Arial" w:cs="Arial"/>
        </w:rPr>
        <w:t>&gt;:[</w:t>
      </w:r>
      <w:proofErr w:type="gramEnd"/>
      <w:r>
        <w:rPr>
          <w:rFonts w:ascii="Arial" w:eastAsia="Arial" w:hAnsi="Arial" w:cs="Arial"/>
        </w:rPr>
        <w:t xml:space="preserve">Accessed on: 23th May, 2026]. </w:t>
      </w:r>
    </w:p>
    <w:p w14:paraId="6A3C6AE6" w14:textId="77777777" w:rsidR="009C1A41" w:rsidRDefault="009C1A41" w:rsidP="009C1A41">
      <w:pPr>
        <w:rPr>
          <w:rFonts w:ascii="Arial" w:eastAsia="Arial" w:hAnsi="Arial" w:cs="Arial"/>
        </w:rPr>
      </w:pPr>
      <w:r>
        <w:rPr>
          <w:rFonts w:ascii="Arial" w:eastAsia="Arial" w:hAnsi="Arial" w:cs="Arial"/>
        </w:rPr>
        <w:t xml:space="preserve">The ICCT, (2026), Global EV market reaches 25% share as emerging markets surge ahead. [Accessed </w:t>
      </w:r>
      <w:proofErr w:type="gramStart"/>
      <w:r>
        <w:rPr>
          <w:rFonts w:ascii="Arial" w:eastAsia="Arial" w:hAnsi="Arial" w:cs="Arial"/>
        </w:rPr>
        <w:t>through]:&lt;</w:t>
      </w:r>
      <w:proofErr w:type="gramEnd"/>
      <w:r>
        <w:rPr>
          <w:rFonts w:ascii="Arial" w:eastAsia="Arial" w:hAnsi="Arial" w:cs="Arial"/>
        </w:rPr>
        <w:t xml:space="preserve"> </w:t>
      </w:r>
      <w:hyperlink r:id="rId18">
        <w:r>
          <w:rPr>
            <w:rFonts w:ascii="Arial" w:eastAsia="Arial" w:hAnsi="Arial" w:cs="Arial"/>
            <w:color w:val="0000FF"/>
            <w:u w:val="single"/>
          </w:rPr>
          <w:t>https://theicct.org/pr-global-ev-market-reaches-25-share-as-emerging-markets-surge-ahead/</w:t>
        </w:r>
      </w:hyperlink>
      <w:r>
        <w:rPr>
          <w:rFonts w:ascii="Arial" w:eastAsia="Arial" w:hAnsi="Arial" w:cs="Arial"/>
        </w:rPr>
        <w:t xml:space="preserve"> </w:t>
      </w:r>
      <w:proofErr w:type="gramStart"/>
      <w:r>
        <w:rPr>
          <w:rFonts w:ascii="Arial" w:eastAsia="Arial" w:hAnsi="Arial" w:cs="Arial"/>
        </w:rPr>
        <w:t>&gt;:[</w:t>
      </w:r>
      <w:proofErr w:type="gramEnd"/>
      <w:r>
        <w:rPr>
          <w:rFonts w:ascii="Arial" w:eastAsia="Arial" w:hAnsi="Arial" w:cs="Arial"/>
        </w:rPr>
        <w:t xml:space="preserve">Accessed on: 23th May, 2026]. </w:t>
      </w:r>
    </w:p>
    <w:p w14:paraId="2ADDE946" w14:textId="77777777" w:rsidR="009C1A41" w:rsidRDefault="009C1A41" w:rsidP="009C1A41">
      <w:pPr>
        <w:rPr>
          <w:rFonts w:ascii="Arial" w:eastAsia="Arial" w:hAnsi="Arial" w:cs="Arial"/>
        </w:rPr>
      </w:pPr>
      <w:r>
        <w:rPr>
          <w:rFonts w:ascii="Arial" w:eastAsia="Arial" w:hAnsi="Arial" w:cs="Arial"/>
        </w:rPr>
        <w:t>William, F.K.A. (2024) Mastering validity and reliability in academic research: Meaning and significance. </w:t>
      </w:r>
      <w:r>
        <w:rPr>
          <w:rFonts w:ascii="Arial" w:eastAsia="Arial" w:hAnsi="Arial" w:cs="Arial"/>
          <w:i/>
        </w:rPr>
        <w:t>International Journal of Research Publications</w:t>
      </w:r>
      <w:r>
        <w:rPr>
          <w:rFonts w:ascii="Arial" w:eastAsia="Arial" w:hAnsi="Arial" w:cs="Arial"/>
        </w:rPr>
        <w:t>, </w:t>
      </w:r>
      <w:r>
        <w:rPr>
          <w:rFonts w:ascii="Arial" w:eastAsia="Arial" w:hAnsi="Arial" w:cs="Arial"/>
          <w:i/>
        </w:rPr>
        <w:t>144</w:t>
      </w:r>
      <w:r>
        <w:rPr>
          <w:rFonts w:ascii="Arial" w:eastAsia="Arial" w:hAnsi="Arial" w:cs="Arial"/>
        </w:rPr>
        <w:t xml:space="preserve">(1), pp.287-292. </w:t>
      </w:r>
      <w:proofErr w:type="spellStart"/>
      <w:r>
        <w:rPr>
          <w:rFonts w:ascii="Arial" w:eastAsia="Arial" w:hAnsi="Arial" w:cs="Arial"/>
        </w:rPr>
        <w:t>doi</w:t>
      </w:r>
      <w:proofErr w:type="spellEnd"/>
      <w:r>
        <w:rPr>
          <w:rFonts w:ascii="Arial" w:eastAsia="Arial" w:hAnsi="Arial" w:cs="Arial"/>
        </w:rPr>
        <w:t xml:space="preserve">: 10.47119/10.47119/IJRP1001441320246160 </w:t>
      </w:r>
    </w:p>
    <w:p w14:paraId="1E4AF59A" w14:textId="77777777" w:rsidR="009C1A41" w:rsidRDefault="009C1A41" w:rsidP="009C1A41">
      <w:pPr>
        <w:rPr>
          <w:rFonts w:ascii="Arial" w:eastAsia="Arial" w:hAnsi="Arial" w:cs="Arial"/>
          <w:color w:val="EE0000"/>
        </w:rPr>
      </w:pPr>
      <w:r>
        <w:rPr>
          <w:rFonts w:ascii="Arial" w:eastAsia="Arial" w:hAnsi="Arial" w:cs="Arial"/>
          <w:color w:val="EE0000"/>
        </w:rPr>
        <w:t>William, F.K.A. (2024) Mastering validity and reliability in academic research: Meaning and significance. </w:t>
      </w:r>
      <w:r>
        <w:rPr>
          <w:rFonts w:ascii="Arial" w:eastAsia="Arial" w:hAnsi="Arial" w:cs="Arial"/>
          <w:i/>
          <w:color w:val="EE0000"/>
        </w:rPr>
        <w:t>International Journal of Research Publications</w:t>
      </w:r>
      <w:r>
        <w:rPr>
          <w:rFonts w:ascii="Arial" w:eastAsia="Arial" w:hAnsi="Arial" w:cs="Arial"/>
          <w:color w:val="EE0000"/>
        </w:rPr>
        <w:t>, </w:t>
      </w:r>
      <w:r>
        <w:rPr>
          <w:rFonts w:ascii="Arial" w:eastAsia="Arial" w:hAnsi="Arial" w:cs="Arial"/>
          <w:i/>
          <w:color w:val="EE0000"/>
        </w:rPr>
        <w:t>144</w:t>
      </w:r>
      <w:r>
        <w:rPr>
          <w:rFonts w:ascii="Arial" w:eastAsia="Arial" w:hAnsi="Arial" w:cs="Arial"/>
          <w:color w:val="EE0000"/>
        </w:rPr>
        <w:t>(1), pp.287-292.</w:t>
      </w:r>
      <w:r>
        <w:rPr>
          <w:rFonts w:ascii="Arial" w:eastAsia="Arial" w:hAnsi="Arial" w:cs="Arial"/>
        </w:rPr>
        <w:t xml:space="preserve"> </w:t>
      </w:r>
      <w:proofErr w:type="spellStart"/>
      <w:r>
        <w:rPr>
          <w:rFonts w:ascii="Arial" w:eastAsia="Arial" w:hAnsi="Arial" w:cs="Arial"/>
          <w:color w:val="EE0000"/>
        </w:rPr>
        <w:t>doi</w:t>
      </w:r>
      <w:proofErr w:type="spellEnd"/>
      <w:r>
        <w:rPr>
          <w:rFonts w:ascii="Arial" w:eastAsia="Arial" w:hAnsi="Arial" w:cs="Arial"/>
          <w:color w:val="EE0000"/>
        </w:rPr>
        <w:t xml:space="preserve">: 10.47119/10.47119/IJRP1001441320246160 </w:t>
      </w:r>
    </w:p>
    <w:p w14:paraId="3CBCE040" w14:textId="77777777" w:rsidR="009C1A41" w:rsidRDefault="009C1A41" w:rsidP="009C1A41">
      <w:pPr>
        <w:rPr>
          <w:rFonts w:ascii="Arial" w:eastAsia="Arial" w:hAnsi="Arial" w:cs="Arial"/>
          <w:color w:val="EE0000"/>
        </w:rPr>
      </w:pPr>
    </w:p>
    <w:p w14:paraId="34F3BFC8" w14:textId="77777777" w:rsidR="009C1A41" w:rsidRDefault="009C1A41" w:rsidP="009C1A41">
      <w:pPr>
        <w:rPr>
          <w:rFonts w:ascii="Arial" w:eastAsia="Arial" w:hAnsi="Arial" w:cs="Arial"/>
          <w:color w:val="EE0000"/>
        </w:rPr>
      </w:pPr>
    </w:p>
    <w:p w14:paraId="06112EE8" w14:textId="77777777" w:rsidR="009C1A41" w:rsidRDefault="009C1A41" w:rsidP="009C1A41">
      <w:pPr>
        <w:rPr>
          <w:rFonts w:ascii="Arial" w:eastAsia="Arial" w:hAnsi="Arial" w:cs="Arial"/>
        </w:rPr>
      </w:pPr>
    </w:p>
    <w:p w14:paraId="5C412630" w14:textId="77777777" w:rsidR="009C1A41" w:rsidRDefault="009C1A41" w:rsidP="009C1A41">
      <w:pPr>
        <w:rPr>
          <w:rFonts w:ascii="Arial" w:eastAsia="Arial" w:hAnsi="Arial" w:cs="Arial"/>
        </w:rPr>
      </w:pPr>
    </w:p>
    <w:p w14:paraId="4A62EA36" w14:textId="77777777" w:rsidR="009C1A41" w:rsidRDefault="009C1A41" w:rsidP="009C1A41">
      <w:pPr>
        <w:rPr>
          <w:rFonts w:ascii="Arial" w:eastAsia="Arial" w:hAnsi="Arial" w:cs="Arial"/>
        </w:rPr>
      </w:pPr>
    </w:p>
    <w:p w14:paraId="3C160EE1" w14:textId="77777777" w:rsidR="003D6C5F" w:rsidRDefault="003D6C5F"/>
    <w:sectPr w:rsidR="003D6C5F" w:rsidSect="009C1A41">
      <w:headerReference w:type="default" r:id="rId19"/>
      <w:footerReference w:type="default" r:id="rId2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0588E" w14:textId="77777777" w:rsidR="003213AF" w:rsidRDefault="003213AF">
      <w:pPr>
        <w:spacing w:before="0" w:after="0" w:line="240" w:lineRule="auto"/>
      </w:pPr>
      <w:r>
        <w:separator/>
      </w:r>
    </w:p>
  </w:endnote>
  <w:endnote w:type="continuationSeparator" w:id="0">
    <w:p w14:paraId="34EB9EFE" w14:textId="77777777" w:rsidR="003213AF" w:rsidRDefault="003213A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1640E" w14:textId="77777777" w:rsidR="009C1A41" w:rsidRDefault="009C1A41">
    <w:pPr>
      <w:pBdr>
        <w:top w:val="nil"/>
        <w:left w:val="nil"/>
        <w:bottom w:val="nil"/>
        <w:right w:val="nil"/>
        <w:between w:val="nil"/>
      </w:pBdr>
      <w:tabs>
        <w:tab w:val="center" w:pos="4513"/>
        <w:tab w:val="right" w:pos="9026"/>
      </w:tabs>
      <w:spacing w:before="0"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1F85097" w14:textId="77777777" w:rsidR="009C1A41" w:rsidRDefault="009C1A41">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B7494" w14:textId="77777777" w:rsidR="003213AF" w:rsidRDefault="003213AF">
      <w:pPr>
        <w:spacing w:before="0" w:after="0" w:line="240" w:lineRule="auto"/>
      </w:pPr>
      <w:r>
        <w:separator/>
      </w:r>
    </w:p>
  </w:footnote>
  <w:footnote w:type="continuationSeparator" w:id="0">
    <w:p w14:paraId="4111CE37" w14:textId="77777777" w:rsidR="003213AF" w:rsidRDefault="003213A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FED3D" w14:textId="77777777" w:rsidR="009C1A41" w:rsidRDefault="009C1A41">
    <w:pPr>
      <w:pBdr>
        <w:top w:val="nil"/>
        <w:left w:val="nil"/>
        <w:bottom w:val="nil"/>
        <w:right w:val="nil"/>
        <w:between w:val="nil"/>
      </w:pBdr>
      <w:tabs>
        <w:tab w:val="center" w:pos="4513"/>
        <w:tab w:val="right" w:pos="9026"/>
      </w:tabs>
      <w:spacing w:before="0" w:after="0" w:line="240" w:lineRule="auto"/>
      <w:rPr>
        <w:color w:val="000000"/>
      </w:rPr>
    </w:pPr>
  </w:p>
  <w:p w14:paraId="10FD0BEA" w14:textId="77777777" w:rsidR="009C1A41" w:rsidRDefault="009C1A41">
    <w:pPr>
      <w:pBdr>
        <w:top w:val="nil"/>
        <w:left w:val="nil"/>
        <w:bottom w:val="nil"/>
        <w:right w:val="nil"/>
        <w:between w:val="nil"/>
      </w:pBdr>
      <w:tabs>
        <w:tab w:val="center" w:pos="4513"/>
        <w:tab w:val="right" w:pos="9026"/>
      </w:tabs>
      <w:spacing w:before="0"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0562F8"/>
    <w:multiLevelType w:val="multilevel"/>
    <w:tmpl w:val="677C74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ABA3969"/>
    <w:multiLevelType w:val="multilevel"/>
    <w:tmpl w:val="7646FF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F317367"/>
    <w:multiLevelType w:val="multilevel"/>
    <w:tmpl w:val="0AC0DC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66805451">
    <w:abstractNumId w:val="0"/>
  </w:num>
  <w:num w:numId="2" w16cid:durableId="821699189">
    <w:abstractNumId w:val="1"/>
  </w:num>
  <w:num w:numId="3" w16cid:durableId="18648295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A41"/>
    <w:rsid w:val="0016675C"/>
    <w:rsid w:val="003213AF"/>
    <w:rsid w:val="003D6C5F"/>
    <w:rsid w:val="00437016"/>
    <w:rsid w:val="004A7840"/>
    <w:rsid w:val="004D470E"/>
    <w:rsid w:val="009C1A41"/>
    <w:rsid w:val="00BB223E"/>
    <w:rsid w:val="00C17159"/>
    <w:rsid w:val="00DE4569"/>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EEE6A"/>
  <w15:chartTrackingRefBased/>
  <w15:docId w15:val="{4457A176-4D5F-463D-89FC-0EB2909D5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A41"/>
    <w:pPr>
      <w:spacing w:before="120" w:after="120" w:line="360" w:lineRule="auto"/>
      <w:jc w:val="both"/>
    </w:pPr>
    <w:rPr>
      <w:rFonts w:ascii="Times New Roman" w:eastAsia="Times New Roman" w:hAnsi="Times New Roman" w:cs="Times New Roman"/>
      <w:kern w:val="0"/>
      <w:sz w:val="24"/>
      <w:szCs w:val="24"/>
      <w:lang w:val="en-GB"/>
      <w14:ligatures w14:val="none"/>
    </w:rPr>
  </w:style>
  <w:style w:type="paragraph" w:styleId="Heading1">
    <w:name w:val="heading 1"/>
    <w:basedOn w:val="Normal"/>
    <w:next w:val="Normal"/>
    <w:link w:val="Heading1Char"/>
    <w:uiPriority w:val="9"/>
    <w:qFormat/>
    <w:rsid w:val="009C1A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1A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1A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1A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1A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1A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A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A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A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A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1A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1A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1A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1A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1A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A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A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A41"/>
    <w:rPr>
      <w:rFonts w:eastAsiaTheme="majorEastAsia" w:cstheme="majorBidi"/>
      <w:color w:val="272727" w:themeColor="text1" w:themeTint="D8"/>
    </w:rPr>
  </w:style>
  <w:style w:type="paragraph" w:styleId="Title">
    <w:name w:val="Title"/>
    <w:basedOn w:val="Normal"/>
    <w:next w:val="Normal"/>
    <w:link w:val="TitleChar"/>
    <w:uiPriority w:val="10"/>
    <w:qFormat/>
    <w:rsid w:val="009C1A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A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A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A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A41"/>
    <w:pPr>
      <w:spacing w:before="160"/>
      <w:jc w:val="center"/>
    </w:pPr>
    <w:rPr>
      <w:i/>
      <w:iCs/>
      <w:color w:val="404040" w:themeColor="text1" w:themeTint="BF"/>
    </w:rPr>
  </w:style>
  <w:style w:type="character" w:customStyle="1" w:styleId="QuoteChar">
    <w:name w:val="Quote Char"/>
    <w:basedOn w:val="DefaultParagraphFont"/>
    <w:link w:val="Quote"/>
    <w:uiPriority w:val="29"/>
    <w:rsid w:val="009C1A41"/>
    <w:rPr>
      <w:rFonts w:cs="Latha"/>
      <w:i/>
      <w:iCs/>
      <w:color w:val="404040" w:themeColor="text1" w:themeTint="BF"/>
    </w:rPr>
  </w:style>
  <w:style w:type="paragraph" w:styleId="ListParagraph">
    <w:name w:val="List Paragraph"/>
    <w:basedOn w:val="Normal"/>
    <w:uiPriority w:val="34"/>
    <w:qFormat/>
    <w:rsid w:val="009C1A41"/>
    <w:pPr>
      <w:ind w:left="720"/>
      <w:contextualSpacing/>
    </w:pPr>
  </w:style>
  <w:style w:type="character" w:styleId="IntenseEmphasis">
    <w:name w:val="Intense Emphasis"/>
    <w:basedOn w:val="DefaultParagraphFont"/>
    <w:uiPriority w:val="21"/>
    <w:qFormat/>
    <w:rsid w:val="009C1A41"/>
    <w:rPr>
      <w:i/>
      <w:iCs/>
      <w:color w:val="2F5496" w:themeColor="accent1" w:themeShade="BF"/>
    </w:rPr>
  </w:style>
  <w:style w:type="paragraph" w:styleId="IntenseQuote">
    <w:name w:val="Intense Quote"/>
    <w:basedOn w:val="Normal"/>
    <w:next w:val="Normal"/>
    <w:link w:val="IntenseQuoteChar"/>
    <w:uiPriority w:val="30"/>
    <w:qFormat/>
    <w:rsid w:val="009C1A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1A41"/>
    <w:rPr>
      <w:rFonts w:cs="Latha"/>
      <w:i/>
      <w:iCs/>
      <w:color w:val="2F5496" w:themeColor="accent1" w:themeShade="BF"/>
    </w:rPr>
  </w:style>
  <w:style w:type="character" w:styleId="IntenseReference">
    <w:name w:val="Intense Reference"/>
    <w:basedOn w:val="DefaultParagraphFont"/>
    <w:uiPriority w:val="32"/>
    <w:qFormat/>
    <w:rsid w:val="009C1A4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ssaho.2025.101906" TargetMode="External"/><Relationship Id="rId13" Type="http://schemas.openxmlformats.org/officeDocument/2006/relationships/hyperlink" Target="https://commonslibrary.parliament.uk/research-briefings/cbp-7480/" TargetMode="External"/><Relationship Id="rId18" Type="http://schemas.openxmlformats.org/officeDocument/2006/relationships/hyperlink" Target="https://theicct.org/pr-global-ev-market-reaches-25-share-as-emerging-markets-surge-ahea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cnbc.com/2026/04/02/tesla-tsla-q1-2026-vehicle-delivery-production.html" TargetMode="External"/><Relationship Id="rId17" Type="http://schemas.openxmlformats.org/officeDocument/2006/relationships/hyperlink" Target="https://www.tesla.com/about" TargetMode="External"/><Relationship Id="rId2" Type="http://schemas.openxmlformats.org/officeDocument/2006/relationships/styles" Target="styles.xml"/><Relationship Id="rId16" Type="http://schemas.openxmlformats.org/officeDocument/2006/relationships/hyperlink" Target="https://doi.org/10.1016/j.apenergy.2024.123367"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gruyterbrill.com/document/doi/10.1515/applirev-2022-0189/html?lang=en&amp;srsltid=AfmBOoovzJDAHzlsmc0jMPRG5pXbpcGRx9jH4U-QxxUH88hd5v-ZqBtb" TargetMode="External"/><Relationship Id="rId5" Type="http://schemas.openxmlformats.org/officeDocument/2006/relationships/footnotes" Target="footnotes.xml"/><Relationship Id="rId15" Type="http://schemas.openxmlformats.org/officeDocument/2006/relationships/hyperlink" Target="https://ieeexplore.ieee.org/stamp/stamp.jsp?arnumber=10398193" TargetMode="External"/><Relationship Id="rId10" Type="http://schemas.openxmlformats.org/officeDocument/2006/relationships/hyperlink" Target="https://www.researchgate.net/profile/Sello-Selelo/publication/391343877_GBATA-2024-Readings-Book_-_Co_Authored/links/681334e5df0e3f544f501c1d/GBATA-2024-Readings-Book-Co-Authored.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3390/en17215443" TargetMode="External"/><Relationship Id="rId14" Type="http://schemas.openxmlformats.org/officeDocument/2006/relationships/hyperlink" Target="https://ev.com/news/tesla-rolls-out-megapackchargers-to-ease-holiday-ev-charging-surg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3382</Words>
  <Characters>19278</Characters>
  <Application>Microsoft Office Word</Application>
  <DocSecurity>0</DocSecurity>
  <Lines>160</Lines>
  <Paragraphs>45</Paragraphs>
  <ScaleCrop>false</ScaleCrop>
  <Company/>
  <LinksUpToDate>false</LinksUpToDate>
  <CharactersWithSpaces>22615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Sneha Khunti</dc:creator>
  <cp:keywords/>
  <dc:description/>
  <cp:lastModifiedBy>Sneha Khunti</cp:lastModifiedBy>
  <cp:revision>4</cp:revision>
  <dcterms:created xsi:type="dcterms:W3CDTF">2026-06-09T16:21:00Z</dcterms:created>
  <dcterms:modified xsi:type="dcterms:W3CDTF">2026-06-10T10:29:00Z</dcterms:modified>
</cp:coreProperties>
</file>