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1F239" w14:textId="77777777" w:rsidR="00844A7C" w:rsidRPr="000D6DD8" w:rsidRDefault="00844A7C" w:rsidP="00844A7C">
      <w:pPr>
        <w:spacing w:line="360" w:lineRule="auto"/>
        <w:jc w:val="both"/>
        <w:rPr>
          <w:rFonts w:cs="Times New Roman"/>
          <w:b/>
          <w:bCs/>
          <w:sz w:val="36"/>
          <w:szCs w:val="36"/>
        </w:rPr>
      </w:pPr>
    </w:p>
    <w:p w14:paraId="02D65FA2" w14:textId="77777777" w:rsidR="00844A7C" w:rsidRPr="00543748" w:rsidRDefault="00844A7C" w:rsidP="00844A7C">
      <w:pPr>
        <w:spacing w:after="0" w:line="480" w:lineRule="auto"/>
        <w:rPr>
          <w:rFonts w:cs="Times New Roman"/>
          <w:szCs w:val="24"/>
        </w:rPr>
      </w:pPr>
      <w:r>
        <w:rPr>
          <w:noProof/>
          <w:sz w:val="20"/>
        </w:rPr>
        <w:drawing>
          <wp:anchor distT="0" distB="0" distL="114300" distR="114300" simplePos="0" relativeHeight="251659264" behindDoc="0" locked="0" layoutInCell="1" allowOverlap="1" wp14:anchorId="4A87817D" wp14:editId="4B7F7672">
            <wp:simplePos x="0" y="0"/>
            <wp:positionH relativeFrom="margin">
              <wp:align>left</wp:align>
            </wp:positionH>
            <wp:positionV relativeFrom="paragraph">
              <wp:posOffset>23796</wp:posOffset>
            </wp:positionV>
            <wp:extent cx="2257425" cy="789031"/>
            <wp:effectExtent l="0" t="0" r="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751F851E" w14:textId="77777777" w:rsidR="00844A7C" w:rsidRPr="00543748" w:rsidRDefault="00844A7C" w:rsidP="00844A7C">
      <w:pPr>
        <w:spacing w:after="0" w:line="480" w:lineRule="auto"/>
        <w:rPr>
          <w:rFonts w:cs="Times New Roman"/>
          <w:szCs w:val="24"/>
        </w:rPr>
      </w:pPr>
    </w:p>
    <w:p w14:paraId="5542C3BD" w14:textId="77777777" w:rsidR="00844A7C" w:rsidRPr="00543748" w:rsidRDefault="00844A7C" w:rsidP="00844A7C">
      <w:pPr>
        <w:spacing w:after="0" w:line="480" w:lineRule="auto"/>
        <w:rPr>
          <w:rFonts w:cs="Times New Roman"/>
          <w:szCs w:val="24"/>
        </w:rPr>
      </w:pPr>
    </w:p>
    <w:p w14:paraId="7D5C1388" w14:textId="77777777" w:rsidR="00844A7C" w:rsidRPr="00543748" w:rsidRDefault="00844A7C" w:rsidP="00844A7C">
      <w:pPr>
        <w:spacing w:after="0" w:line="480" w:lineRule="auto"/>
        <w:rPr>
          <w:rFonts w:cs="Times New Roman"/>
          <w:szCs w:val="24"/>
        </w:rPr>
      </w:pPr>
    </w:p>
    <w:p w14:paraId="50663B7F" w14:textId="77777777" w:rsidR="00844A7C" w:rsidRPr="00543748" w:rsidRDefault="00844A7C" w:rsidP="00844A7C">
      <w:pPr>
        <w:spacing w:after="0" w:line="480" w:lineRule="auto"/>
        <w:rPr>
          <w:rFonts w:cs="Times New Roman"/>
          <w:szCs w:val="24"/>
        </w:rPr>
      </w:pPr>
    </w:p>
    <w:p w14:paraId="7D0550F9" w14:textId="77777777" w:rsidR="00844A7C" w:rsidRPr="0045598F" w:rsidRDefault="00844A7C" w:rsidP="00844A7C">
      <w:pPr>
        <w:rPr>
          <w:rFonts w:cs="Times New Roman"/>
          <w:sz w:val="28"/>
          <w:szCs w:val="28"/>
        </w:rPr>
      </w:pPr>
    </w:p>
    <w:p w14:paraId="5000587E" w14:textId="77777777" w:rsidR="00844A7C" w:rsidRDefault="00844A7C" w:rsidP="00844A7C">
      <w:pPr>
        <w:jc w:val="center"/>
        <w:rPr>
          <w:rFonts w:cs="Times New Roman"/>
          <w:b/>
          <w:sz w:val="28"/>
          <w:szCs w:val="28"/>
        </w:rPr>
      </w:pPr>
    </w:p>
    <w:p w14:paraId="384FB350" w14:textId="77777777" w:rsidR="00844A7C" w:rsidRPr="00635642" w:rsidRDefault="00844A7C" w:rsidP="00844A7C">
      <w:pPr>
        <w:pStyle w:val="Title"/>
        <w:jc w:val="center"/>
        <w:rPr>
          <w:sz w:val="72"/>
          <w:szCs w:val="72"/>
        </w:rPr>
      </w:pPr>
      <w:r w:rsidRPr="00635642">
        <w:rPr>
          <w:sz w:val="72"/>
          <w:szCs w:val="72"/>
        </w:rPr>
        <w:t>AMANA LTD</w:t>
      </w:r>
    </w:p>
    <w:p w14:paraId="649EE039" w14:textId="77777777" w:rsidR="00844A7C" w:rsidRPr="00635642" w:rsidRDefault="00844A7C" w:rsidP="00844A7C">
      <w:pPr>
        <w:pStyle w:val="Subtitle"/>
        <w:jc w:val="center"/>
        <w:rPr>
          <w:b/>
          <w:bCs/>
          <w:color w:val="000000" w:themeColor="text1"/>
          <w:sz w:val="40"/>
          <w:szCs w:val="40"/>
        </w:rPr>
      </w:pPr>
      <w:r w:rsidRPr="00635642">
        <w:rPr>
          <w:b/>
          <w:bCs/>
          <w:color w:val="000000" w:themeColor="text1"/>
          <w:sz w:val="40"/>
          <w:szCs w:val="40"/>
        </w:rPr>
        <w:t>REPORT</w:t>
      </w:r>
    </w:p>
    <w:p w14:paraId="3E0CD495" w14:textId="77777777" w:rsidR="00844A7C" w:rsidRDefault="00844A7C" w:rsidP="00844A7C">
      <w:pPr>
        <w:jc w:val="center"/>
        <w:rPr>
          <w:rFonts w:cs="Times New Roman"/>
          <w:b/>
          <w:sz w:val="28"/>
          <w:szCs w:val="28"/>
        </w:rPr>
      </w:pPr>
    </w:p>
    <w:p w14:paraId="0D4424DC" w14:textId="77777777" w:rsidR="00844A7C" w:rsidRDefault="00844A7C" w:rsidP="00844A7C">
      <w:pPr>
        <w:jc w:val="center"/>
        <w:rPr>
          <w:rFonts w:cs="Times New Roman"/>
          <w:b/>
          <w:sz w:val="28"/>
          <w:szCs w:val="28"/>
        </w:rPr>
      </w:pPr>
    </w:p>
    <w:p w14:paraId="0A46BF67" w14:textId="77777777" w:rsidR="00844A7C" w:rsidRDefault="00844A7C" w:rsidP="00844A7C">
      <w:pPr>
        <w:jc w:val="center"/>
        <w:rPr>
          <w:rFonts w:cs="Times New Roman"/>
          <w:b/>
          <w:sz w:val="28"/>
          <w:szCs w:val="28"/>
        </w:rPr>
      </w:pPr>
    </w:p>
    <w:p w14:paraId="57297DBA" w14:textId="77777777" w:rsidR="00844A7C" w:rsidRDefault="00844A7C" w:rsidP="00844A7C">
      <w:pPr>
        <w:jc w:val="center"/>
        <w:rPr>
          <w:rFonts w:cs="Times New Roman"/>
          <w:b/>
          <w:sz w:val="28"/>
          <w:szCs w:val="28"/>
        </w:rPr>
      </w:pPr>
    </w:p>
    <w:p w14:paraId="6DC921F5" w14:textId="77777777" w:rsidR="00844A7C" w:rsidRDefault="00844A7C" w:rsidP="00844A7C">
      <w:pPr>
        <w:jc w:val="center"/>
        <w:rPr>
          <w:rFonts w:cs="Times New Roman"/>
          <w:b/>
          <w:sz w:val="28"/>
          <w:szCs w:val="28"/>
        </w:rPr>
      </w:pPr>
    </w:p>
    <w:p w14:paraId="5828A897" w14:textId="77777777" w:rsidR="00844A7C" w:rsidRDefault="00844A7C" w:rsidP="00844A7C">
      <w:pPr>
        <w:jc w:val="center"/>
        <w:rPr>
          <w:rFonts w:cs="Times New Roman"/>
          <w:b/>
          <w:sz w:val="28"/>
          <w:szCs w:val="28"/>
        </w:rPr>
      </w:pPr>
    </w:p>
    <w:p w14:paraId="2AD89AF9" w14:textId="77777777" w:rsidR="00844A7C" w:rsidRPr="00BA2B24" w:rsidRDefault="00844A7C" w:rsidP="00844A7C">
      <w:pPr>
        <w:rPr>
          <w:rFonts w:cs="Times New Roman"/>
          <w:b/>
          <w:sz w:val="28"/>
          <w:szCs w:val="28"/>
        </w:rPr>
      </w:pPr>
      <w:r w:rsidRPr="00BA2B24">
        <w:rPr>
          <w:rFonts w:cs="Times New Roman"/>
          <w:b/>
          <w:sz w:val="28"/>
          <w:szCs w:val="28"/>
        </w:rPr>
        <w:t>Module Code:</w:t>
      </w:r>
      <w:r w:rsidRPr="005B3171">
        <w:rPr>
          <w:rFonts w:cs="Times New Roman"/>
          <w:b/>
          <w:bCs/>
          <w:sz w:val="28"/>
          <w:szCs w:val="28"/>
        </w:rPr>
        <w:t xml:space="preserve"> </w:t>
      </w:r>
      <w:r w:rsidRPr="005B3171">
        <w:rPr>
          <w:b/>
          <w:bCs/>
          <w:sz w:val="28"/>
          <w:szCs w:val="28"/>
        </w:rPr>
        <w:t>LCBB5002</w:t>
      </w:r>
    </w:p>
    <w:p w14:paraId="52BE0E6F" w14:textId="77777777" w:rsidR="00844A7C" w:rsidRDefault="00844A7C" w:rsidP="00844A7C">
      <w:pPr>
        <w:rPr>
          <w:rFonts w:cs="Times New Roman"/>
          <w:b/>
          <w:sz w:val="28"/>
          <w:szCs w:val="28"/>
        </w:rPr>
      </w:pPr>
      <w:bookmarkStart w:id="0" w:name="_Hlk39845246"/>
      <w:r w:rsidRPr="00BA2B24">
        <w:rPr>
          <w:rFonts w:cs="Times New Roman"/>
          <w:b/>
          <w:sz w:val="28"/>
          <w:szCs w:val="28"/>
        </w:rPr>
        <w:t>Assignment Title</w:t>
      </w:r>
      <w:r>
        <w:rPr>
          <w:rFonts w:cs="Times New Roman"/>
          <w:b/>
          <w:sz w:val="28"/>
          <w:szCs w:val="28"/>
        </w:rPr>
        <w:t xml:space="preserve">:  </w:t>
      </w:r>
      <w:r w:rsidRPr="005B3171">
        <w:rPr>
          <w:b/>
          <w:bCs/>
          <w:sz w:val="28"/>
          <w:szCs w:val="28"/>
        </w:rPr>
        <w:t xml:space="preserve">Assignment </w:t>
      </w:r>
      <w:r>
        <w:rPr>
          <w:b/>
          <w:bCs/>
          <w:sz w:val="28"/>
          <w:szCs w:val="28"/>
        </w:rPr>
        <w:t>2</w:t>
      </w:r>
      <w:r w:rsidRPr="005B3171">
        <w:rPr>
          <w:b/>
          <w:bCs/>
          <w:sz w:val="28"/>
          <w:szCs w:val="28"/>
        </w:rPr>
        <w:t xml:space="preserve"> </w:t>
      </w:r>
    </w:p>
    <w:bookmarkEnd w:id="0"/>
    <w:p w14:paraId="603C9934" w14:textId="77777777" w:rsidR="00844A7C" w:rsidRPr="00B50570" w:rsidRDefault="00844A7C" w:rsidP="00844A7C">
      <w:pPr>
        <w:rPr>
          <w:rFonts w:cs="Times New Roman"/>
          <w:b/>
          <w:sz w:val="28"/>
          <w:szCs w:val="28"/>
        </w:rPr>
      </w:pPr>
      <w:r w:rsidRPr="00FF7DE1">
        <w:rPr>
          <w:rFonts w:cs="Times New Roman"/>
          <w:b/>
          <w:bCs/>
          <w:sz w:val="28"/>
          <w:szCs w:val="28"/>
        </w:rPr>
        <w:t>Module Lecturer’s Name:</w:t>
      </w:r>
      <w:r>
        <w:rPr>
          <w:rFonts w:cs="Times New Roman"/>
          <w:b/>
          <w:bCs/>
          <w:sz w:val="28"/>
          <w:szCs w:val="28"/>
        </w:rPr>
        <w:t xml:space="preserve"> Konstantina Mari</w:t>
      </w:r>
    </w:p>
    <w:p w14:paraId="0FCE5AC7" w14:textId="77777777" w:rsidR="00844A7C" w:rsidRDefault="00844A7C" w:rsidP="00844A7C">
      <w:pPr>
        <w:pStyle w:val="NoSpacing"/>
        <w:rPr>
          <w:rFonts w:cs="Times New Roman"/>
          <w:b/>
          <w:bCs/>
          <w:sz w:val="28"/>
          <w:szCs w:val="28"/>
        </w:rPr>
      </w:pPr>
      <w:r w:rsidRPr="00FF7DE1">
        <w:rPr>
          <w:rFonts w:cs="Times New Roman"/>
          <w:b/>
          <w:bCs/>
          <w:sz w:val="28"/>
          <w:szCs w:val="28"/>
        </w:rPr>
        <w:t>Student Name: Simona Mocanu</w:t>
      </w:r>
    </w:p>
    <w:p w14:paraId="7A7D3392" w14:textId="77777777" w:rsidR="00844A7C" w:rsidRPr="00FF7DE1" w:rsidRDefault="00844A7C" w:rsidP="00844A7C">
      <w:pPr>
        <w:pStyle w:val="NoSpacing"/>
        <w:rPr>
          <w:rFonts w:cs="Times New Roman"/>
          <w:b/>
          <w:bCs/>
          <w:sz w:val="28"/>
          <w:szCs w:val="28"/>
        </w:rPr>
      </w:pPr>
    </w:p>
    <w:p w14:paraId="3030597B" w14:textId="77777777" w:rsidR="00844A7C" w:rsidRPr="007C3071" w:rsidRDefault="00844A7C" w:rsidP="00844A7C">
      <w:pPr>
        <w:pStyle w:val="NoSpacing"/>
        <w:rPr>
          <w:rFonts w:cs="Times New Roman"/>
          <w:b/>
          <w:bCs/>
          <w:sz w:val="28"/>
          <w:szCs w:val="28"/>
        </w:rPr>
      </w:pPr>
      <w:r w:rsidRPr="00FF7DE1">
        <w:rPr>
          <w:rFonts w:cs="Times New Roman"/>
          <w:b/>
          <w:bCs/>
          <w:sz w:val="28"/>
          <w:szCs w:val="28"/>
        </w:rPr>
        <w:t>Student ID: 1905164</w:t>
      </w:r>
    </w:p>
    <w:p w14:paraId="49E59DD2" w14:textId="77777777" w:rsidR="00844A7C" w:rsidRDefault="00844A7C" w:rsidP="00844A7C"/>
    <w:p w14:paraId="08E46ED7" w14:textId="77777777" w:rsidR="00844A7C" w:rsidRPr="000D6DD8" w:rsidRDefault="00844A7C" w:rsidP="00844A7C">
      <w:pPr>
        <w:spacing w:line="360" w:lineRule="auto"/>
        <w:jc w:val="both"/>
        <w:rPr>
          <w:rFonts w:cs="Times New Roman"/>
          <w:bCs/>
          <w:i/>
          <w:iCs/>
          <w:szCs w:val="24"/>
        </w:rPr>
        <w:sectPr w:rsidR="00844A7C" w:rsidRPr="000D6DD8" w:rsidSect="006650A2">
          <w:footerReference w:type="default" r:id="rId6"/>
          <w:pgSz w:w="12240" w:h="15840"/>
          <w:pgMar w:top="1440" w:right="1440" w:bottom="1440" w:left="1440" w:header="720" w:footer="720" w:gutter="0"/>
          <w:pgNumType w:start="1"/>
          <w:cols w:space="720"/>
          <w:titlePg/>
          <w:docGrid w:linePitch="360"/>
        </w:sectPr>
      </w:pPr>
    </w:p>
    <w:p w14:paraId="3E7CD0A6" w14:textId="77777777" w:rsidR="00844A7C" w:rsidRPr="000D6DD8" w:rsidRDefault="00844A7C" w:rsidP="00844A7C">
      <w:pPr>
        <w:spacing w:line="360" w:lineRule="auto"/>
        <w:jc w:val="both"/>
        <w:rPr>
          <w:rFonts w:cs="Times New Roman"/>
          <w:bCs/>
          <w:i/>
          <w:iCs/>
          <w:szCs w:val="24"/>
        </w:rPr>
      </w:pPr>
    </w:p>
    <w:sdt>
      <w:sdtPr>
        <w:rPr>
          <w:rFonts w:ascii="Times New Roman" w:hAnsi="Times New Roman" w:cs="Times New Roman"/>
          <w:color w:val="auto"/>
          <w:sz w:val="24"/>
          <w:szCs w:val="22"/>
        </w:rPr>
        <w:id w:val="-477606794"/>
        <w:docPartObj>
          <w:docPartGallery w:val="Table of Contents"/>
          <w:docPartUnique/>
        </w:docPartObj>
      </w:sdtPr>
      <w:sdtEndPr>
        <w:rPr>
          <w:b/>
          <w:bCs/>
          <w:szCs w:val="24"/>
        </w:rPr>
      </w:sdtEndPr>
      <w:sdtContent>
        <w:p w14:paraId="555D4007" w14:textId="77777777" w:rsidR="00844A7C" w:rsidRPr="000D6DD8" w:rsidRDefault="00844A7C" w:rsidP="00844A7C">
          <w:pPr>
            <w:pStyle w:val="TOCHeading1"/>
            <w:spacing w:line="360" w:lineRule="auto"/>
            <w:jc w:val="both"/>
            <w:rPr>
              <w:rFonts w:ascii="Times New Roman" w:hAnsi="Times New Roman" w:cs="Times New Roman"/>
              <w:color w:val="auto"/>
            </w:rPr>
          </w:pPr>
          <w:r w:rsidRPr="000D6DD8">
            <w:rPr>
              <w:rFonts w:ascii="Times New Roman" w:hAnsi="Times New Roman" w:cs="Times New Roman"/>
              <w:color w:val="auto"/>
            </w:rPr>
            <w:t>Table of Contents</w:t>
          </w:r>
        </w:p>
        <w:p w14:paraId="756E3092" w14:textId="77777777" w:rsidR="00844A7C" w:rsidRPr="000D6DD8" w:rsidRDefault="00844A7C" w:rsidP="00844A7C">
          <w:pPr>
            <w:pStyle w:val="TOC1"/>
            <w:tabs>
              <w:tab w:val="right" w:leader="dot" w:pos="9350"/>
            </w:tabs>
            <w:rPr>
              <w:rFonts w:asciiTheme="minorHAnsi" w:eastAsiaTheme="minorEastAsia" w:hAnsiTheme="minorHAnsi"/>
              <w:noProof/>
              <w:sz w:val="22"/>
            </w:rPr>
          </w:pPr>
          <w:r w:rsidRPr="000D6DD8">
            <w:rPr>
              <w:rFonts w:cs="Times New Roman"/>
              <w:szCs w:val="24"/>
            </w:rPr>
            <w:fldChar w:fldCharType="begin"/>
          </w:r>
          <w:r w:rsidRPr="000D6DD8">
            <w:rPr>
              <w:rFonts w:cs="Times New Roman"/>
              <w:szCs w:val="24"/>
            </w:rPr>
            <w:instrText xml:space="preserve"> TOC \o "1-3" \h \z \u </w:instrText>
          </w:r>
          <w:r w:rsidRPr="000D6DD8">
            <w:rPr>
              <w:rFonts w:cs="Times New Roman"/>
              <w:szCs w:val="24"/>
            </w:rPr>
            <w:fldChar w:fldCharType="separate"/>
          </w:r>
          <w:hyperlink w:anchor="_Toc69374867" w:history="1">
            <w:r w:rsidRPr="000D6DD8">
              <w:rPr>
                <w:rStyle w:val="Hyperlink"/>
                <w:noProof/>
              </w:rPr>
              <w:t>Introduction</w:t>
            </w:r>
            <w:r w:rsidRPr="000D6DD8">
              <w:rPr>
                <w:noProof/>
                <w:webHidden/>
              </w:rPr>
              <w:tab/>
            </w:r>
            <w:r w:rsidRPr="000D6DD8">
              <w:rPr>
                <w:noProof/>
                <w:webHidden/>
              </w:rPr>
              <w:fldChar w:fldCharType="begin"/>
            </w:r>
            <w:r w:rsidRPr="000D6DD8">
              <w:rPr>
                <w:noProof/>
                <w:webHidden/>
              </w:rPr>
              <w:instrText xml:space="preserve"> PAGEREF _Toc69374867 \h </w:instrText>
            </w:r>
            <w:r w:rsidRPr="000D6DD8">
              <w:rPr>
                <w:noProof/>
                <w:webHidden/>
              </w:rPr>
            </w:r>
            <w:r w:rsidRPr="000D6DD8">
              <w:rPr>
                <w:noProof/>
                <w:webHidden/>
              </w:rPr>
              <w:fldChar w:fldCharType="separate"/>
            </w:r>
            <w:r w:rsidRPr="000D6DD8">
              <w:rPr>
                <w:noProof/>
                <w:webHidden/>
              </w:rPr>
              <w:t>2</w:t>
            </w:r>
            <w:r w:rsidRPr="000D6DD8">
              <w:rPr>
                <w:noProof/>
                <w:webHidden/>
              </w:rPr>
              <w:fldChar w:fldCharType="end"/>
            </w:r>
          </w:hyperlink>
        </w:p>
        <w:p w14:paraId="1F4A3DB0" w14:textId="77777777" w:rsidR="00844A7C" w:rsidRPr="000D6DD8" w:rsidRDefault="00844A7C" w:rsidP="00844A7C">
          <w:pPr>
            <w:pStyle w:val="TOC1"/>
            <w:tabs>
              <w:tab w:val="right" w:leader="dot" w:pos="9350"/>
            </w:tabs>
            <w:rPr>
              <w:rFonts w:asciiTheme="minorHAnsi" w:eastAsiaTheme="minorEastAsia" w:hAnsiTheme="minorHAnsi"/>
              <w:noProof/>
              <w:sz w:val="22"/>
            </w:rPr>
          </w:pPr>
          <w:hyperlink w:anchor="_Toc69374868" w:history="1">
            <w:r w:rsidRPr="000D6DD8">
              <w:rPr>
                <w:rStyle w:val="Hyperlink"/>
                <w:noProof/>
              </w:rPr>
              <w:t>Company Overview</w:t>
            </w:r>
            <w:r w:rsidRPr="000D6DD8">
              <w:rPr>
                <w:noProof/>
                <w:webHidden/>
              </w:rPr>
              <w:tab/>
            </w:r>
            <w:r w:rsidRPr="000D6DD8">
              <w:rPr>
                <w:noProof/>
                <w:webHidden/>
              </w:rPr>
              <w:fldChar w:fldCharType="begin"/>
            </w:r>
            <w:r w:rsidRPr="000D6DD8">
              <w:rPr>
                <w:noProof/>
                <w:webHidden/>
              </w:rPr>
              <w:instrText xml:space="preserve"> PAGEREF _Toc69374868 \h </w:instrText>
            </w:r>
            <w:r w:rsidRPr="000D6DD8">
              <w:rPr>
                <w:noProof/>
                <w:webHidden/>
              </w:rPr>
            </w:r>
            <w:r w:rsidRPr="000D6DD8">
              <w:rPr>
                <w:noProof/>
                <w:webHidden/>
              </w:rPr>
              <w:fldChar w:fldCharType="separate"/>
            </w:r>
            <w:r w:rsidRPr="000D6DD8">
              <w:rPr>
                <w:noProof/>
                <w:webHidden/>
              </w:rPr>
              <w:t>3</w:t>
            </w:r>
            <w:r w:rsidRPr="000D6DD8">
              <w:rPr>
                <w:noProof/>
                <w:webHidden/>
              </w:rPr>
              <w:fldChar w:fldCharType="end"/>
            </w:r>
          </w:hyperlink>
        </w:p>
        <w:p w14:paraId="7E2D4B19" w14:textId="77777777" w:rsidR="00844A7C" w:rsidRPr="000D6DD8" w:rsidRDefault="00844A7C" w:rsidP="00844A7C">
          <w:pPr>
            <w:pStyle w:val="TOC1"/>
            <w:tabs>
              <w:tab w:val="right" w:leader="dot" w:pos="9350"/>
            </w:tabs>
            <w:rPr>
              <w:rFonts w:asciiTheme="minorHAnsi" w:eastAsiaTheme="minorEastAsia" w:hAnsiTheme="minorHAnsi"/>
              <w:noProof/>
              <w:sz w:val="22"/>
            </w:rPr>
          </w:pPr>
          <w:hyperlink w:anchor="_Toc69374869" w:history="1">
            <w:r w:rsidRPr="000D6DD8">
              <w:rPr>
                <w:rStyle w:val="Hyperlink"/>
                <w:noProof/>
              </w:rPr>
              <w:t>Part A</w:t>
            </w:r>
            <w:r w:rsidRPr="000D6DD8">
              <w:rPr>
                <w:noProof/>
                <w:webHidden/>
              </w:rPr>
              <w:tab/>
            </w:r>
            <w:r w:rsidRPr="000D6DD8">
              <w:rPr>
                <w:noProof/>
                <w:webHidden/>
              </w:rPr>
              <w:fldChar w:fldCharType="begin"/>
            </w:r>
            <w:r w:rsidRPr="000D6DD8">
              <w:rPr>
                <w:noProof/>
                <w:webHidden/>
              </w:rPr>
              <w:instrText xml:space="preserve"> PAGEREF _Toc69374869 \h </w:instrText>
            </w:r>
            <w:r w:rsidRPr="000D6DD8">
              <w:rPr>
                <w:noProof/>
                <w:webHidden/>
              </w:rPr>
            </w:r>
            <w:r w:rsidRPr="000D6DD8">
              <w:rPr>
                <w:noProof/>
                <w:webHidden/>
              </w:rPr>
              <w:fldChar w:fldCharType="separate"/>
            </w:r>
            <w:r w:rsidRPr="000D6DD8">
              <w:rPr>
                <w:noProof/>
                <w:webHidden/>
              </w:rPr>
              <w:t>4</w:t>
            </w:r>
            <w:r w:rsidRPr="000D6DD8">
              <w:rPr>
                <w:noProof/>
                <w:webHidden/>
              </w:rPr>
              <w:fldChar w:fldCharType="end"/>
            </w:r>
          </w:hyperlink>
        </w:p>
        <w:p w14:paraId="2AA6E6D5" w14:textId="77777777" w:rsidR="00844A7C" w:rsidRPr="000D6DD8" w:rsidRDefault="00844A7C" w:rsidP="00844A7C">
          <w:pPr>
            <w:pStyle w:val="TOC2"/>
            <w:tabs>
              <w:tab w:val="left" w:pos="660"/>
              <w:tab w:val="right" w:leader="dot" w:pos="9350"/>
            </w:tabs>
            <w:rPr>
              <w:rFonts w:asciiTheme="minorHAnsi" w:eastAsiaTheme="minorEastAsia" w:hAnsiTheme="minorHAnsi"/>
              <w:noProof/>
              <w:sz w:val="22"/>
            </w:rPr>
          </w:pPr>
          <w:hyperlink w:anchor="_Toc69374870" w:history="1">
            <w:r w:rsidRPr="000D6DD8">
              <w:rPr>
                <w:rStyle w:val="Hyperlink"/>
                <w:noProof/>
              </w:rPr>
              <w:t>i)Monthly Control Report</w:t>
            </w:r>
            <w:r w:rsidRPr="000D6DD8">
              <w:rPr>
                <w:noProof/>
                <w:webHidden/>
              </w:rPr>
              <w:tab/>
            </w:r>
            <w:r w:rsidRPr="000D6DD8">
              <w:rPr>
                <w:noProof/>
                <w:webHidden/>
              </w:rPr>
              <w:fldChar w:fldCharType="begin"/>
            </w:r>
            <w:r w:rsidRPr="000D6DD8">
              <w:rPr>
                <w:noProof/>
                <w:webHidden/>
              </w:rPr>
              <w:instrText xml:space="preserve"> PAGEREF _Toc69374870 \h </w:instrText>
            </w:r>
            <w:r w:rsidRPr="000D6DD8">
              <w:rPr>
                <w:noProof/>
                <w:webHidden/>
              </w:rPr>
            </w:r>
            <w:r w:rsidRPr="000D6DD8">
              <w:rPr>
                <w:noProof/>
                <w:webHidden/>
              </w:rPr>
              <w:fldChar w:fldCharType="separate"/>
            </w:r>
            <w:r w:rsidRPr="000D6DD8">
              <w:rPr>
                <w:noProof/>
                <w:webHidden/>
              </w:rPr>
              <w:t>4</w:t>
            </w:r>
            <w:r w:rsidRPr="000D6DD8">
              <w:rPr>
                <w:noProof/>
                <w:webHidden/>
              </w:rPr>
              <w:fldChar w:fldCharType="end"/>
            </w:r>
          </w:hyperlink>
        </w:p>
        <w:p w14:paraId="5FF250D2" w14:textId="77777777" w:rsidR="00844A7C" w:rsidRPr="000D6DD8" w:rsidRDefault="00844A7C" w:rsidP="00844A7C">
          <w:pPr>
            <w:pStyle w:val="TOC2"/>
            <w:tabs>
              <w:tab w:val="left" w:pos="880"/>
              <w:tab w:val="right" w:leader="dot" w:pos="9350"/>
            </w:tabs>
            <w:rPr>
              <w:rFonts w:asciiTheme="minorHAnsi" w:eastAsiaTheme="minorEastAsia" w:hAnsiTheme="minorHAnsi"/>
              <w:noProof/>
              <w:sz w:val="22"/>
            </w:rPr>
          </w:pPr>
          <w:hyperlink w:anchor="_Toc69374871" w:history="1">
            <w:r w:rsidRPr="000D6DD8">
              <w:rPr>
                <w:rStyle w:val="Hyperlink"/>
                <w:noProof/>
              </w:rPr>
              <w:t>ii)A Report on the Performance of Amana Ltd</w:t>
            </w:r>
            <w:r w:rsidRPr="000D6DD8">
              <w:rPr>
                <w:noProof/>
                <w:webHidden/>
              </w:rPr>
              <w:tab/>
            </w:r>
            <w:r w:rsidRPr="000D6DD8">
              <w:rPr>
                <w:noProof/>
                <w:webHidden/>
              </w:rPr>
              <w:fldChar w:fldCharType="begin"/>
            </w:r>
            <w:r w:rsidRPr="000D6DD8">
              <w:rPr>
                <w:noProof/>
                <w:webHidden/>
              </w:rPr>
              <w:instrText xml:space="preserve"> PAGEREF _Toc69374871 \h </w:instrText>
            </w:r>
            <w:r w:rsidRPr="000D6DD8">
              <w:rPr>
                <w:noProof/>
                <w:webHidden/>
              </w:rPr>
            </w:r>
            <w:r w:rsidRPr="000D6DD8">
              <w:rPr>
                <w:noProof/>
                <w:webHidden/>
              </w:rPr>
              <w:fldChar w:fldCharType="separate"/>
            </w:r>
            <w:r w:rsidRPr="000D6DD8">
              <w:rPr>
                <w:noProof/>
                <w:webHidden/>
              </w:rPr>
              <w:t>7</w:t>
            </w:r>
            <w:r w:rsidRPr="000D6DD8">
              <w:rPr>
                <w:noProof/>
                <w:webHidden/>
              </w:rPr>
              <w:fldChar w:fldCharType="end"/>
            </w:r>
          </w:hyperlink>
        </w:p>
        <w:p w14:paraId="6E136127" w14:textId="77777777" w:rsidR="00844A7C" w:rsidRPr="000D6DD8" w:rsidRDefault="00844A7C" w:rsidP="00844A7C">
          <w:pPr>
            <w:pStyle w:val="TOC2"/>
            <w:tabs>
              <w:tab w:val="right" w:leader="dot" w:pos="9350"/>
            </w:tabs>
            <w:rPr>
              <w:rFonts w:asciiTheme="minorHAnsi" w:eastAsiaTheme="minorEastAsia" w:hAnsiTheme="minorHAnsi"/>
              <w:noProof/>
              <w:sz w:val="22"/>
            </w:rPr>
          </w:pPr>
          <w:hyperlink w:anchor="_Toc69374872" w:history="1">
            <w:r w:rsidRPr="000D6DD8">
              <w:rPr>
                <w:rStyle w:val="Hyperlink"/>
                <w:noProof/>
              </w:rPr>
              <w:t>iii)Recommendations to the CEO of Amana for Improvement</w:t>
            </w:r>
            <w:r w:rsidRPr="000D6DD8">
              <w:rPr>
                <w:noProof/>
                <w:webHidden/>
              </w:rPr>
              <w:tab/>
            </w:r>
            <w:r w:rsidRPr="000D6DD8">
              <w:rPr>
                <w:noProof/>
                <w:webHidden/>
              </w:rPr>
              <w:fldChar w:fldCharType="begin"/>
            </w:r>
            <w:r w:rsidRPr="000D6DD8">
              <w:rPr>
                <w:noProof/>
                <w:webHidden/>
              </w:rPr>
              <w:instrText xml:space="preserve"> PAGEREF _Toc69374872 \h </w:instrText>
            </w:r>
            <w:r w:rsidRPr="000D6DD8">
              <w:rPr>
                <w:noProof/>
                <w:webHidden/>
              </w:rPr>
            </w:r>
            <w:r w:rsidRPr="000D6DD8">
              <w:rPr>
                <w:noProof/>
                <w:webHidden/>
              </w:rPr>
              <w:fldChar w:fldCharType="separate"/>
            </w:r>
            <w:r w:rsidRPr="000D6DD8">
              <w:rPr>
                <w:noProof/>
                <w:webHidden/>
              </w:rPr>
              <w:t>9</w:t>
            </w:r>
            <w:r w:rsidRPr="000D6DD8">
              <w:rPr>
                <w:noProof/>
                <w:webHidden/>
              </w:rPr>
              <w:fldChar w:fldCharType="end"/>
            </w:r>
          </w:hyperlink>
        </w:p>
        <w:p w14:paraId="7882FF57" w14:textId="77777777" w:rsidR="00844A7C" w:rsidRPr="000D6DD8" w:rsidRDefault="00844A7C" w:rsidP="00844A7C">
          <w:pPr>
            <w:pStyle w:val="TOC1"/>
            <w:tabs>
              <w:tab w:val="right" w:leader="dot" w:pos="9350"/>
            </w:tabs>
            <w:rPr>
              <w:rFonts w:asciiTheme="minorHAnsi" w:eastAsiaTheme="minorEastAsia" w:hAnsiTheme="minorHAnsi"/>
              <w:noProof/>
              <w:sz w:val="22"/>
            </w:rPr>
          </w:pPr>
          <w:hyperlink w:anchor="_Toc69374873" w:history="1">
            <w:r w:rsidRPr="000D6DD8">
              <w:rPr>
                <w:rStyle w:val="Hyperlink"/>
                <w:noProof/>
              </w:rPr>
              <w:t>Part-B</w:t>
            </w:r>
            <w:r w:rsidRPr="000D6DD8">
              <w:rPr>
                <w:noProof/>
                <w:webHidden/>
              </w:rPr>
              <w:tab/>
            </w:r>
            <w:r w:rsidRPr="000D6DD8">
              <w:rPr>
                <w:noProof/>
                <w:webHidden/>
              </w:rPr>
              <w:fldChar w:fldCharType="begin"/>
            </w:r>
            <w:r w:rsidRPr="000D6DD8">
              <w:rPr>
                <w:noProof/>
                <w:webHidden/>
              </w:rPr>
              <w:instrText xml:space="preserve"> PAGEREF _Toc69374873 \h </w:instrText>
            </w:r>
            <w:r w:rsidRPr="000D6DD8">
              <w:rPr>
                <w:noProof/>
                <w:webHidden/>
              </w:rPr>
            </w:r>
            <w:r w:rsidRPr="000D6DD8">
              <w:rPr>
                <w:noProof/>
                <w:webHidden/>
              </w:rPr>
              <w:fldChar w:fldCharType="separate"/>
            </w:r>
            <w:r w:rsidRPr="000D6DD8">
              <w:rPr>
                <w:noProof/>
                <w:webHidden/>
              </w:rPr>
              <w:t>11</w:t>
            </w:r>
            <w:r w:rsidRPr="000D6DD8">
              <w:rPr>
                <w:noProof/>
                <w:webHidden/>
              </w:rPr>
              <w:fldChar w:fldCharType="end"/>
            </w:r>
          </w:hyperlink>
        </w:p>
        <w:p w14:paraId="548A9548" w14:textId="77777777" w:rsidR="00844A7C" w:rsidRPr="000D6DD8" w:rsidRDefault="00844A7C" w:rsidP="00844A7C">
          <w:pPr>
            <w:pStyle w:val="TOC1"/>
            <w:tabs>
              <w:tab w:val="right" w:leader="dot" w:pos="9350"/>
            </w:tabs>
            <w:rPr>
              <w:rFonts w:asciiTheme="minorHAnsi" w:eastAsiaTheme="minorEastAsia" w:hAnsiTheme="minorHAnsi"/>
              <w:noProof/>
              <w:sz w:val="22"/>
            </w:rPr>
          </w:pPr>
          <w:hyperlink w:anchor="_Toc69374874" w:history="1">
            <w:r w:rsidRPr="000D6DD8">
              <w:rPr>
                <w:rStyle w:val="Hyperlink"/>
                <w:noProof/>
              </w:rPr>
              <w:t>Conclusion</w:t>
            </w:r>
            <w:r w:rsidRPr="000D6DD8">
              <w:rPr>
                <w:noProof/>
                <w:webHidden/>
              </w:rPr>
              <w:tab/>
            </w:r>
            <w:r w:rsidRPr="000D6DD8">
              <w:rPr>
                <w:noProof/>
                <w:webHidden/>
              </w:rPr>
              <w:fldChar w:fldCharType="begin"/>
            </w:r>
            <w:r w:rsidRPr="000D6DD8">
              <w:rPr>
                <w:noProof/>
                <w:webHidden/>
              </w:rPr>
              <w:instrText xml:space="preserve"> PAGEREF _Toc69374874 \h </w:instrText>
            </w:r>
            <w:r w:rsidRPr="000D6DD8">
              <w:rPr>
                <w:noProof/>
                <w:webHidden/>
              </w:rPr>
            </w:r>
            <w:r w:rsidRPr="000D6DD8">
              <w:rPr>
                <w:noProof/>
                <w:webHidden/>
              </w:rPr>
              <w:fldChar w:fldCharType="separate"/>
            </w:r>
            <w:r w:rsidRPr="000D6DD8">
              <w:rPr>
                <w:noProof/>
                <w:webHidden/>
              </w:rPr>
              <w:t>14</w:t>
            </w:r>
            <w:r w:rsidRPr="000D6DD8">
              <w:rPr>
                <w:noProof/>
                <w:webHidden/>
              </w:rPr>
              <w:fldChar w:fldCharType="end"/>
            </w:r>
          </w:hyperlink>
        </w:p>
        <w:p w14:paraId="638DBB8D" w14:textId="77777777" w:rsidR="00844A7C" w:rsidRPr="000D6DD8" w:rsidRDefault="00844A7C" w:rsidP="00844A7C">
          <w:pPr>
            <w:pStyle w:val="TOC1"/>
            <w:tabs>
              <w:tab w:val="right" w:leader="dot" w:pos="9350"/>
            </w:tabs>
            <w:rPr>
              <w:rFonts w:asciiTheme="minorHAnsi" w:eastAsiaTheme="minorEastAsia" w:hAnsiTheme="minorHAnsi"/>
              <w:noProof/>
              <w:sz w:val="22"/>
            </w:rPr>
          </w:pPr>
          <w:hyperlink w:anchor="_Toc69374875" w:history="1">
            <w:r w:rsidRPr="000D6DD8">
              <w:rPr>
                <w:rStyle w:val="Hyperlink"/>
                <w:noProof/>
              </w:rPr>
              <w:t>References</w:t>
            </w:r>
            <w:r w:rsidRPr="000D6DD8">
              <w:rPr>
                <w:noProof/>
                <w:webHidden/>
              </w:rPr>
              <w:tab/>
            </w:r>
            <w:r w:rsidRPr="000D6DD8">
              <w:rPr>
                <w:noProof/>
                <w:webHidden/>
              </w:rPr>
              <w:fldChar w:fldCharType="begin"/>
            </w:r>
            <w:r w:rsidRPr="000D6DD8">
              <w:rPr>
                <w:noProof/>
                <w:webHidden/>
              </w:rPr>
              <w:instrText xml:space="preserve"> PAGEREF _Toc69374875 \h </w:instrText>
            </w:r>
            <w:r w:rsidRPr="000D6DD8">
              <w:rPr>
                <w:noProof/>
                <w:webHidden/>
              </w:rPr>
            </w:r>
            <w:r w:rsidRPr="000D6DD8">
              <w:rPr>
                <w:noProof/>
                <w:webHidden/>
              </w:rPr>
              <w:fldChar w:fldCharType="separate"/>
            </w:r>
            <w:r w:rsidRPr="000D6DD8">
              <w:rPr>
                <w:noProof/>
                <w:webHidden/>
              </w:rPr>
              <w:t>15</w:t>
            </w:r>
            <w:r w:rsidRPr="000D6DD8">
              <w:rPr>
                <w:noProof/>
                <w:webHidden/>
              </w:rPr>
              <w:fldChar w:fldCharType="end"/>
            </w:r>
          </w:hyperlink>
        </w:p>
        <w:p w14:paraId="4F610C9A" w14:textId="77777777" w:rsidR="00844A7C" w:rsidRPr="000D6DD8" w:rsidRDefault="00844A7C" w:rsidP="00844A7C">
          <w:pPr>
            <w:spacing w:line="360" w:lineRule="auto"/>
            <w:jc w:val="both"/>
            <w:rPr>
              <w:rFonts w:cs="Times New Roman"/>
              <w:b/>
              <w:bCs/>
              <w:szCs w:val="24"/>
            </w:rPr>
            <w:sectPr w:rsidR="00844A7C" w:rsidRPr="000D6DD8" w:rsidSect="006650A2">
              <w:pgSz w:w="12240" w:h="15840"/>
              <w:pgMar w:top="1440" w:right="1440" w:bottom="1440" w:left="1440" w:header="720" w:footer="720" w:gutter="0"/>
              <w:pgNumType w:start="1"/>
              <w:cols w:space="720"/>
              <w:titlePg/>
              <w:docGrid w:linePitch="360"/>
            </w:sectPr>
          </w:pPr>
          <w:r w:rsidRPr="000D6DD8">
            <w:rPr>
              <w:rFonts w:cs="Times New Roman"/>
              <w:b/>
              <w:bCs/>
              <w:szCs w:val="24"/>
            </w:rPr>
            <w:fldChar w:fldCharType="end"/>
          </w:r>
        </w:p>
      </w:sdtContent>
    </w:sdt>
    <w:p w14:paraId="592D5DDD" w14:textId="77777777" w:rsidR="00844A7C" w:rsidRPr="000D6DD8" w:rsidRDefault="00844A7C" w:rsidP="00844A7C">
      <w:pPr>
        <w:pStyle w:val="Heading1"/>
        <w:spacing w:line="360" w:lineRule="auto"/>
      </w:pPr>
      <w:bookmarkStart w:id="1" w:name="_Toc69374867"/>
      <w:r w:rsidRPr="000D6DD8">
        <w:lastRenderedPageBreak/>
        <w:t>Introduction</w:t>
      </w:r>
      <w:bookmarkEnd w:id="1"/>
    </w:p>
    <w:p w14:paraId="3C76D308" w14:textId="77777777" w:rsidR="00844A7C" w:rsidRPr="000D6DD8" w:rsidRDefault="00844A7C" w:rsidP="00844A7C">
      <w:pPr>
        <w:spacing w:line="360" w:lineRule="auto"/>
        <w:jc w:val="both"/>
        <w:rPr>
          <w:rFonts w:cs="Times New Roman"/>
        </w:rPr>
      </w:pPr>
      <w:r w:rsidRPr="000D6DD8">
        <w:rPr>
          <w:rFonts w:cs="Times New Roman"/>
        </w:rPr>
        <w:t>Amana Ltd is a family-owned tourist business located in England having several locations in tourists’ spots in Brighton, London Bridge, Westminster Bridge, Buckingham Palace, Birmingham city centre, and Manchester city centre. Amana Ltd sells souvenirs produced by a Chinese manufacturer which are designed by the Amana team. The company has been operating its business for 40 years. But its performance has been hampered due to the pandemic of Covid-19. This report shows a monthly control report showing the original budget, flexed budget, and variances. Besides a performance report has been prepared along with providing recommendations for improvement in Part A. In Part B, an investment decision has been taken from two mutually exclusive alternatives.</w:t>
      </w:r>
    </w:p>
    <w:p w14:paraId="358ABB64" w14:textId="77777777" w:rsidR="00844A7C" w:rsidRPr="000D6DD8" w:rsidRDefault="00844A7C" w:rsidP="00844A7C">
      <w:pPr>
        <w:spacing w:line="360" w:lineRule="auto"/>
        <w:jc w:val="both"/>
        <w:rPr>
          <w:rFonts w:cs="Times New Roman"/>
        </w:rPr>
      </w:pPr>
    </w:p>
    <w:p w14:paraId="2643AADF" w14:textId="77777777" w:rsidR="00844A7C" w:rsidRPr="000D6DD8" w:rsidRDefault="00844A7C" w:rsidP="00844A7C">
      <w:pPr>
        <w:pStyle w:val="Heading1"/>
        <w:spacing w:line="360" w:lineRule="auto"/>
        <w:sectPr w:rsidR="00844A7C" w:rsidRPr="000D6DD8" w:rsidSect="006650A2">
          <w:pgSz w:w="12240" w:h="15840"/>
          <w:pgMar w:top="1440" w:right="1440" w:bottom="1440" w:left="1440" w:header="720" w:footer="720" w:gutter="0"/>
          <w:cols w:space="720"/>
          <w:docGrid w:linePitch="360"/>
        </w:sectPr>
      </w:pPr>
    </w:p>
    <w:p w14:paraId="0CFEE1B1" w14:textId="77777777" w:rsidR="00844A7C" w:rsidRPr="000D6DD8" w:rsidRDefault="00844A7C" w:rsidP="00844A7C">
      <w:pPr>
        <w:pStyle w:val="Heading1"/>
      </w:pPr>
      <w:bookmarkStart w:id="2" w:name="_Toc69374868"/>
      <w:r w:rsidRPr="000D6DD8">
        <w:lastRenderedPageBreak/>
        <w:t>Company Overview</w:t>
      </w:r>
      <w:bookmarkEnd w:id="2"/>
    </w:p>
    <w:p w14:paraId="2924EB04" w14:textId="77777777" w:rsidR="00844A7C" w:rsidRPr="000D6DD8" w:rsidRDefault="00844A7C" w:rsidP="00844A7C">
      <w:pPr>
        <w:spacing w:line="360" w:lineRule="auto"/>
        <w:jc w:val="both"/>
      </w:pPr>
      <w:r w:rsidRPr="000D6DD8">
        <w:t>Amana Ltd, a family-owned tourist business, operates its business by selling souvenirs to tourists coming to England. The company operates its business mainly in Brighton, London Bridge, Westminster Bridge, Buckingham Palace, Birmingham city centre and Manchester city centre. The Chinese manufacturers produce souvenirs for Amana Ltd according to the design of the Amana team. It has the experience of working for 40 years in the tourism industry. During the lockdown for the Covid-19 pandemic, the physical shops were closed. As a result, sales decreased drastically leading the company's performance to fall in 2020. Now the company is trying to change its previous business model. It is suggested to start an online business like many other online businesses which will increase its sales and help achieve the budget.</w:t>
      </w:r>
    </w:p>
    <w:p w14:paraId="0858B646" w14:textId="77777777" w:rsidR="00844A7C" w:rsidRPr="000D6DD8" w:rsidRDefault="00844A7C" w:rsidP="00844A7C">
      <w:pPr>
        <w:pStyle w:val="Heading1"/>
      </w:pPr>
    </w:p>
    <w:p w14:paraId="4E554949" w14:textId="77777777" w:rsidR="00844A7C" w:rsidRPr="000D6DD8" w:rsidRDefault="00844A7C" w:rsidP="00844A7C">
      <w:pPr>
        <w:pStyle w:val="Heading1"/>
        <w:sectPr w:rsidR="00844A7C" w:rsidRPr="000D6DD8" w:rsidSect="006650A2">
          <w:pgSz w:w="12240" w:h="15840"/>
          <w:pgMar w:top="1440" w:right="1440" w:bottom="1440" w:left="1440" w:header="720" w:footer="720" w:gutter="0"/>
          <w:cols w:space="720"/>
          <w:docGrid w:linePitch="360"/>
        </w:sectPr>
      </w:pPr>
    </w:p>
    <w:p w14:paraId="38E955A7" w14:textId="77777777" w:rsidR="00844A7C" w:rsidRPr="000D6DD8" w:rsidRDefault="00844A7C" w:rsidP="00844A7C">
      <w:pPr>
        <w:pStyle w:val="Heading1"/>
      </w:pPr>
      <w:bookmarkStart w:id="3" w:name="_Toc69374869"/>
      <w:r w:rsidRPr="000D6DD8">
        <w:lastRenderedPageBreak/>
        <w:t>Part A</w:t>
      </w:r>
      <w:bookmarkEnd w:id="3"/>
    </w:p>
    <w:p w14:paraId="6A87C33A" w14:textId="77777777" w:rsidR="00844A7C" w:rsidRPr="000D6DD8" w:rsidRDefault="00844A7C" w:rsidP="00844A7C">
      <w:pPr>
        <w:pStyle w:val="Heading2"/>
        <w:numPr>
          <w:ilvl w:val="0"/>
          <w:numId w:val="4"/>
        </w:numPr>
        <w:spacing w:line="360" w:lineRule="auto"/>
        <w:ind w:left="180" w:hanging="180"/>
      </w:pPr>
      <w:bookmarkStart w:id="4" w:name="_Toc69374870"/>
      <w:r w:rsidRPr="000D6DD8">
        <w:t>Monthly Control Report</w:t>
      </w:r>
      <w:bookmarkEnd w:id="4"/>
    </w:p>
    <w:p w14:paraId="755986EC" w14:textId="77777777" w:rsidR="00844A7C" w:rsidRPr="000D6DD8" w:rsidRDefault="00844A7C" w:rsidP="00844A7C">
      <w:pPr>
        <w:spacing w:line="360" w:lineRule="auto"/>
        <w:jc w:val="both"/>
        <w:rPr>
          <w:rFonts w:cs="Times New Roman"/>
        </w:rPr>
      </w:pPr>
      <w:r w:rsidRPr="000D6DD8">
        <w:rPr>
          <w:rFonts w:cs="Times New Roman"/>
        </w:rPr>
        <w:t>A budget refers to a financial plan to enhance the financial success of an undertaking</w:t>
      </w:r>
      <w:r w:rsidRPr="000D6DD8">
        <w:rPr>
          <w:rFonts w:cs="Times New Roman"/>
          <w:color w:val="222222"/>
          <w:szCs w:val="24"/>
          <w:shd w:val="clear" w:color="auto" w:fill="FFFFFF"/>
        </w:rPr>
        <w:t xml:space="preserve"> (Singer, 2010)</w:t>
      </w:r>
      <w:r w:rsidRPr="000D6DD8">
        <w:rPr>
          <w:rFonts w:cs="Times New Roman"/>
        </w:rPr>
        <w:t>. Besides, a budget means an estimation of revenues and expenses for a certain future period which is done by governments, businesses, and individuals (</w:t>
      </w:r>
      <w:r w:rsidRPr="000D6DD8">
        <w:rPr>
          <w:rFonts w:cs="Times New Roman"/>
          <w:szCs w:val="24"/>
          <w:shd w:val="clear" w:color="auto" w:fill="FFFFFF"/>
        </w:rPr>
        <w:t>Cagliero et al, 2015)</w:t>
      </w:r>
      <w:r w:rsidRPr="000D6DD8">
        <w:rPr>
          <w:rFonts w:cs="Times New Roman"/>
        </w:rPr>
        <w:t>.</w:t>
      </w:r>
    </w:p>
    <w:p w14:paraId="0699F96F" w14:textId="77777777" w:rsidR="00844A7C" w:rsidRPr="000D6DD8" w:rsidRDefault="00844A7C" w:rsidP="00844A7C">
      <w:pPr>
        <w:spacing w:line="360" w:lineRule="auto"/>
        <w:jc w:val="both"/>
        <w:rPr>
          <w:rFonts w:cs="Times New Roman"/>
        </w:rPr>
      </w:pPr>
      <w:r w:rsidRPr="000D6DD8">
        <w:rPr>
          <w:rFonts w:cs="Times New Roman"/>
        </w:rPr>
        <w:t>Budgets can be divided into a) Original Budget and b) Flexible Budget.</w:t>
      </w:r>
    </w:p>
    <w:p w14:paraId="5C02C7CD" w14:textId="77777777" w:rsidR="00844A7C" w:rsidRPr="000D6DD8" w:rsidRDefault="00844A7C" w:rsidP="00844A7C">
      <w:pPr>
        <w:spacing w:line="360" w:lineRule="auto"/>
        <w:jc w:val="both"/>
        <w:rPr>
          <w:rFonts w:cs="Times New Roman"/>
        </w:rPr>
      </w:pPr>
      <w:r w:rsidRPr="000D6DD8">
        <w:rPr>
          <w:rFonts w:cs="Times New Roman"/>
        </w:rPr>
        <w:t>An Original Budget refers to a budget that is prepared for only one level of activity</w:t>
      </w:r>
      <w:r w:rsidRPr="000D6DD8">
        <w:rPr>
          <w:rFonts w:cs="Times New Roman"/>
          <w:color w:val="222222"/>
          <w:szCs w:val="24"/>
          <w:shd w:val="clear" w:color="auto" w:fill="FFFFFF"/>
        </w:rPr>
        <w:t xml:space="preserve"> (Berman, 2015)</w:t>
      </w:r>
      <w:r w:rsidRPr="000D6DD8">
        <w:rPr>
          <w:rFonts w:cs="Times New Roman"/>
        </w:rPr>
        <w:t>. It is prepared at the beginning of the budgeting period which is made for a planned level of activity (</w:t>
      </w:r>
      <w:r w:rsidRPr="000D6DD8">
        <w:rPr>
          <w:rFonts w:cs="Times New Roman"/>
          <w:szCs w:val="24"/>
          <w:shd w:val="clear" w:color="auto" w:fill="FFFFFF"/>
        </w:rPr>
        <w:t>Slutsky and Ragusa, 2012)</w:t>
      </w:r>
      <w:r w:rsidRPr="000D6DD8">
        <w:rPr>
          <w:rFonts w:cs="Times New Roman"/>
        </w:rPr>
        <w:t xml:space="preserve">. But this is not sufficient for evaluating the cost control system. That’s why another type of budget has been introduced to correct by eliminating the limitations of the original budget. </w:t>
      </w:r>
    </w:p>
    <w:p w14:paraId="71B7F151" w14:textId="77777777" w:rsidR="00844A7C" w:rsidRPr="000D6DD8" w:rsidRDefault="00844A7C" w:rsidP="00844A7C">
      <w:pPr>
        <w:spacing w:line="360" w:lineRule="auto"/>
        <w:jc w:val="both"/>
        <w:rPr>
          <w:rFonts w:cs="Times New Roman"/>
        </w:rPr>
      </w:pPr>
      <w:r w:rsidRPr="000D6DD8">
        <w:rPr>
          <w:rFonts w:cs="Times New Roman"/>
        </w:rPr>
        <w:t>A flexible budget refers to a budget showing different levels of revenues and expenses based on the amount of sales activity that occurs (</w:t>
      </w:r>
      <w:r w:rsidRPr="000D6DD8">
        <w:rPr>
          <w:rFonts w:cs="Times New Roman"/>
          <w:szCs w:val="24"/>
          <w:shd w:val="clear" w:color="auto" w:fill="FFFFFF"/>
        </w:rPr>
        <w:t>Radu and Giju, 2015)</w:t>
      </w:r>
      <w:r w:rsidRPr="000D6DD8">
        <w:rPr>
          <w:rFonts w:cs="Times New Roman"/>
        </w:rPr>
        <w:t>. Normally actual revenues and expenses are put into a flexible budget model that generates the budgeted revenues and expenses automatically based on the formula given earlier. It is a budget subject to a change of operational level of activity (</w:t>
      </w:r>
      <w:r w:rsidRPr="000D6DD8">
        <w:rPr>
          <w:rFonts w:cs="Times New Roman"/>
          <w:color w:val="222222"/>
          <w:szCs w:val="24"/>
          <w:shd w:val="clear" w:color="auto" w:fill="FFFFFF"/>
        </w:rPr>
        <w:t>Maher, Fakhar and Karimi, 2018)</w:t>
      </w:r>
      <w:r w:rsidRPr="000D6DD8">
        <w:rPr>
          <w:rFonts w:cs="Times New Roman"/>
        </w:rPr>
        <w:t>. Due to the seasonal fluctuations, industries going on introducing new products, industries coping up with changes in fashions or general changes in sales, flexible budgets are prepared (</w:t>
      </w:r>
      <w:r w:rsidRPr="000D6DD8">
        <w:rPr>
          <w:rFonts w:cs="Times New Roman"/>
          <w:szCs w:val="24"/>
          <w:shd w:val="clear" w:color="auto" w:fill="FFFFFF"/>
        </w:rPr>
        <w:t>Nazarova, 2013)</w:t>
      </w:r>
      <w:r w:rsidRPr="000D6DD8">
        <w:rPr>
          <w:rFonts w:cs="Times New Roman"/>
        </w:rPr>
        <w:t>.</w:t>
      </w:r>
    </w:p>
    <w:p w14:paraId="38B19535" w14:textId="77777777" w:rsidR="00844A7C" w:rsidRPr="000D6DD8" w:rsidRDefault="00844A7C" w:rsidP="00844A7C">
      <w:pPr>
        <w:spacing w:line="360" w:lineRule="auto"/>
        <w:jc w:val="both"/>
        <w:rPr>
          <w:rFonts w:cs="Times New Roman"/>
        </w:rPr>
      </w:pPr>
      <w:r w:rsidRPr="000D6DD8">
        <w:rPr>
          <w:rFonts w:cs="Times New Roman"/>
        </w:rPr>
        <w:t>The monthly control report of Amana Ltd showing original budget, Flexed Budget, and Variances is given below-</w:t>
      </w:r>
    </w:p>
    <w:p w14:paraId="0FB5D192" w14:textId="77777777" w:rsidR="00844A7C" w:rsidRPr="000D6DD8" w:rsidRDefault="00844A7C" w:rsidP="00844A7C">
      <w:pPr>
        <w:spacing w:line="360" w:lineRule="auto"/>
        <w:jc w:val="both"/>
        <w:rPr>
          <w:rFonts w:cs="Times New Roman"/>
        </w:rPr>
      </w:pPr>
    </w:p>
    <w:p w14:paraId="4D35942C" w14:textId="77777777" w:rsidR="00844A7C" w:rsidRPr="000D6DD8" w:rsidRDefault="00844A7C" w:rsidP="00844A7C">
      <w:pPr>
        <w:spacing w:line="360" w:lineRule="auto"/>
        <w:jc w:val="both"/>
        <w:rPr>
          <w:rFonts w:cs="Times New Roman"/>
        </w:rPr>
      </w:pPr>
    </w:p>
    <w:p w14:paraId="1B82366D" w14:textId="77777777" w:rsidR="00844A7C" w:rsidRPr="000D6DD8" w:rsidRDefault="00844A7C" w:rsidP="00844A7C">
      <w:pPr>
        <w:spacing w:line="360" w:lineRule="auto"/>
        <w:jc w:val="both"/>
        <w:rPr>
          <w:rFonts w:cs="Times New Roman"/>
        </w:rPr>
      </w:pPr>
    </w:p>
    <w:p w14:paraId="6D6EB04A" w14:textId="77777777" w:rsidR="00844A7C" w:rsidRPr="000D6DD8" w:rsidRDefault="00844A7C" w:rsidP="00844A7C">
      <w:pPr>
        <w:spacing w:line="360" w:lineRule="auto"/>
        <w:jc w:val="both"/>
        <w:rPr>
          <w:rFonts w:cs="Times New Roman"/>
        </w:rPr>
      </w:pPr>
    </w:p>
    <w:p w14:paraId="4A6DE5AB" w14:textId="77777777" w:rsidR="00844A7C" w:rsidRPr="000D6DD8" w:rsidRDefault="00844A7C" w:rsidP="00844A7C">
      <w:pPr>
        <w:spacing w:line="360" w:lineRule="auto"/>
        <w:jc w:val="both"/>
        <w:rPr>
          <w:rFonts w:cs="Times New Roman"/>
        </w:rPr>
      </w:pPr>
    </w:p>
    <w:p w14:paraId="7510A26A" w14:textId="77777777" w:rsidR="00844A7C" w:rsidRPr="000D6DD8" w:rsidRDefault="00844A7C" w:rsidP="00844A7C">
      <w:pPr>
        <w:spacing w:line="360" w:lineRule="auto"/>
        <w:jc w:val="both"/>
        <w:rPr>
          <w:rFonts w:cs="Times New Roman"/>
        </w:rPr>
      </w:pPr>
    </w:p>
    <w:p w14:paraId="1A33BFC9" w14:textId="77777777" w:rsidR="00844A7C" w:rsidRPr="000D6DD8" w:rsidRDefault="00844A7C" w:rsidP="00844A7C">
      <w:pPr>
        <w:spacing w:line="240" w:lineRule="auto"/>
        <w:jc w:val="center"/>
        <w:rPr>
          <w:rFonts w:cs="Times New Roman"/>
        </w:rPr>
      </w:pPr>
      <w:r w:rsidRPr="000D6DD8">
        <w:rPr>
          <w:rFonts w:cs="Times New Roman"/>
        </w:rPr>
        <w:lastRenderedPageBreak/>
        <w:t>Amana Ltd</w:t>
      </w:r>
    </w:p>
    <w:p w14:paraId="4E513E7C" w14:textId="77777777" w:rsidR="00844A7C" w:rsidRPr="000D6DD8" w:rsidRDefault="00844A7C" w:rsidP="00844A7C">
      <w:pPr>
        <w:spacing w:line="240" w:lineRule="auto"/>
        <w:jc w:val="center"/>
        <w:rPr>
          <w:rFonts w:cs="Times New Roman"/>
        </w:rPr>
      </w:pPr>
      <w:r w:rsidRPr="000D6DD8">
        <w:rPr>
          <w:rFonts w:cs="Times New Roman"/>
        </w:rPr>
        <w:t>Monthly Control Report</w:t>
      </w:r>
    </w:p>
    <w:tbl>
      <w:tblPr>
        <w:tblW w:w="9592" w:type="dxa"/>
        <w:jc w:val="center"/>
        <w:tblLayout w:type="fixed"/>
        <w:tblLook w:val="04A0" w:firstRow="1" w:lastRow="0" w:firstColumn="1" w:lastColumn="0" w:noHBand="0" w:noVBand="1"/>
      </w:tblPr>
      <w:tblGrid>
        <w:gridCol w:w="2212"/>
        <w:gridCol w:w="1110"/>
        <w:gridCol w:w="1230"/>
        <w:gridCol w:w="1170"/>
        <w:gridCol w:w="1260"/>
        <w:gridCol w:w="1260"/>
        <w:gridCol w:w="1350"/>
      </w:tblGrid>
      <w:tr w:rsidR="00844A7C" w:rsidRPr="000D6DD8" w14:paraId="5DD8F377" w14:textId="77777777" w:rsidTr="00C33B4A">
        <w:trPr>
          <w:trHeight w:val="300"/>
          <w:jc w:val="center"/>
        </w:trPr>
        <w:tc>
          <w:tcPr>
            <w:tcW w:w="9592"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D70B4B" w14:textId="77777777" w:rsidR="00844A7C" w:rsidRPr="000D6DD8" w:rsidRDefault="00844A7C" w:rsidP="00C33B4A">
            <w:pPr>
              <w:spacing w:after="0" w:line="240" w:lineRule="auto"/>
              <w:jc w:val="center"/>
              <w:rPr>
                <w:rFonts w:eastAsia="Times New Roman" w:cs="Times New Roman"/>
                <w:b/>
                <w:bCs/>
                <w:sz w:val="22"/>
              </w:rPr>
            </w:pPr>
            <w:r w:rsidRPr="000D6DD8">
              <w:rPr>
                <w:rFonts w:eastAsia="Times New Roman" w:cs="Times New Roman"/>
                <w:b/>
                <w:bCs/>
                <w:sz w:val="22"/>
              </w:rPr>
              <w:t>Flexed Budgets (</w:t>
            </w:r>
            <w:r w:rsidRPr="000D6DD8">
              <w:rPr>
                <w:rFonts w:cs="Times New Roman"/>
                <w:b/>
              </w:rPr>
              <w:t>£)</w:t>
            </w:r>
          </w:p>
        </w:tc>
      </w:tr>
      <w:tr w:rsidR="00844A7C" w:rsidRPr="000D6DD8" w14:paraId="7E3381A9" w14:textId="77777777" w:rsidTr="00C33B4A">
        <w:trPr>
          <w:trHeight w:val="585"/>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67011769"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Particulars</w:t>
            </w:r>
          </w:p>
        </w:tc>
        <w:tc>
          <w:tcPr>
            <w:tcW w:w="1110" w:type="dxa"/>
            <w:tcBorders>
              <w:top w:val="nil"/>
              <w:left w:val="nil"/>
              <w:bottom w:val="single" w:sz="4" w:space="0" w:color="auto"/>
              <w:right w:val="single" w:sz="4" w:space="0" w:color="auto"/>
            </w:tcBorders>
            <w:shd w:val="clear" w:color="auto" w:fill="auto"/>
            <w:noWrap/>
            <w:vAlign w:val="bottom"/>
            <w:hideMark/>
          </w:tcPr>
          <w:p w14:paraId="2FEC08AA"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50%</w:t>
            </w:r>
          </w:p>
        </w:tc>
        <w:tc>
          <w:tcPr>
            <w:tcW w:w="1230" w:type="dxa"/>
            <w:tcBorders>
              <w:top w:val="nil"/>
              <w:left w:val="nil"/>
              <w:bottom w:val="single" w:sz="4" w:space="0" w:color="auto"/>
              <w:right w:val="single" w:sz="4" w:space="0" w:color="auto"/>
            </w:tcBorders>
            <w:shd w:val="clear" w:color="auto" w:fill="auto"/>
            <w:noWrap/>
            <w:vAlign w:val="bottom"/>
            <w:hideMark/>
          </w:tcPr>
          <w:p w14:paraId="0D151C5B"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60%</w:t>
            </w:r>
          </w:p>
        </w:tc>
        <w:tc>
          <w:tcPr>
            <w:tcW w:w="1170" w:type="dxa"/>
            <w:tcBorders>
              <w:top w:val="nil"/>
              <w:left w:val="nil"/>
              <w:bottom w:val="single" w:sz="4" w:space="0" w:color="auto"/>
              <w:right w:val="single" w:sz="4" w:space="0" w:color="auto"/>
            </w:tcBorders>
            <w:shd w:val="clear" w:color="auto" w:fill="auto"/>
            <w:noWrap/>
            <w:vAlign w:val="bottom"/>
            <w:hideMark/>
          </w:tcPr>
          <w:p w14:paraId="7DED842E"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70%</w:t>
            </w:r>
          </w:p>
        </w:tc>
        <w:tc>
          <w:tcPr>
            <w:tcW w:w="1260" w:type="dxa"/>
            <w:tcBorders>
              <w:top w:val="nil"/>
              <w:left w:val="nil"/>
              <w:bottom w:val="single" w:sz="4" w:space="0" w:color="auto"/>
              <w:right w:val="single" w:sz="4" w:space="0" w:color="auto"/>
            </w:tcBorders>
            <w:shd w:val="clear" w:color="auto" w:fill="auto"/>
            <w:noWrap/>
            <w:vAlign w:val="bottom"/>
            <w:hideMark/>
          </w:tcPr>
          <w:p w14:paraId="1BF4D099"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80%</w:t>
            </w:r>
          </w:p>
        </w:tc>
        <w:tc>
          <w:tcPr>
            <w:tcW w:w="1260" w:type="dxa"/>
            <w:tcBorders>
              <w:top w:val="nil"/>
              <w:left w:val="nil"/>
              <w:bottom w:val="single" w:sz="4" w:space="0" w:color="auto"/>
              <w:right w:val="single" w:sz="4" w:space="0" w:color="auto"/>
            </w:tcBorders>
            <w:shd w:val="clear" w:color="auto" w:fill="auto"/>
            <w:noWrap/>
            <w:vAlign w:val="bottom"/>
            <w:hideMark/>
          </w:tcPr>
          <w:p w14:paraId="19F3490A"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90%</w:t>
            </w:r>
          </w:p>
        </w:tc>
        <w:tc>
          <w:tcPr>
            <w:tcW w:w="1350" w:type="dxa"/>
            <w:tcBorders>
              <w:top w:val="nil"/>
              <w:left w:val="nil"/>
              <w:bottom w:val="single" w:sz="4" w:space="0" w:color="auto"/>
              <w:right w:val="single" w:sz="4" w:space="0" w:color="auto"/>
            </w:tcBorders>
            <w:shd w:val="clear" w:color="auto" w:fill="auto"/>
            <w:vAlign w:val="bottom"/>
            <w:hideMark/>
          </w:tcPr>
          <w:p w14:paraId="2545B4BD"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100%/Original Budget</w:t>
            </w:r>
          </w:p>
        </w:tc>
      </w:tr>
      <w:tr w:rsidR="00844A7C" w:rsidRPr="000D6DD8" w14:paraId="278F1735"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190229C8"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Units</w:t>
            </w:r>
          </w:p>
        </w:tc>
        <w:tc>
          <w:tcPr>
            <w:tcW w:w="1110" w:type="dxa"/>
            <w:tcBorders>
              <w:top w:val="nil"/>
              <w:left w:val="nil"/>
              <w:bottom w:val="single" w:sz="4" w:space="0" w:color="auto"/>
              <w:right w:val="single" w:sz="4" w:space="0" w:color="auto"/>
            </w:tcBorders>
            <w:shd w:val="clear" w:color="auto" w:fill="auto"/>
            <w:noWrap/>
            <w:vAlign w:val="bottom"/>
            <w:hideMark/>
          </w:tcPr>
          <w:p w14:paraId="03099B07"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c>
          <w:tcPr>
            <w:tcW w:w="1230" w:type="dxa"/>
            <w:tcBorders>
              <w:top w:val="nil"/>
              <w:left w:val="nil"/>
              <w:bottom w:val="single" w:sz="4" w:space="0" w:color="auto"/>
              <w:right w:val="single" w:sz="4" w:space="0" w:color="auto"/>
            </w:tcBorders>
            <w:shd w:val="clear" w:color="auto" w:fill="auto"/>
            <w:noWrap/>
            <w:vAlign w:val="bottom"/>
            <w:hideMark/>
          </w:tcPr>
          <w:p w14:paraId="228D05F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60,000 </w:t>
            </w:r>
          </w:p>
        </w:tc>
        <w:tc>
          <w:tcPr>
            <w:tcW w:w="1170" w:type="dxa"/>
            <w:tcBorders>
              <w:top w:val="nil"/>
              <w:left w:val="nil"/>
              <w:bottom w:val="single" w:sz="4" w:space="0" w:color="auto"/>
              <w:right w:val="single" w:sz="4" w:space="0" w:color="auto"/>
            </w:tcBorders>
            <w:shd w:val="clear" w:color="auto" w:fill="auto"/>
            <w:noWrap/>
            <w:vAlign w:val="bottom"/>
            <w:hideMark/>
          </w:tcPr>
          <w:p w14:paraId="172A342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70,000 </w:t>
            </w:r>
          </w:p>
        </w:tc>
        <w:tc>
          <w:tcPr>
            <w:tcW w:w="1260" w:type="dxa"/>
            <w:tcBorders>
              <w:top w:val="nil"/>
              <w:left w:val="nil"/>
              <w:bottom w:val="single" w:sz="4" w:space="0" w:color="auto"/>
              <w:right w:val="single" w:sz="4" w:space="0" w:color="auto"/>
            </w:tcBorders>
            <w:shd w:val="clear" w:color="auto" w:fill="auto"/>
            <w:noWrap/>
            <w:vAlign w:val="bottom"/>
            <w:hideMark/>
          </w:tcPr>
          <w:p w14:paraId="491F1308"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80,000 </w:t>
            </w:r>
          </w:p>
        </w:tc>
        <w:tc>
          <w:tcPr>
            <w:tcW w:w="1260" w:type="dxa"/>
            <w:tcBorders>
              <w:top w:val="nil"/>
              <w:left w:val="nil"/>
              <w:bottom w:val="single" w:sz="4" w:space="0" w:color="auto"/>
              <w:right w:val="single" w:sz="4" w:space="0" w:color="auto"/>
            </w:tcBorders>
            <w:shd w:val="clear" w:color="auto" w:fill="auto"/>
            <w:noWrap/>
            <w:vAlign w:val="bottom"/>
            <w:hideMark/>
          </w:tcPr>
          <w:p w14:paraId="4829FE76"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90,000 </w:t>
            </w:r>
          </w:p>
        </w:tc>
        <w:tc>
          <w:tcPr>
            <w:tcW w:w="1350" w:type="dxa"/>
            <w:tcBorders>
              <w:top w:val="nil"/>
              <w:left w:val="nil"/>
              <w:bottom w:val="single" w:sz="4" w:space="0" w:color="auto"/>
              <w:right w:val="single" w:sz="4" w:space="0" w:color="auto"/>
            </w:tcBorders>
            <w:shd w:val="clear" w:color="auto" w:fill="auto"/>
            <w:noWrap/>
            <w:vAlign w:val="bottom"/>
            <w:hideMark/>
          </w:tcPr>
          <w:p w14:paraId="0E13C591"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r>
      <w:tr w:rsidR="00844A7C" w:rsidRPr="000D6DD8" w14:paraId="704D490D"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377A0354"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Sales</w:t>
            </w:r>
          </w:p>
        </w:tc>
        <w:tc>
          <w:tcPr>
            <w:tcW w:w="1110" w:type="dxa"/>
            <w:tcBorders>
              <w:top w:val="nil"/>
              <w:left w:val="nil"/>
              <w:bottom w:val="single" w:sz="4" w:space="0" w:color="auto"/>
              <w:right w:val="single" w:sz="4" w:space="0" w:color="auto"/>
            </w:tcBorders>
            <w:shd w:val="clear" w:color="auto" w:fill="auto"/>
            <w:noWrap/>
            <w:vAlign w:val="bottom"/>
            <w:hideMark/>
          </w:tcPr>
          <w:p w14:paraId="5EDE7465"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1,250,000 </w:t>
            </w:r>
          </w:p>
        </w:tc>
        <w:tc>
          <w:tcPr>
            <w:tcW w:w="1230" w:type="dxa"/>
            <w:tcBorders>
              <w:top w:val="nil"/>
              <w:left w:val="nil"/>
              <w:bottom w:val="single" w:sz="4" w:space="0" w:color="auto"/>
              <w:right w:val="single" w:sz="4" w:space="0" w:color="auto"/>
            </w:tcBorders>
            <w:shd w:val="clear" w:color="auto" w:fill="auto"/>
            <w:noWrap/>
            <w:vAlign w:val="bottom"/>
            <w:hideMark/>
          </w:tcPr>
          <w:p w14:paraId="17244074"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1,500,000 </w:t>
            </w:r>
          </w:p>
        </w:tc>
        <w:tc>
          <w:tcPr>
            <w:tcW w:w="1170" w:type="dxa"/>
            <w:tcBorders>
              <w:top w:val="nil"/>
              <w:left w:val="nil"/>
              <w:bottom w:val="single" w:sz="4" w:space="0" w:color="auto"/>
              <w:right w:val="single" w:sz="4" w:space="0" w:color="auto"/>
            </w:tcBorders>
            <w:shd w:val="clear" w:color="auto" w:fill="auto"/>
            <w:noWrap/>
            <w:vAlign w:val="bottom"/>
            <w:hideMark/>
          </w:tcPr>
          <w:p w14:paraId="64C95BFC"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1,750,000 </w:t>
            </w:r>
          </w:p>
        </w:tc>
        <w:tc>
          <w:tcPr>
            <w:tcW w:w="1260" w:type="dxa"/>
            <w:tcBorders>
              <w:top w:val="nil"/>
              <w:left w:val="nil"/>
              <w:bottom w:val="single" w:sz="4" w:space="0" w:color="auto"/>
              <w:right w:val="single" w:sz="4" w:space="0" w:color="auto"/>
            </w:tcBorders>
            <w:shd w:val="clear" w:color="auto" w:fill="auto"/>
            <w:noWrap/>
            <w:vAlign w:val="bottom"/>
            <w:hideMark/>
          </w:tcPr>
          <w:p w14:paraId="1BDAB515"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2,000,000 </w:t>
            </w:r>
          </w:p>
        </w:tc>
        <w:tc>
          <w:tcPr>
            <w:tcW w:w="1260" w:type="dxa"/>
            <w:tcBorders>
              <w:top w:val="nil"/>
              <w:left w:val="nil"/>
              <w:bottom w:val="single" w:sz="4" w:space="0" w:color="auto"/>
              <w:right w:val="single" w:sz="4" w:space="0" w:color="auto"/>
            </w:tcBorders>
            <w:shd w:val="clear" w:color="auto" w:fill="auto"/>
            <w:noWrap/>
            <w:vAlign w:val="bottom"/>
            <w:hideMark/>
          </w:tcPr>
          <w:p w14:paraId="306194A3"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2,250,000 </w:t>
            </w:r>
          </w:p>
        </w:tc>
        <w:tc>
          <w:tcPr>
            <w:tcW w:w="1350" w:type="dxa"/>
            <w:tcBorders>
              <w:top w:val="nil"/>
              <w:left w:val="nil"/>
              <w:bottom w:val="single" w:sz="4" w:space="0" w:color="auto"/>
              <w:right w:val="single" w:sz="4" w:space="0" w:color="auto"/>
            </w:tcBorders>
            <w:shd w:val="clear" w:color="auto" w:fill="auto"/>
            <w:noWrap/>
            <w:vAlign w:val="bottom"/>
            <w:hideMark/>
          </w:tcPr>
          <w:p w14:paraId="2A8FF8EC"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2,500,000 </w:t>
            </w:r>
          </w:p>
        </w:tc>
      </w:tr>
      <w:tr w:rsidR="00844A7C" w:rsidRPr="000D6DD8" w14:paraId="746E5F7C"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5FF87753"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Variable Costs:</w:t>
            </w:r>
          </w:p>
        </w:tc>
        <w:tc>
          <w:tcPr>
            <w:tcW w:w="1110" w:type="dxa"/>
            <w:tcBorders>
              <w:top w:val="nil"/>
              <w:left w:val="nil"/>
              <w:bottom w:val="single" w:sz="4" w:space="0" w:color="auto"/>
              <w:right w:val="single" w:sz="4" w:space="0" w:color="auto"/>
            </w:tcBorders>
            <w:shd w:val="clear" w:color="auto" w:fill="auto"/>
            <w:noWrap/>
            <w:vAlign w:val="bottom"/>
            <w:hideMark/>
          </w:tcPr>
          <w:p w14:paraId="5A0691E1"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230" w:type="dxa"/>
            <w:tcBorders>
              <w:top w:val="nil"/>
              <w:left w:val="nil"/>
              <w:bottom w:val="single" w:sz="4" w:space="0" w:color="auto"/>
              <w:right w:val="single" w:sz="4" w:space="0" w:color="auto"/>
            </w:tcBorders>
            <w:shd w:val="clear" w:color="auto" w:fill="auto"/>
            <w:noWrap/>
            <w:vAlign w:val="bottom"/>
            <w:hideMark/>
          </w:tcPr>
          <w:p w14:paraId="49173FB3"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170" w:type="dxa"/>
            <w:tcBorders>
              <w:top w:val="nil"/>
              <w:left w:val="nil"/>
              <w:bottom w:val="single" w:sz="4" w:space="0" w:color="auto"/>
              <w:right w:val="single" w:sz="4" w:space="0" w:color="auto"/>
            </w:tcBorders>
            <w:shd w:val="clear" w:color="auto" w:fill="auto"/>
            <w:noWrap/>
            <w:vAlign w:val="bottom"/>
            <w:hideMark/>
          </w:tcPr>
          <w:p w14:paraId="1BF3A380"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6CD4276F"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21F9C78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0668902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r>
      <w:tr w:rsidR="00844A7C" w:rsidRPr="000D6DD8" w14:paraId="523C7858"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495210E8" w14:textId="77777777" w:rsidR="00844A7C" w:rsidRPr="000D6DD8" w:rsidRDefault="00844A7C" w:rsidP="00C33B4A">
            <w:pPr>
              <w:spacing w:after="0" w:line="240" w:lineRule="auto"/>
              <w:ind w:right="-38"/>
              <w:jc w:val="both"/>
              <w:rPr>
                <w:rFonts w:eastAsia="Times New Roman" w:cs="Times New Roman"/>
                <w:sz w:val="22"/>
              </w:rPr>
            </w:pPr>
            <w:r w:rsidRPr="000D6DD8">
              <w:rPr>
                <w:rFonts w:eastAsia="Times New Roman" w:cs="Times New Roman"/>
                <w:sz w:val="22"/>
              </w:rPr>
              <w:t>Materials</w:t>
            </w:r>
          </w:p>
        </w:tc>
        <w:tc>
          <w:tcPr>
            <w:tcW w:w="1110" w:type="dxa"/>
            <w:tcBorders>
              <w:top w:val="nil"/>
              <w:left w:val="nil"/>
              <w:bottom w:val="single" w:sz="4" w:space="0" w:color="auto"/>
              <w:right w:val="single" w:sz="4" w:space="0" w:color="auto"/>
            </w:tcBorders>
            <w:shd w:val="clear" w:color="auto" w:fill="auto"/>
            <w:noWrap/>
            <w:vAlign w:val="bottom"/>
            <w:hideMark/>
          </w:tcPr>
          <w:p w14:paraId="6C5F6DAB"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125,000 </w:t>
            </w:r>
          </w:p>
        </w:tc>
        <w:tc>
          <w:tcPr>
            <w:tcW w:w="1230" w:type="dxa"/>
            <w:tcBorders>
              <w:top w:val="nil"/>
              <w:left w:val="nil"/>
              <w:bottom w:val="single" w:sz="4" w:space="0" w:color="auto"/>
              <w:right w:val="single" w:sz="4" w:space="0" w:color="auto"/>
            </w:tcBorders>
            <w:shd w:val="clear" w:color="auto" w:fill="auto"/>
            <w:noWrap/>
            <w:vAlign w:val="bottom"/>
            <w:hideMark/>
          </w:tcPr>
          <w:p w14:paraId="23FF2DB6"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150,000 </w:t>
            </w:r>
          </w:p>
        </w:tc>
        <w:tc>
          <w:tcPr>
            <w:tcW w:w="1170" w:type="dxa"/>
            <w:tcBorders>
              <w:top w:val="nil"/>
              <w:left w:val="nil"/>
              <w:bottom w:val="single" w:sz="4" w:space="0" w:color="auto"/>
              <w:right w:val="single" w:sz="4" w:space="0" w:color="auto"/>
            </w:tcBorders>
            <w:shd w:val="clear" w:color="auto" w:fill="auto"/>
            <w:noWrap/>
            <w:vAlign w:val="bottom"/>
            <w:hideMark/>
          </w:tcPr>
          <w:p w14:paraId="0F896ADF"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175,000 </w:t>
            </w:r>
          </w:p>
        </w:tc>
        <w:tc>
          <w:tcPr>
            <w:tcW w:w="1260" w:type="dxa"/>
            <w:tcBorders>
              <w:top w:val="nil"/>
              <w:left w:val="nil"/>
              <w:bottom w:val="single" w:sz="4" w:space="0" w:color="auto"/>
              <w:right w:val="single" w:sz="4" w:space="0" w:color="auto"/>
            </w:tcBorders>
            <w:shd w:val="clear" w:color="auto" w:fill="auto"/>
            <w:noWrap/>
            <w:vAlign w:val="bottom"/>
            <w:hideMark/>
          </w:tcPr>
          <w:p w14:paraId="25D5B8FE"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260" w:type="dxa"/>
            <w:tcBorders>
              <w:top w:val="nil"/>
              <w:left w:val="nil"/>
              <w:bottom w:val="single" w:sz="4" w:space="0" w:color="auto"/>
              <w:right w:val="single" w:sz="4" w:space="0" w:color="auto"/>
            </w:tcBorders>
            <w:shd w:val="clear" w:color="auto" w:fill="auto"/>
            <w:noWrap/>
            <w:vAlign w:val="bottom"/>
            <w:hideMark/>
          </w:tcPr>
          <w:p w14:paraId="1326A2CC"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225,000 </w:t>
            </w:r>
          </w:p>
        </w:tc>
        <w:tc>
          <w:tcPr>
            <w:tcW w:w="1350" w:type="dxa"/>
            <w:tcBorders>
              <w:top w:val="nil"/>
              <w:left w:val="nil"/>
              <w:bottom w:val="single" w:sz="4" w:space="0" w:color="auto"/>
              <w:right w:val="single" w:sz="4" w:space="0" w:color="auto"/>
            </w:tcBorders>
            <w:shd w:val="clear" w:color="auto" w:fill="auto"/>
            <w:noWrap/>
            <w:vAlign w:val="bottom"/>
            <w:hideMark/>
          </w:tcPr>
          <w:p w14:paraId="4C401A4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250,000 </w:t>
            </w:r>
          </w:p>
        </w:tc>
      </w:tr>
      <w:tr w:rsidR="00844A7C" w:rsidRPr="000D6DD8" w14:paraId="44971DD0"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74E1B968"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Labour</w:t>
            </w:r>
          </w:p>
        </w:tc>
        <w:tc>
          <w:tcPr>
            <w:tcW w:w="1110" w:type="dxa"/>
            <w:tcBorders>
              <w:top w:val="nil"/>
              <w:left w:val="nil"/>
              <w:bottom w:val="single" w:sz="4" w:space="0" w:color="auto"/>
              <w:right w:val="single" w:sz="4" w:space="0" w:color="auto"/>
            </w:tcBorders>
            <w:shd w:val="clear" w:color="auto" w:fill="auto"/>
            <w:noWrap/>
            <w:vAlign w:val="bottom"/>
            <w:hideMark/>
          </w:tcPr>
          <w:p w14:paraId="1292CB23"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230" w:type="dxa"/>
            <w:tcBorders>
              <w:top w:val="nil"/>
              <w:left w:val="nil"/>
              <w:bottom w:val="single" w:sz="4" w:space="0" w:color="auto"/>
              <w:right w:val="single" w:sz="4" w:space="0" w:color="auto"/>
            </w:tcBorders>
            <w:shd w:val="clear" w:color="auto" w:fill="auto"/>
            <w:noWrap/>
            <w:vAlign w:val="bottom"/>
            <w:hideMark/>
          </w:tcPr>
          <w:p w14:paraId="2487B70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240,000 </w:t>
            </w:r>
          </w:p>
        </w:tc>
        <w:tc>
          <w:tcPr>
            <w:tcW w:w="1170" w:type="dxa"/>
            <w:tcBorders>
              <w:top w:val="nil"/>
              <w:left w:val="nil"/>
              <w:bottom w:val="single" w:sz="4" w:space="0" w:color="auto"/>
              <w:right w:val="single" w:sz="4" w:space="0" w:color="auto"/>
            </w:tcBorders>
            <w:shd w:val="clear" w:color="auto" w:fill="auto"/>
            <w:noWrap/>
            <w:vAlign w:val="bottom"/>
            <w:hideMark/>
          </w:tcPr>
          <w:p w14:paraId="0585AC6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280,000 </w:t>
            </w:r>
          </w:p>
        </w:tc>
        <w:tc>
          <w:tcPr>
            <w:tcW w:w="1260" w:type="dxa"/>
            <w:tcBorders>
              <w:top w:val="nil"/>
              <w:left w:val="nil"/>
              <w:bottom w:val="single" w:sz="4" w:space="0" w:color="auto"/>
              <w:right w:val="single" w:sz="4" w:space="0" w:color="auto"/>
            </w:tcBorders>
            <w:shd w:val="clear" w:color="auto" w:fill="auto"/>
            <w:noWrap/>
            <w:vAlign w:val="bottom"/>
            <w:hideMark/>
          </w:tcPr>
          <w:p w14:paraId="74331CD1"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320,000 </w:t>
            </w:r>
          </w:p>
        </w:tc>
        <w:tc>
          <w:tcPr>
            <w:tcW w:w="1260" w:type="dxa"/>
            <w:tcBorders>
              <w:top w:val="nil"/>
              <w:left w:val="nil"/>
              <w:bottom w:val="single" w:sz="4" w:space="0" w:color="auto"/>
              <w:right w:val="single" w:sz="4" w:space="0" w:color="auto"/>
            </w:tcBorders>
            <w:shd w:val="clear" w:color="auto" w:fill="auto"/>
            <w:noWrap/>
            <w:vAlign w:val="bottom"/>
            <w:hideMark/>
          </w:tcPr>
          <w:p w14:paraId="67E5695F"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360,000 </w:t>
            </w:r>
          </w:p>
        </w:tc>
        <w:tc>
          <w:tcPr>
            <w:tcW w:w="1350" w:type="dxa"/>
            <w:tcBorders>
              <w:top w:val="nil"/>
              <w:left w:val="nil"/>
              <w:bottom w:val="single" w:sz="4" w:space="0" w:color="auto"/>
              <w:right w:val="single" w:sz="4" w:space="0" w:color="auto"/>
            </w:tcBorders>
            <w:shd w:val="clear" w:color="auto" w:fill="auto"/>
            <w:noWrap/>
            <w:vAlign w:val="bottom"/>
            <w:hideMark/>
          </w:tcPr>
          <w:p w14:paraId="67084DA2"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400,000 </w:t>
            </w:r>
          </w:p>
        </w:tc>
      </w:tr>
      <w:tr w:rsidR="00844A7C" w:rsidRPr="000D6DD8" w14:paraId="16840D84"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745F85DB"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Overhead</w:t>
            </w:r>
          </w:p>
        </w:tc>
        <w:tc>
          <w:tcPr>
            <w:tcW w:w="1110" w:type="dxa"/>
            <w:tcBorders>
              <w:top w:val="nil"/>
              <w:left w:val="nil"/>
              <w:bottom w:val="single" w:sz="4" w:space="0" w:color="auto"/>
              <w:right w:val="single" w:sz="4" w:space="0" w:color="auto"/>
            </w:tcBorders>
            <w:shd w:val="clear" w:color="auto" w:fill="auto"/>
            <w:noWrap/>
            <w:vAlign w:val="bottom"/>
            <w:hideMark/>
          </w:tcPr>
          <w:p w14:paraId="0F9F25D6"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75,000 </w:t>
            </w:r>
          </w:p>
        </w:tc>
        <w:tc>
          <w:tcPr>
            <w:tcW w:w="1230" w:type="dxa"/>
            <w:tcBorders>
              <w:top w:val="nil"/>
              <w:left w:val="nil"/>
              <w:bottom w:val="single" w:sz="4" w:space="0" w:color="auto"/>
              <w:right w:val="single" w:sz="4" w:space="0" w:color="auto"/>
            </w:tcBorders>
            <w:shd w:val="clear" w:color="auto" w:fill="auto"/>
            <w:noWrap/>
            <w:vAlign w:val="bottom"/>
            <w:hideMark/>
          </w:tcPr>
          <w:p w14:paraId="677B3F35"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90,000 </w:t>
            </w:r>
          </w:p>
        </w:tc>
        <w:tc>
          <w:tcPr>
            <w:tcW w:w="1170" w:type="dxa"/>
            <w:tcBorders>
              <w:top w:val="nil"/>
              <w:left w:val="nil"/>
              <w:bottom w:val="single" w:sz="4" w:space="0" w:color="auto"/>
              <w:right w:val="single" w:sz="4" w:space="0" w:color="auto"/>
            </w:tcBorders>
            <w:shd w:val="clear" w:color="auto" w:fill="auto"/>
            <w:noWrap/>
            <w:vAlign w:val="bottom"/>
            <w:hideMark/>
          </w:tcPr>
          <w:p w14:paraId="7E34C47E"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105,000 </w:t>
            </w:r>
          </w:p>
        </w:tc>
        <w:tc>
          <w:tcPr>
            <w:tcW w:w="1260" w:type="dxa"/>
            <w:tcBorders>
              <w:top w:val="nil"/>
              <w:left w:val="nil"/>
              <w:bottom w:val="single" w:sz="4" w:space="0" w:color="auto"/>
              <w:right w:val="single" w:sz="4" w:space="0" w:color="auto"/>
            </w:tcBorders>
            <w:shd w:val="clear" w:color="auto" w:fill="auto"/>
            <w:noWrap/>
            <w:vAlign w:val="bottom"/>
            <w:hideMark/>
          </w:tcPr>
          <w:p w14:paraId="496319B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120,000 </w:t>
            </w:r>
          </w:p>
        </w:tc>
        <w:tc>
          <w:tcPr>
            <w:tcW w:w="1260" w:type="dxa"/>
            <w:tcBorders>
              <w:top w:val="nil"/>
              <w:left w:val="nil"/>
              <w:bottom w:val="single" w:sz="4" w:space="0" w:color="auto"/>
              <w:right w:val="single" w:sz="4" w:space="0" w:color="auto"/>
            </w:tcBorders>
            <w:shd w:val="clear" w:color="auto" w:fill="auto"/>
            <w:noWrap/>
            <w:vAlign w:val="bottom"/>
            <w:hideMark/>
          </w:tcPr>
          <w:p w14:paraId="79DEA31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135,000 </w:t>
            </w:r>
          </w:p>
        </w:tc>
        <w:tc>
          <w:tcPr>
            <w:tcW w:w="1350" w:type="dxa"/>
            <w:tcBorders>
              <w:top w:val="nil"/>
              <w:left w:val="nil"/>
              <w:bottom w:val="single" w:sz="4" w:space="0" w:color="auto"/>
              <w:right w:val="single" w:sz="4" w:space="0" w:color="auto"/>
            </w:tcBorders>
            <w:shd w:val="clear" w:color="auto" w:fill="auto"/>
            <w:noWrap/>
            <w:vAlign w:val="bottom"/>
            <w:hideMark/>
          </w:tcPr>
          <w:p w14:paraId="6D23EE90"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150,000 </w:t>
            </w:r>
          </w:p>
        </w:tc>
      </w:tr>
      <w:tr w:rsidR="00844A7C" w:rsidRPr="000D6DD8" w14:paraId="3D6C5647"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63073686"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Total Variable Costs</w:t>
            </w:r>
          </w:p>
        </w:tc>
        <w:tc>
          <w:tcPr>
            <w:tcW w:w="1110" w:type="dxa"/>
            <w:tcBorders>
              <w:top w:val="nil"/>
              <w:left w:val="nil"/>
              <w:bottom w:val="single" w:sz="4" w:space="0" w:color="auto"/>
              <w:right w:val="single" w:sz="4" w:space="0" w:color="auto"/>
            </w:tcBorders>
            <w:shd w:val="clear" w:color="auto" w:fill="auto"/>
            <w:noWrap/>
            <w:vAlign w:val="bottom"/>
            <w:hideMark/>
          </w:tcPr>
          <w:p w14:paraId="26C3AE03"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400,000 </w:t>
            </w:r>
          </w:p>
        </w:tc>
        <w:tc>
          <w:tcPr>
            <w:tcW w:w="1230" w:type="dxa"/>
            <w:tcBorders>
              <w:top w:val="nil"/>
              <w:left w:val="nil"/>
              <w:bottom w:val="single" w:sz="4" w:space="0" w:color="auto"/>
              <w:right w:val="single" w:sz="4" w:space="0" w:color="auto"/>
            </w:tcBorders>
            <w:shd w:val="clear" w:color="auto" w:fill="auto"/>
            <w:noWrap/>
            <w:vAlign w:val="bottom"/>
            <w:hideMark/>
          </w:tcPr>
          <w:p w14:paraId="3BF7822E"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480,000 </w:t>
            </w:r>
          </w:p>
        </w:tc>
        <w:tc>
          <w:tcPr>
            <w:tcW w:w="1170" w:type="dxa"/>
            <w:tcBorders>
              <w:top w:val="nil"/>
              <w:left w:val="nil"/>
              <w:bottom w:val="single" w:sz="4" w:space="0" w:color="auto"/>
              <w:right w:val="single" w:sz="4" w:space="0" w:color="auto"/>
            </w:tcBorders>
            <w:shd w:val="clear" w:color="auto" w:fill="auto"/>
            <w:noWrap/>
            <w:vAlign w:val="bottom"/>
            <w:hideMark/>
          </w:tcPr>
          <w:p w14:paraId="2149F76E"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560,000 </w:t>
            </w:r>
          </w:p>
        </w:tc>
        <w:tc>
          <w:tcPr>
            <w:tcW w:w="1260" w:type="dxa"/>
            <w:tcBorders>
              <w:top w:val="nil"/>
              <w:left w:val="nil"/>
              <w:bottom w:val="single" w:sz="4" w:space="0" w:color="auto"/>
              <w:right w:val="single" w:sz="4" w:space="0" w:color="auto"/>
            </w:tcBorders>
            <w:shd w:val="clear" w:color="auto" w:fill="auto"/>
            <w:noWrap/>
            <w:vAlign w:val="bottom"/>
            <w:hideMark/>
          </w:tcPr>
          <w:p w14:paraId="2DA5ECD6"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640,000 </w:t>
            </w:r>
          </w:p>
        </w:tc>
        <w:tc>
          <w:tcPr>
            <w:tcW w:w="1260" w:type="dxa"/>
            <w:tcBorders>
              <w:top w:val="nil"/>
              <w:left w:val="nil"/>
              <w:bottom w:val="single" w:sz="4" w:space="0" w:color="auto"/>
              <w:right w:val="single" w:sz="4" w:space="0" w:color="auto"/>
            </w:tcBorders>
            <w:shd w:val="clear" w:color="auto" w:fill="auto"/>
            <w:noWrap/>
            <w:vAlign w:val="bottom"/>
            <w:hideMark/>
          </w:tcPr>
          <w:p w14:paraId="517B9838"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720,000 </w:t>
            </w:r>
          </w:p>
        </w:tc>
        <w:tc>
          <w:tcPr>
            <w:tcW w:w="1350" w:type="dxa"/>
            <w:tcBorders>
              <w:top w:val="nil"/>
              <w:left w:val="nil"/>
              <w:bottom w:val="single" w:sz="4" w:space="0" w:color="auto"/>
              <w:right w:val="single" w:sz="4" w:space="0" w:color="auto"/>
            </w:tcBorders>
            <w:shd w:val="clear" w:color="auto" w:fill="auto"/>
            <w:noWrap/>
            <w:vAlign w:val="bottom"/>
            <w:hideMark/>
          </w:tcPr>
          <w:p w14:paraId="0D8B8B51"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800,000 </w:t>
            </w:r>
          </w:p>
        </w:tc>
      </w:tr>
      <w:tr w:rsidR="00844A7C" w:rsidRPr="000D6DD8" w14:paraId="4068B68A" w14:textId="77777777" w:rsidTr="00C33B4A">
        <w:trPr>
          <w:trHeight w:val="485"/>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0036AFF3"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Contribution</w:t>
            </w:r>
          </w:p>
        </w:tc>
        <w:tc>
          <w:tcPr>
            <w:tcW w:w="1110" w:type="dxa"/>
            <w:tcBorders>
              <w:top w:val="nil"/>
              <w:left w:val="nil"/>
              <w:bottom w:val="single" w:sz="4" w:space="0" w:color="auto"/>
              <w:right w:val="single" w:sz="4" w:space="0" w:color="auto"/>
            </w:tcBorders>
            <w:shd w:val="clear" w:color="auto" w:fill="auto"/>
            <w:noWrap/>
            <w:vAlign w:val="bottom"/>
            <w:hideMark/>
          </w:tcPr>
          <w:p w14:paraId="4D089BB3"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850,000 </w:t>
            </w:r>
          </w:p>
        </w:tc>
        <w:tc>
          <w:tcPr>
            <w:tcW w:w="1230" w:type="dxa"/>
            <w:tcBorders>
              <w:top w:val="nil"/>
              <w:left w:val="nil"/>
              <w:bottom w:val="single" w:sz="4" w:space="0" w:color="auto"/>
              <w:right w:val="single" w:sz="4" w:space="0" w:color="auto"/>
            </w:tcBorders>
            <w:shd w:val="clear" w:color="auto" w:fill="auto"/>
            <w:noWrap/>
            <w:vAlign w:val="bottom"/>
            <w:hideMark/>
          </w:tcPr>
          <w:p w14:paraId="5E49F220"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1,020,000 </w:t>
            </w:r>
          </w:p>
        </w:tc>
        <w:tc>
          <w:tcPr>
            <w:tcW w:w="1170" w:type="dxa"/>
            <w:tcBorders>
              <w:top w:val="nil"/>
              <w:left w:val="nil"/>
              <w:bottom w:val="single" w:sz="4" w:space="0" w:color="auto"/>
              <w:right w:val="single" w:sz="4" w:space="0" w:color="auto"/>
            </w:tcBorders>
            <w:shd w:val="clear" w:color="auto" w:fill="auto"/>
            <w:noWrap/>
            <w:vAlign w:val="bottom"/>
            <w:hideMark/>
          </w:tcPr>
          <w:p w14:paraId="55DAA485"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1,190,000 </w:t>
            </w:r>
          </w:p>
        </w:tc>
        <w:tc>
          <w:tcPr>
            <w:tcW w:w="1260" w:type="dxa"/>
            <w:tcBorders>
              <w:top w:val="nil"/>
              <w:left w:val="nil"/>
              <w:bottom w:val="single" w:sz="4" w:space="0" w:color="auto"/>
              <w:right w:val="single" w:sz="4" w:space="0" w:color="auto"/>
            </w:tcBorders>
            <w:shd w:val="clear" w:color="auto" w:fill="auto"/>
            <w:noWrap/>
            <w:vAlign w:val="bottom"/>
            <w:hideMark/>
          </w:tcPr>
          <w:p w14:paraId="3FE65590"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1,360,000 </w:t>
            </w:r>
          </w:p>
        </w:tc>
        <w:tc>
          <w:tcPr>
            <w:tcW w:w="1260" w:type="dxa"/>
            <w:tcBorders>
              <w:top w:val="nil"/>
              <w:left w:val="nil"/>
              <w:bottom w:val="single" w:sz="4" w:space="0" w:color="auto"/>
              <w:right w:val="single" w:sz="4" w:space="0" w:color="auto"/>
            </w:tcBorders>
            <w:shd w:val="clear" w:color="auto" w:fill="auto"/>
            <w:noWrap/>
            <w:vAlign w:val="bottom"/>
            <w:hideMark/>
          </w:tcPr>
          <w:p w14:paraId="026D4796"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1,530,000 </w:t>
            </w:r>
          </w:p>
        </w:tc>
        <w:tc>
          <w:tcPr>
            <w:tcW w:w="1350" w:type="dxa"/>
            <w:tcBorders>
              <w:top w:val="nil"/>
              <w:left w:val="nil"/>
              <w:bottom w:val="single" w:sz="4" w:space="0" w:color="auto"/>
              <w:right w:val="single" w:sz="4" w:space="0" w:color="auto"/>
            </w:tcBorders>
            <w:shd w:val="clear" w:color="auto" w:fill="auto"/>
            <w:noWrap/>
            <w:vAlign w:val="bottom"/>
            <w:hideMark/>
          </w:tcPr>
          <w:p w14:paraId="356009E7"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1,700,000 </w:t>
            </w:r>
          </w:p>
        </w:tc>
      </w:tr>
      <w:tr w:rsidR="00844A7C" w:rsidRPr="000D6DD8" w14:paraId="0A4FE87B"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0C2FB1E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Fixed Overheads:</w:t>
            </w:r>
          </w:p>
        </w:tc>
        <w:tc>
          <w:tcPr>
            <w:tcW w:w="1110" w:type="dxa"/>
            <w:tcBorders>
              <w:top w:val="nil"/>
              <w:left w:val="nil"/>
              <w:bottom w:val="single" w:sz="4" w:space="0" w:color="auto"/>
              <w:right w:val="single" w:sz="4" w:space="0" w:color="auto"/>
            </w:tcBorders>
            <w:shd w:val="clear" w:color="auto" w:fill="auto"/>
            <w:noWrap/>
            <w:vAlign w:val="bottom"/>
            <w:hideMark/>
          </w:tcPr>
          <w:p w14:paraId="1CC81E92"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230" w:type="dxa"/>
            <w:tcBorders>
              <w:top w:val="nil"/>
              <w:left w:val="nil"/>
              <w:bottom w:val="single" w:sz="4" w:space="0" w:color="auto"/>
              <w:right w:val="single" w:sz="4" w:space="0" w:color="auto"/>
            </w:tcBorders>
            <w:shd w:val="clear" w:color="auto" w:fill="auto"/>
            <w:noWrap/>
            <w:vAlign w:val="bottom"/>
            <w:hideMark/>
          </w:tcPr>
          <w:p w14:paraId="444976FE"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170" w:type="dxa"/>
            <w:tcBorders>
              <w:top w:val="nil"/>
              <w:left w:val="nil"/>
              <w:bottom w:val="single" w:sz="4" w:space="0" w:color="auto"/>
              <w:right w:val="single" w:sz="4" w:space="0" w:color="auto"/>
            </w:tcBorders>
            <w:shd w:val="clear" w:color="auto" w:fill="auto"/>
            <w:noWrap/>
            <w:vAlign w:val="bottom"/>
            <w:hideMark/>
          </w:tcPr>
          <w:p w14:paraId="5166D1B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7087C1A7"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231D06A6"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c>
          <w:tcPr>
            <w:tcW w:w="1350" w:type="dxa"/>
            <w:tcBorders>
              <w:top w:val="nil"/>
              <w:left w:val="nil"/>
              <w:bottom w:val="single" w:sz="4" w:space="0" w:color="auto"/>
              <w:right w:val="single" w:sz="4" w:space="0" w:color="auto"/>
            </w:tcBorders>
            <w:shd w:val="clear" w:color="auto" w:fill="auto"/>
            <w:noWrap/>
            <w:vAlign w:val="bottom"/>
            <w:hideMark/>
          </w:tcPr>
          <w:p w14:paraId="2B94E632"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w:t>
            </w:r>
          </w:p>
        </w:tc>
      </w:tr>
      <w:tr w:rsidR="00844A7C" w:rsidRPr="000D6DD8" w14:paraId="75C3371D"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369661C5"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Warehouse rental</w:t>
            </w:r>
          </w:p>
        </w:tc>
        <w:tc>
          <w:tcPr>
            <w:tcW w:w="1110" w:type="dxa"/>
            <w:tcBorders>
              <w:top w:val="nil"/>
              <w:left w:val="nil"/>
              <w:bottom w:val="single" w:sz="4" w:space="0" w:color="auto"/>
              <w:right w:val="single" w:sz="4" w:space="0" w:color="auto"/>
            </w:tcBorders>
            <w:shd w:val="clear" w:color="auto" w:fill="auto"/>
            <w:noWrap/>
            <w:vAlign w:val="bottom"/>
            <w:hideMark/>
          </w:tcPr>
          <w:p w14:paraId="4231870D"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230" w:type="dxa"/>
            <w:tcBorders>
              <w:top w:val="nil"/>
              <w:left w:val="nil"/>
              <w:bottom w:val="single" w:sz="4" w:space="0" w:color="auto"/>
              <w:right w:val="single" w:sz="4" w:space="0" w:color="auto"/>
            </w:tcBorders>
            <w:shd w:val="clear" w:color="auto" w:fill="auto"/>
            <w:noWrap/>
            <w:vAlign w:val="bottom"/>
            <w:hideMark/>
          </w:tcPr>
          <w:p w14:paraId="0116D851"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170" w:type="dxa"/>
            <w:tcBorders>
              <w:top w:val="nil"/>
              <w:left w:val="nil"/>
              <w:bottom w:val="single" w:sz="4" w:space="0" w:color="auto"/>
              <w:right w:val="single" w:sz="4" w:space="0" w:color="auto"/>
            </w:tcBorders>
            <w:shd w:val="clear" w:color="auto" w:fill="auto"/>
            <w:noWrap/>
            <w:vAlign w:val="bottom"/>
            <w:hideMark/>
          </w:tcPr>
          <w:p w14:paraId="64753FB0"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260" w:type="dxa"/>
            <w:tcBorders>
              <w:top w:val="nil"/>
              <w:left w:val="nil"/>
              <w:bottom w:val="single" w:sz="4" w:space="0" w:color="auto"/>
              <w:right w:val="single" w:sz="4" w:space="0" w:color="auto"/>
            </w:tcBorders>
            <w:shd w:val="clear" w:color="auto" w:fill="auto"/>
            <w:noWrap/>
            <w:vAlign w:val="bottom"/>
            <w:hideMark/>
          </w:tcPr>
          <w:p w14:paraId="01193FD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260" w:type="dxa"/>
            <w:tcBorders>
              <w:top w:val="nil"/>
              <w:left w:val="nil"/>
              <w:bottom w:val="single" w:sz="4" w:space="0" w:color="auto"/>
              <w:right w:val="single" w:sz="4" w:space="0" w:color="auto"/>
            </w:tcBorders>
            <w:shd w:val="clear" w:color="auto" w:fill="auto"/>
            <w:noWrap/>
            <w:vAlign w:val="bottom"/>
            <w:hideMark/>
          </w:tcPr>
          <w:p w14:paraId="40B31EE8"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c>
          <w:tcPr>
            <w:tcW w:w="1350" w:type="dxa"/>
            <w:tcBorders>
              <w:top w:val="nil"/>
              <w:left w:val="nil"/>
              <w:bottom w:val="single" w:sz="4" w:space="0" w:color="auto"/>
              <w:right w:val="single" w:sz="4" w:space="0" w:color="auto"/>
            </w:tcBorders>
            <w:shd w:val="clear" w:color="auto" w:fill="auto"/>
            <w:noWrap/>
            <w:vAlign w:val="bottom"/>
            <w:hideMark/>
          </w:tcPr>
          <w:p w14:paraId="32B5712A"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200,000 </w:t>
            </w:r>
          </w:p>
        </w:tc>
      </w:tr>
      <w:tr w:rsidR="00844A7C" w:rsidRPr="000D6DD8" w14:paraId="0074930A"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5D265216"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Insurance</w:t>
            </w:r>
          </w:p>
        </w:tc>
        <w:tc>
          <w:tcPr>
            <w:tcW w:w="1110" w:type="dxa"/>
            <w:tcBorders>
              <w:top w:val="nil"/>
              <w:left w:val="nil"/>
              <w:bottom w:val="single" w:sz="4" w:space="0" w:color="auto"/>
              <w:right w:val="single" w:sz="4" w:space="0" w:color="auto"/>
            </w:tcBorders>
            <w:shd w:val="clear" w:color="auto" w:fill="auto"/>
            <w:noWrap/>
            <w:vAlign w:val="bottom"/>
            <w:hideMark/>
          </w:tcPr>
          <w:p w14:paraId="22280E41"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c>
          <w:tcPr>
            <w:tcW w:w="1230" w:type="dxa"/>
            <w:tcBorders>
              <w:top w:val="nil"/>
              <w:left w:val="nil"/>
              <w:bottom w:val="single" w:sz="4" w:space="0" w:color="auto"/>
              <w:right w:val="single" w:sz="4" w:space="0" w:color="auto"/>
            </w:tcBorders>
            <w:shd w:val="clear" w:color="auto" w:fill="auto"/>
            <w:noWrap/>
            <w:vAlign w:val="bottom"/>
            <w:hideMark/>
          </w:tcPr>
          <w:p w14:paraId="75B79B8B"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c>
          <w:tcPr>
            <w:tcW w:w="1170" w:type="dxa"/>
            <w:tcBorders>
              <w:top w:val="nil"/>
              <w:left w:val="nil"/>
              <w:bottom w:val="single" w:sz="4" w:space="0" w:color="auto"/>
              <w:right w:val="single" w:sz="4" w:space="0" w:color="auto"/>
            </w:tcBorders>
            <w:shd w:val="clear" w:color="auto" w:fill="auto"/>
            <w:noWrap/>
            <w:vAlign w:val="bottom"/>
            <w:hideMark/>
          </w:tcPr>
          <w:p w14:paraId="1FD70BB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c>
          <w:tcPr>
            <w:tcW w:w="1260" w:type="dxa"/>
            <w:tcBorders>
              <w:top w:val="nil"/>
              <w:left w:val="nil"/>
              <w:bottom w:val="single" w:sz="4" w:space="0" w:color="auto"/>
              <w:right w:val="single" w:sz="4" w:space="0" w:color="auto"/>
            </w:tcBorders>
            <w:shd w:val="clear" w:color="auto" w:fill="auto"/>
            <w:noWrap/>
            <w:vAlign w:val="bottom"/>
            <w:hideMark/>
          </w:tcPr>
          <w:p w14:paraId="17E98529"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c>
          <w:tcPr>
            <w:tcW w:w="1260" w:type="dxa"/>
            <w:tcBorders>
              <w:top w:val="nil"/>
              <w:left w:val="nil"/>
              <w:bottom w:val="single" w:sz="4" w:space="0" w:color="auto"/>
              <w:right w:val="single" w:sz="4" w:space="0" w:color="auto"/>
            </w:tcBorders>
            <w:shd w:val="clear" w:color="auto" w:fill="auto"/>
            <w:noWrap/>
            <w:vAlign w:val="bottom"/>
            <w:hideMark/>
          </w:tcPr>
          <w:p w14:paraId="74A63E46"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c>
          <w:tcPr>
            <w:tcW w:w="1350" w:type="dxa"/>
            <w:tcBorders>
              <w:top w:val="nil"/>
              <w:left w:val="nil"/>
              <w:bottom w:val="single" w:sz="4" w:space="0" w:color="auto"/>
              <w:right w:val="single" w:sz="4" w:space="0" w:color="auto"/>
            </w:tcBorders>
            <w:shd w:val="clear" w:color="auto" w:fill="auto"/>
            <w:noWrap/>
            <w:vAlign w:val="bottom"/>
            <w:hideMark/>
          </w:tcPr>
          <w:p w14:paraId="28AFEF1A"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100,000 </w:t>
            </w:r>
          </w:p>
        </w:tc>
      </w:tr>
      <w:tr w:rsidR="00844A7C" w:rsidRPr="000D6DD8" w14:paraId="593EA965" w14:textId="77777777" w:rsidTr="00C33B4A">
        <w:trPr>
          <w:trHeight w:val="600"/>
          <w:jc w:val="center"/>
        </w:trPr>
        <w:tc>
          <w:tcPr>
            <w:tcW w:w="2212" w:type="dxa"/>
            <w:tcBorders>
              <w:top w:val="nil"/>
              <w:left w:val="single" w:sz="4" w:space="0" w:color="auto"/>
              <w:bottom w:val="single" w:sz="4" w:space="0" w:color="auto"/>
              <w:right w:val="single" w:sz="4" w:space="0" w:color="auto"/>
            </w:tcBorders>
            <w:shd w:val="clear" w:color="auto" w:fill="auto"/>
            <w:vAlign w:val="bottom"/>
            <w:hideMark/>
          </w:tcPr>
          <w:p w14:paraId="13398AE7"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Fulltime warehouse Supervisor Salary</w:t>
            </w:r>
          </w:p>
        </w:tc>
        <w:tc>
          <w:tcPr>
            <w:tcW w:w="1110" w:type="dxa"/>
            <w:tcBorders>
              <w:top w:val="nil"/>
              <w:left w:val="nil"/>
              <w:bottom w:val="single" w:sz="4" w:space="0" w:color="auto"/>
              <w:right w:val="single" w:sz="4" w:space="0" w:color="auto"/>
            </w:tcBorders>
            <w:shd w:val="clear" w:color="auto" w:fill="auto"/>
            <w:noWrap/>
            <w:vAlign w:val="bottom"/>
            <w:hideMark/>
          </w:tcPr>
          <w:p w14:paraId="2192701A"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c>
          <w:tcPr>
            <w:tcW w:w="1230" w:type="dxa"/>
            <w:tcBorders>
              <w:top w:val="nil"/>
              <w:left w:val="nil"/>
              <w:bottom w:val="single" w:sz="4" w:space="0" w:color="auto"/>
              <w:right w:val="single" w:sz="4" w:space="0" w:color="auto"/>
            </w:tcBorders>
            <w:shd w:val="clear" w:color="auto" w:fill="auto"/>
            <w:noWrap/>
            <w:vAlign w:val="bottom"/>
            <w:hideMark/>
          </w:tcPr>
          <w:p w14:paraId="09E34C8F"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c>
          <w:tcPr>
            <w:tcW w:w="1170" w:type="dxa"/>
            <w:tcBorders>
              <w:top w:val="nil"/>
              <w:left w:val="nil"/>
              <w:bottom w:val="single" w:sz="4" w:space="0" w:color="auto"/>
              <w:right w:val="single" w:sz="4" w:space="0" w:color="auto"/>
            </w:tcBorders>
            <w:shd w:val="clear" w:color="auto" w:fill="auto"/>
            <w:noWrap/>
            <w:vAlign w:val="bottom"/>
            <w:hideMark/>
          </w:tcPr>
          <w:p w14:paraId="6FFCC122"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c>
          <w:tcPr>
            <w:tcW w:w="1260" w:type="dxa"/>
            <w:tcBorders>
              <w:top w:val="nil"/>
              <w:left w:val="nil"/>
              <w:bottom w:val="single" w:sz="4" w:space="0" w:color="auto"/>
              <w:right w:val="single" w:sz="4" w:space="0" w:color="auto"/>
            </w:tcBorders>
            <w:shd w:val="clear" w:color="auto" w:fill="auto"/>
            <w:noWrap/>
            <w:vAlign w:val="bottom"/>
            <w:hideMark/>
          </w:tcPr>
          <w:p w14:paraId="4E8A19DE"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c>
          <w:tcPr>
            <w:tcW w:w="1260" w:type="dxa"/>
            <w:tcBorders>
              <w:top w:val="nil"/>
              <w:left w:val="nil"/>
              <w:bottom w:val="single" w:sz="4" w:space="0" w:color="auto"/>
              <w:right w:val="single" w:sz="4" w:space="0" w:color="auto"/>
            </w:tcBorders>
            <w:shd w:val="clear" w:color="auto" w:fill="auto"/>
            <w:noWrap/>
            <w:vAlign w:val="bottom"/>
            <w:hideMark/>
          </w:tcPr>
          <w:p w14:paraId="230F3A15"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c>
          <w:tcPr>
            <w:tcW w:w="1350" w:type="dxa"/>
            <w:tcBorders>
              <w:top w:val="nil"/>
              <w:left w:val="nil"/>
              <w:bottom w:val="single" w:sz="4" w:space="0" w:color="auto"/>
              <w:right w:val="single" w:sz="4" w:space="0" w:color="auto"/>
            </w:tcBorders>
            <w:shd w:val="clear" w:color="auto" w:fill="auto"/>
            <w:noWrap/>
            <w:vAlign w:val="bottom"/>
            <w:hideMark/>
          </w:tcPr>
          <w:p w14:paraId="1A3408B4" w14:textId="77777777" w:rsidR="00844A7C" w:rsidRPr="000D6DD8" w:rsidRDefault="00844A7C" w:rsidP="00C33B4A">
            <w:pPr>
              <w:spacing w:after="0" w:line="240" w:lineRule="auto"/>
              <w:jc w:val="both"/>
              <w:rPr>
                <w:rFonts w:eastAsia="Times New Roman" w:cs="Times New Roman"/>
                <w:sz w:val="22"/>
              </w:rPr>
            </w:pPr>
            <w:r w:rsidRPr="000D6DD8">
              <w:rPr>
                <w:rFonts w:eastAsia="Times New Roman" w:cs="Times New Roman"/>
                <w:sz w:val="22"/>
              </w:rPr>
              <w:t xml:space="preserve">         50,000 </w:t>
            </w:r>
          </w:p>
        </w:tc>
      </w:tr>
      <w:tr w:rsidR="00844A7C" w:rsidRPr="000D6DD8" w14:paraId="12A08885"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53F576E2"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Total Fixed Overhead</w:t>
            </w:r>
          </w:p>
        </w:tc>
        <w:tc>
          <w:tcPr>
            <w:tcW w:w="1110" w:type="dxa"/>
            <w:tcBorders>
              <w:top w:val="nil"/>
              <w:left w:val="nil"/>
              <w:bottom w:val="single" w:sz="4" w:space="0" w:color="auto"/>
              <w:right w:val="single" w:sz="4" w:space="0" w:color="auto"/>
            </w:tcBorders>
            <w:shd w:val="clear" w:color="auto" w:fill="auto"/>
            <w:noWrap/>
            <w:vAlign w:val="bottom"/>
            <w:hideMark/>
          </w:tcPr>
          <w:p w14:paraId="0ADEAB39"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350,000 </w:t>
            </w:r>
          </w:p>
        </w:tc>
        <w:tc>
          <w:tcPr>
            <w:tcW w:w="1230" w:type="dxa"/>
            <w:tcBorders>
              <w:top w:val="nil"/>
              <w:left w:val="nil"/>
              <w:bottom w:val="single" w:sz="4" w:space="0" w:color="auto"/>
              <w:right w:val="single" w:sz="4" w:space="0" w:color="auto"/>
            </w:tcBorders>
            <w:shd w:val="clear" w:color="auto" w:fill="auto"/>
            <w:noWrap/>
            <w:vAlign w:val="bottom"/>
            <w:hideMark/>
          </w:tcPr>
          <w:p w14:paraId="1B5B6B7F"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350,000 </w:t>
            </w:r>
          </w:p>
        </w:tc>
        <w:tc>
          <w:tcPr>
            <w:tcW w:w="1170" w:type="dxa"/>
            <w:tcBorders>
              <w:top w:val="nil"/>
              <w:left w:val="nil"/>
              <w:bottom w:val="single" w:sz="4" w:space="0" w:color="auto"/>
              <w:right w:val="single" w:sz="4" w:space="0" w:color="auto"/>
            </w:tcBorders>
            <w:shd w:val="clear" w:color="auto" w:fill="auto"/>
            <w:noWrap/>
            <w:vAlign w:val="bottom"/>
            <w:hideMark/>
          </w:tcPr>
          <w:p w14:paraId="1D37AD0C"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350,000 </w:t>
            </w:r>
          </w:p>
        </w:tc>
        <w:tc>
          <w:tcPr>
            <w:tcW w:w="1260" w:type="dxa"/>
            <w:tcBorders>
              <w:top w:val="nil"/>
              <w:left w:val="nil"/>
              <w:bottom w:val="single" w:sz="4" w:space="0" w:color="auto"/>
              <w:right w:val="single" w:sz="4" w:space="0" w:color="auto"/>
            </w:tcBorders>
            <w:shd w:val="clear" w:color="auto" w:fill="auto"/>
            <w:noWrap/>
            <w:vAlign w:val="bottom"/>
            <w:hideMark/>
          </w:tcPr>
          <w:p w14:paraId="7BF66AE4"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350,000 </w:t>
            </w:r>
          </w:p>
        </w:tc>
        <w:tc>
          <w:tcPr>
            <w:tcW w:w="1260" w:type="dxa"/>
            <w:tcBorders>
              <w:top w:val="nil"/>
              <w:left w:val="nil"/>
              <w:bottom w:val="single" w:sz="4" w:space="0" w:color="auto"/>
              <w:right w:val="single" w:sz="4" w:space="0" w:color="auto"/>
            </w:tcBorders>
            <w:shd w:val="clear" w:color="auto" w:fill="auto"/>
            <w:noWrap/>
            <w:vAlign w:val="bottom"/>
            <w:hideMark/>
          </w:tcPr>
          <w:p w14:paraId="376F9C3F"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350,000 </w:t>
            </w:r>
          </w:p>
        </w:tc>
        <w:tc>
          <w:tcPr>
            <w:tcW w:w="1350" w:type="dxa"/>
            <w:tcBorders>
              <w:top w:val="nil"/>
              <w:left w:val="nil"/>
              <w:bottom w:val="single" w:sz="4" w:space="0" w:color="auto"/>
              <w:right w:val="single" w:sz="4" w:space="0" w:color="auto"/>
            </w:tcBorders>
            <w:shd w:val="clear" w:color="auto" w:fill="auto"/>
            <w:noWrap/>
            <w:vAlign w:val="bottom"/>
            <w:hideMark/>
          </w:tcPr>
          <w:p w14:paraId="4FC9FA9F"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350,000 </w:t>
            </w:r>
          </w:p>
        </w:tc>
      </w:tr>
      <w:tr w:rsidR="00844A7C" w:rsidRPr="000D6DD8" w14:paraId="6D017D74"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33A2193A"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Total Costs</w:t>
            </w:r>
          </w:p>
        </w:tc>
        <w:tc>
          <w:tcPr>
            <w:tcW w:w="1110" w:type="dxa"/>
            <w:tcBorders>
              <w:top w:val="nil"/>
              <w:left w:val="nil"/>
              <w:bottom w:val="single" w:sz="4" w:space="0" w:color="auto"/>
              <w:right w:val="single" w:sz="4" w:space="0" w:color="auto"/>
            </w:tcBorders>
            <w:shd w:val="clear" w:color="auto" w:fill="auto"/>
            <w:noWrap/>
            <w:vAlign w:val="bottom"/>
            <w:hideMark/>
          </w:tcPr>
          <w:p w14:paraId="6CAEA7C6"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750,000 </w:t>
            </w:r>
          </w:p>
        </w:tc>
        <w:tc>
          <w:tcPr>
            <w:tcW w:w="1230" w:type="dxa"/>
            <w:tcBorders>
              <w:top w:val="nil"/>
              <w:left w:val="nil"/>
              <w:bottom w:val="single" w:sz="4" w:space="0" w:color="auto"/>
              <w:right w:val="single" w:sz="4" w:space="0" w:color="auto"/>
            </w:tcBorders>
            <w:shd w:val="clear" w:color="auto" w:fill="auto"/>
            <w:noWrap/>
            <w:vAlign w:val="bottom"/>
            <w:hideMark/>
          </w:tcPr>
          <w:p w14:paraId="036751BE"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830,000 </w:t>
            </w:r>
          </w:p>
        </w:tc>
        <w:tc>
          <w:tcPr>
            <w:tcW w:w="1170" w:type="dxa"/>
            <w:tcBorders>
              <w:top w:val="nil"/>
              <w:left w:val="nil"/>
              <w:bottom w:val="single" w:sz="4" w:space="0" w:color="auto"/>
              <w:right w:val="single" w:sz="4" w:space="0" w:color="auto"/>
            </w:tcBorders>
            <w:shd w:val="clear" w:color="auto" w:fill="auto"/>
            <w:noWrap/>
            <w:vAlign w:val="bottom"/>
            <w:hideMark/>
          </w:tcPr>
          <w:p w14:paraId="2DB78E69"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910,000 </w:t>
            </w:r>
          </w:p>
        </w:tc>
        <w:tc>
          <w:tcPr>
            <w:tcW w:w="1260" w:type="dxa"/>
            <w:tcBorders>
              <w:top w:val="nil"/>
              <w:left w:val="nil"/>
              <w:bottom w:val="single" w:sz="4" w:space="0" w:color="auto"/>
              <w:right w:val="single" w:sz="4" w:space="0" w:color="auto"/>
            </w:tcBorders>
            <w:shd w:val="clear" w:color="auto" w:fill="auto"/>
            <w:noWrap/>
            <w:vAlign w:val="bottom"/>
            <w:hideMark/>
          </w:tcPr>
          <w:p w14:paraId="75DF284F"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990,000 </w:t>
            </w:r>
          </w:p>
        </w:tc>
        <w:tc>
          <w:tcPr>
            <w:tcW w:w="1260" w:type="dxa"/>
            <w:tcBorders>
              <w:top w:val="nil"/>
              <w:left w:val="nil"/>
              <w:bottom w:val="single" w:sz="4" w:space="0" w:color="auto"/>
              <w:right w:val="single" w:sz="4" w:space="0" w:color="auto"/>
            </w:tcBorders>
            <w:shd w:val="clear" w:color="auto" w:fill="auto"/>
            <w:noWrap/>
            <w:vAlign w:val="bottom"/>
            <w:hideMark/>
          </w:tcPr>
          <w:p w14:paraId="0D1A5A8F"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1,070,000 </w:t>
            </w:r>
          </w:p>
        </w:tc>
        <w:tc>
          <w:tcPr>
            <w:tcW w:w="1350" w:type="dxa"/>
            <w:tcBorders>
              <w:top w:val="nil"/>
              <w:left w:val="nil"/>
              <w:bottom w:val="single" w:sz="4" w:space="0" w:color="auto"/>
              <w:right w:val="single" w:sz="4" w:space="0" w:color="auto"/>
            </w:tcBorders>
            <w:shd w:val="clear" w:color="auto" w:fill="auto"/>
            <w:noWrap/>
            <w:vAlign w:val="bottom"/>
            <w:hideMark/>
          </w:tcPr>
          <w:p w14:paraId="4710DD2A"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1,150,000 </w:t>
            </w:r>
          </w:p>
        </w:tc>
      </w:tr>
      <w:tr w:rsidR="00844A7C" w:rsidRPr="000D6DD8" w14:paraId="446621C3" w14:textId="77777777" w:rsidTr="00C33B4A">
        <w:trPr>
          <w:trHeight w:val="300"/>
          <w:jc w:val="center"/>
        </w:trPr>
        <w:tc>
          <w:tcPr>
            <w:tcW w:w="2212" w:type="dxa"/>
            <w:tcBorders>
              <w:top w:val="nil"/>
              <w:left w:val="single" w:sz="4" w:space="0" w:color="auto"/>
              <w:bottom w:val="single" w:sz="4" w:space="0" w:color="auto"/>
              <w:right w:val="single" w:sz="4" w:space="0" w:color="auto"/>
            </w:tcBorders>
            <w:shd w:val="clear" w:color="auto" w:fill="auto"/>
            <w:noWrap/>
            <w:vAlign w:val="bottom"/>
            <w:hideMark/>
          </w:tcPr>
          <w:p w14:paraId="6D36CC3D"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Net Profit</w:t>
            </w:r>
          </w:p>
        </w:tc>
        <w:tc>
          <w:tcPr>
            <w:tcW w:w="1110" w:type="dxa"/>
            <w:tcBorders>
              <w:top w:val="nil"/>
              <w:left w:val="nil"/>
              <w:bottom w:val="single" w:sz="4" w:space="0" w:color="auto"/>
              <w:right w:val="single" w:sz="4" w:space="0" w:color="auto"/>
            </w:tcBorders>
            <w:shd w:val="clear" w:color="auto" w:fill="auto"/>
            <w:noWrap/>
            <w:vAlign w:val="bottom"/>
            <w:hideMark/>
          </w:tcPr>
          <w:p w14:paraId="6A463F29"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500,000 </w:t>
            </w:r>
          </w:p>
        </w:tc>
        <w:tc>
          <w:tcPr>
            <w:tcW w:w="1230" w:type="dxa"/>
            <w:tcBorders>
              <w:top w:val="nil"/>
              <w:left w:val="nil"/>
              <w:bottom w:val="single" w:sz="4" w:space="0" w:color="auto"/>
              <w:right w:val="single" w:sz="4" w:space="0" w:color="auto"/>
            </w:tcBorders>
            <w:shd w:val="clear" w:color="auto" w:fill="auto"/>
            <w:noWrap/>
            <w:vAlign w:val="bottom"/>
            <w:hideMark/>
          </w:tcPr>
          <w:p w14:paraId="23F2039A"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670,000 </w:t>
            </w:r>
          </w:p>
        </w:tc>
        <w:tc>
          <w:tcPr>
            <w:tcW w:w="1170" w:type="dxa"/>
            <w:tcBorders>
              <w:top w:val="nil"/>
              <w:left w:val="nil"/>
              <w:bottom w:val="single" w:sz="4" w:space="0" w:color="auto"/>
              <w:right w:val="single" w:sz="4" w:space="0" w:color="auto"/>
            </w:tcBorders>
            <w:shd w:val="clear" w:color="auto" w:fill="auto"/>
            <w:noWrap/>
            <w:vAlign w:val="bottom"/>
            <w:hideMark/>
          </w:tcPr>
          <w:p w14:paraId="16810084"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840,000 </w:t>
            </w:r>
          </w:p>
        </w:tc>
        <w:tc>
          <w:tcPr>
            <w:tcW w:w="1260" w:type="dxa"/>
            <w:tcBorders>
              <w:top w:val="nil"/>
              <w:left w:val="nil"/>
              <w:bottom w:val="single" w:sz="4" w:space="0" w:color="auto"/>
              <w:right w:val="single" w:sz="4" w:space="0" w:color="auto"/>
            </w:tcBorders>
            <w:shd w:val="clear" w:color="auto" w:fill="auto"/>
            <w:noWrap/>
            <w:vAlign w:val="bottom"/>
            <w:hideMark/>
          </w:tcPr>
          <w:p w14:paraId="6DFD8C0F"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1,010,000 </w:t>
            </w:r>
          </w:p>
        </w:tc>
        <w:tc>
          <w:tcPr>
            <w:tcW w:w="1260" w:type="dxa"/>
            <w:tcBorders>
              <w:top w:val="nil"/>
              <w:left w:val="nil"/>
              <w:bottom w:val="single" w:sz="4" w:space="0" w:color="auto"/>
              <w:right w:val="single" w:sz="4" w:space="0" w:color="auto"/>
            </w:tcBorders>
            <w:shd w:val="clear" w:color="auto" w:fill="auto"/>
            <w:noWrap/>
            <w:vAlign w:val="bottom"/>
            <w:hideMark/>
          </w:tcPr>
          <w:p w14:paraId="32F31FEC"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1,180,000 </w:t>
            </w:r>
          </w:p>
        </w:tc>
        <w:tc>
          <w:tcPr>
            <w:tcW w:w="1350" w:type="dxa"/>
            <w:tcBorders>
              <w:top w:val="nil"/>
              <w:left w:val="nil"/>
              <w:bottom w:val="single" w:sz="4" w:space="0" w:color="auto"/>
              <w:right w:val="single" w:sz="4" w:space="0" w:color="auto"/>
            </w:tcBorders>
            <w:shd w:val="clear" w:color="auto" w:fill="auto"/>
            <w:noWrap/>
            <w:vAlign w:val="bottom"/>
            <w:hideMark/>
          </w:tcPr>
          <w:p w14:paraId="341C7FF8" w14:textId="77777777" w:rsidR="00844A7C" w:rsidRPr="000D6DD8" w:rsidRDefault="00844A7C" w:rsidP="00C33B4A">
            <w:pPr>
              <w:spacing w:after="0" w:line="240" w:lineRule="auto"/>
              <w:jc w:val="both"/>
              <w:rPr>
                <w:rFonts w:eastAsia="Times New Roman" w:cs="Times New Roman"/>
                <w:b/>
                <w:bCs/>
                <w:sz w:val="22"/>
              </w:rPr>
            </w:pPr>
            <w:r w:rsidRPr="000D6DD8">
              <w:rPr>
                <w:rFonts w:eastAsia="Times New Roman" w:cs="Times New Roman"/>
                <w:b/>
                <w:bCs/>
                <w:sz w:val="22"/>
              </w:rPr>
              <w:t xml:space="preserve">   1,350,000 </w:t>
            </w:r>
          </w:p>
        </w:tc>
      </w:tr>
    </w:tbl>
    <w:p w14:paraId="1D2A196C" w14:textId="77777777" w:rsidR="00844A7C" w:rsidRPr="000D6DD8" w:rsidRDefault="00844A7C" w:rsidP="00844A7C">
      <w:pPr>
        <w:spacing w:line="360" w:lineRule="auto"/>
        <w:jc w:val="center"/>
        <w:rPr>
          <w:rFonts w:cs="Times New Roman"/>
          <w:b/>
        </w:rPr>
      </w:pPr>
      <w:r w:rsidRPr="000D6DD8">
        <w:rPr>
          <w:rFonts w:cs="Times New Roman"/>
          <w:b/>
        </w:rPr>
        <w:t>Table-1: Flexed Budgets</w:t>
      </w:r>
    </w:p>
    <w:p w14:paraId="731E0711" w14:textId="77777777" w:rsidR="00844A7C" w:rsidRPr="000D6DD8" w:rsidRDefault="00844A7C" w:rsidP="00844A7C">
      <w:pPr>
        <w:spacing w:line="360" w:lineRule="auto"/>
        <w:jc w:val="both"/>
        <w:rPr>
          <w:rFonts w:cs="Times New Roman"/>
        </w:rPr>
      </w:pPr>
      <w:r w:rsidRPr="000D6DD8">
        <w:rPr>
          <w:rFonts w:cs="Times New Roman"/>
        </w:rPr>
        <w:t>Flexible budgets show the changes in costs and revenues that should occur due to the changes of activity within a specified range. To evaluate performance, actual costs and revenues are compared to the revenues and costs that should have been for the actual level of activity. In this case, a revised budget is made</w:t>
      </w:r>
      <w:r w:rsidRPr="000D6DD8">
        <w:rPr>
          <w:rFonts w:cs="Times New Roman"/>
          <w:szCs w:val="24"/>
          <w:shd w:val="clear" w:color="auto" w:fill="FFFFFF"/>
        </w:rPr>
        <w:t xml:space="preserve"> (Bandy, 2014)</w:t>
      </w:r>
      <w:r w:rsidRPr="000D6DD8">
        <w:rPr>
          <w:rFonts w:cs="Times New Roman"/>
        </w:rPr>
        <w:t>.</w:t>
      </w:r>
    </w:p>
    <w:p w14:paraId="62021847" w14:textId="77777777" w:rsidR="00844A7C" w:rsidRPr="000D6DD8" w:rsidRDefault="00844A7C" w:rsidP="00844A7C">
      <w:pPr>
        <w:spacing w:line="360" w:lineRule="auto"/>
        <w:jc w:val="both"/>
        <w:rPr>
          <w:rFonts w:cs="Times New Roman"/>
        </w:rPr>
      </w:pPr>
      <w:r w:rsidRPr="000D6DD8">
        <w:rPr>
          <w:rFonts w:cs="Times New Roman"/>
        </w:rPr>
        <w:t>A flexible budget variance means the difference between the outcomes provided by a flexible budget model and actual results (</w:t>
      </w:r>
      <w:r w:rsidRPr="000D6DD8">
        <w:rPr>
          <w:rFonts w:cs="Times New Roman"/>
          <w:color w:val="222222"/>
          <w:szCs w:val="24"/>
          <w:shd w:val="clear" w:color="auto" w:fill="FFFFFF"/>
        </w:rPr>
        <w:t>Yahya-Zadeh, 2012)</w:t>
      </w:r>
      <w:r w:rsidRPr="000D6DD8">
        <w:rPr>
          <w:rFonts w:cs="Times New Roman"/>
        </w:rPr>
        <w:t xml:space="preserve">. In the place of a flexible budget, a revised </w:t>
      </w:r>
      <w:r w:rsidRPr="000D6DD8">
        <w:rPr>
          <w:rFonts w:cs="Times New Roman"/>
        </w:rPr>
        <w:lastRenderedPageBreak/>
        <w:t>budget should be prepared based on the actual level of activity to show the original changes. Generally, flexible budget variance is expected to be smaller than the flexible budget variance if the original budget model were used because the expense and revenue levels are adjusted to match actual results in a flexible budget model (</w:t>
      </w:r>
      <w:r w:rsidRPr="000D6DD8">
        <w:rPr>
          <w:rFonts w:cs="Times New Roman"/>
          <w:szCs w:val="24"/>
          <w:shd w:val="clear" w:color="auto" w:fill="FFFFFF"/>
        </w:rPr>
        <w:t>Drury, 2018)</w:t>
      </w:r>
      <w:r w:rsidRPr="000D6DD8">
        <w:rPr>
          <w:rFonts w:cs="Times New Roman"/>
        </w:rPr>
        <w:t>.</w:t>
      </w:r>
    </w:p>
    <w:p w14:paraId="056A3470" w14:textId="77777777" w:rsidR="00844A7C" w:rsidRPr="000D6DD8" w:rsidRDefault="00844A7C" w:rsidP="00844A7C">
      <w:pPr>
        <w:spacing w:line="360" w:lineRule="auto"/>
        <w:rPr>
          <w:rFonts w:cs="Times New Roman"/>
        </w:rPr>
      </w:pPr>
      <w:r w:rsidRPr="000D6DD8">
        <w:rPr>
          <w:rFonts w:cs="Times New Roman"/>
        </w:rPr>
        <w:t xml:space="preserve">Under the control report, </w:t>
      </w:r>
      <w:r w:rsidRPr="000D6DD8">
        <w:rPr>
          <w:rFonts w:cs="Times New Roman"/>
          <w:bCs/>
          <w:sz w:val="22"/>
        </w:rPr>
        <w:t>Variances of Actual transactions and Revised Budget</w:t>
      </w:r>
      <w:r w:rsidRPr="000D6DD8">
        <w:rPr>
          <w:rFonts w:cs="Times New Roman"/>
        </w:rPr>
        <w:t xml:space="preserve"> have been prepared to show the actual performance of Amana Ltd.</w:t>
      </w:r>
    </w:p>
    <w:tbl>
      <w:tblPr>
        <w:tblW w:w="7810" w:type="dxa"/>
        <w:jc w:val="center"/>
        <w:tblLook w:val="04A0" w:firstRow="1" w:lastRow="0" w:firstColumn="1" w:lastColumn="0" w:noHBand="0" w:noVBand="1"/>
      </w:tblPr>
      <w:tblGrid>
        <w:gridCol w:w="2465"/>
        <w:gridCol w:w="1695"/>
        <w:gridCol w:w="1815"/>
        <w:gridCol w:w="1835"/>
      </w:tblGrid>
      <w:tr w:rsidR="00844A7C" w:rsidRPr="000D6DD8" w14:paraId="4948A4D1" w14:textId="77777777" w:rsidTr="00C33B4A">
        <w:trPr>
          <w:trHeight w:val="350"/>
          <w:jc w:val="center"/>
        </w:trPr>
        <w:tc>
          <w:tcPr>
            <w:tcW w:w="781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6A5B97" w14:textId="77777777" w:rsidR="00844A7C" w:rsidRPr="000D6DD8" w:rsidRDefault="00844A7C" w:rsidP="00C33B4A">
            <w:pPr>
              <w:spacing w:line="240" w:lineRule="auto"/>
              <w:jc w:val="center"/>
              <w:rPr>
                <w:rFonts w:cs="Times New Roman"/>
                <w:b/>
                <w:bCs/>
                <w:sz w:val="22"/>
              </w:rPr>
            </w:pPr>
            <w:r w:rsidRPr="000D6DD8">
              <w:rPr>
                <w:rFonts w:cs="Times New Roman"/>
                <w:b/>
                <w:bCs/>
                <w:sz w:val="22"/>
              </w:rPr>
              <w:t>Variances of Actual and Revised Budget Report (</w:t>
            </w:r>
            <w:r w:rsidRPr="000D6DD8">
              <w:rPr>
                <w:rFonts w:cs="Times New Roman"/>
                <w:b/>
              </w:rPr>
              <w:t>£)</w:t>
            </w:r>
          </w:p>
        </w:tc>
      </w:tr>
      <w:tr w:rsidR="00844A7C" w:rsidRPr="000D6DD8" w14:paraId="27AB3B39" w14:textId="77777777" w:rsidTr="00C33B4A">
        <w:trPr>
          <w:trHeight w:val="593"/>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02E7D486" w14:textId="77777777" w:rsidR="00844A7C" w:rsidRPr="000D6DD8" w:rsidRDefault="00844A7C" w:rsidP="00C33B4A">
            <w:pPr>
              <w:spacing w:line="240" w:lineRule="auto"/>
              <w:rPr>
                <w:rFonts w:cs="Times New Roman"/>
                <w:b/>
                <w:bCs/>
                <w:sz w:val="22"/>
              </w:rPr>
            </w:pPr>
            <w:r w:rsidRPr="000D6DD8">
              <w:rPr>
                <w:rFonts w:cs="Times New Roman"/>
                <w:b/>
                <w:bCs/>
                <w:sz w:val="22"/>
              </w:rPr>
              <w:t>Particulars</w:t>
            </w:r>
          </w:p>
        </w:tc>
        <w:tc>
          <w:tcPr>
            <w:tcW w:w="1695" w:type="dxa"/>
            <w:tcBorders>
              <w:top w:val="nil"/>
              <w:left w:val="nil"/>
              <w:bottom w:val="single" w:sz="4" w:space="0" w:color="auto"/>
              <w:right w:val="single" w:sz="4" w:space="0" w:color="auto"/>
            </w:tcBorders>
            <w:shd w:val="clear" w:color="auto" w:fill="auto"/>
            <w:vAlign w:val="bottom"/>
            <w:hideMark/>
          </w:tcPr>
          <w:p w14:paraId="12D0D00E" w14:textId="77777777" w:rsidR="00844A7C" w:rsidRPr="000D6DD8" w:rsidRDefault="00844A7C" w:rsidP="00C33B4A">
            <w:pPr>
              <w:spacing w:line="240" w:lineRule="auto"/>
              <w:jc w:val="center"/>
              <w:rPr>
                <w:rFonts w:cs="Times New Roman"/>
                <w:b/>
                <w:bCs/>
                <w:sz w:val="22"/>
              </w:rPr>
            </w:pPr>
            <w:r w:rsidRPr="000D6DD8">
              <w:rPr>
                <w:rFonts w:cs="Times New Roman"/>
                <w:b/>
                <w:bCs/>
                <w:sz w:val="22"/>
              </w:rPr>
              <w:t>Actual</w:t>
            </w:r>
          </w:p>
        </w:tc>
        <w:tc>
          <w:tcPr>
            <w:tcW w:w="1815" w:type="dxa"/>
            <w:tcBorders>
              <w:top w:val="nil"/>
              <w:left w:val="nil"/>
              <w:bottom w:val="single" w:sz="4" w:space="0" w:color="auto"/>
              <w:right w:val="single" w:sz="4" w:space="0" w:color="auto"/>
            </w:tcBorders>
            <w:shd w:val="clear" w:color="auto" w:fill="auto"/>
            <w:vAlign w:val="bottom"/>
            <w:hideMark/>
          </w:tcPr>
          <w:p w14:paraId="6FCA657A"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Revised Budget </w:t>
            </w:r>
          </w:p>
        </w:tc>
        <w:tc>
          <w:tcPr>
            <w:tcW w:w="1835" w:type="dxa"/>
            <w:tcBorders>
              <w:top w:val="nil"/>
              <w:left w:val="nil"/>
              <w:bottom w:val="single" w:sz="4" w:space="0" w:color="auto"/>
              <w:right w:val="single" w:sz="4" w:space="0" w:color="auto"/>
            </w:tcBorders>
            <w:shd w:val="clear" w:color="auto" w:fill="auto"/>
            <w:noWrap/>
            <w:vAlign w:val="bottom"/>
            <w:hideMark/>
          </w:tcPr>
          <w:p w14:paraId="42A3F999" w14:textId="77777777" w:rsidR="00844A7C" w:rsidRPr="000D6DD8" w:rsidRDefault="00844A7C" w:rsidP="00C33B4A">
            <w:pPr>
              <w:spacing w:line="240" w:lineRule="auto"/>
              <w:jc w:val="center"/>
              <w:rPr>
                <w:rFonts w:cs="Times New Roman"/>
                <w:b/>
                <w:bCs/>
                <w:sz w:val="22"/>
              </w:rPr>
            </w:pPr>
            <w:r w:rsidRPr="000D6DD8">
              <w:rPr>
                <w:rFonts w:cs="Times New Roman"/>
                <w:b/>
                <w:bCs/>
                <w:sz w:val="22"/>
              </w:rPr>
              <w:t>Variances</w:t>
            </w:r>
          </w:p>
        </w:tc>
      </w:tr>
      <w:tr w:rsidR="00844A7C" w:rsidRPr="000D6DD8" w14:paraId="3C8C7061"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6F0BCEF9" w14:textId="77777777" w:rsidR="00844A7C" w:rsidRPr="000D6DD8" w:rsidRDefault="00844A7C" w:rsidP="00C33B4A">
            <w:pPr>
              <w:spacing w:line="240" w:lineRule="auto"/>
              <w:rPr>
                <w:rFonts w:cs="Times New Roman"/>
                <w:sz w:val="22"/>
              </w:rPr>
            </w:pPr>
            <w:r w:rsidRPr="000D6DD8">
              <w:rPr>
                <w:rFonts w:cs="Times New Roman"/>
                <w:sz w:val="22"/>
              </w:rPr>
              <w:t>Units</w:t>
            </w:r>
          </w:p>
        </w:tc>
        <w:tc>
          <w:tcPr>
            <w:tcW w:w="1695" w:type="dxa"/>
            <w:tcBorders>
              <w:top w:val="nil"/>
              <w:left w:val="nil"/>
              <w:bottom w:val="single" w:sz="4" w:space="0" w:color="auto"/>
              <w:right w:val="single" w:sz="4" w:space="0" w:color="auto"/>
            </w:tcBorders>
            <w:shd w:val="clear" w:color="auto" w:fill="auto"/>
            <w:noWrap/>
            <w:vAlign w:val="bottom"/>
            <w:hideMark/>
          </w:tcPr>
          <w:p w14:paraId="33101B6C"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80,000 </w:t>
            </w:r>
          </w:p>
        </w:tc>
        <w:tc>
          <w:tcPr>
            <w:tcW w:w="1815" w:type="dxa"/>
            <w:tcBorders>
              <w:top w:val="nil"/>
              <w:left w:val="nil"/>
              <w:bottom w:val="single" w:sz="4" w:space="0" w:color="auto"/>
              <w:right w:val="single" w:sz="4" w:space="0" w:color="auto"/>
            </w:tcBorders>
            <w:shd w:val="clear" w:color="auto" w:fill="auto"/>
            <w:noWrap/>
            <w:vAlign w:val="bottom"/>
            <w:hideMark/>
          </w:tcPr>
          <w:p w14:paraId="0BF8C68B"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80,000 </w:t>
            </w:r>
          </w:p>
        </w:tc>
        <w:tc>
          <w:tcPr>
            <w:tcW w:w="1835" w:type="dxa"/>
            <w:tcBorders>
              <w:top w:val="nil"/>
              <w:left w:val="nil"/>
              <w:bottom w:val="single" w:sz="4" w:space="0" w:color="auto"/>
              <w:right w:val="single" w:sz="4" w:space="0" w:color="auto"/>
            </w:tcBorders>
            <w:shd w:val="clear" w:color="auto" w:fill="auto"/>
            <w:noWrap/>
            <w:vAlign w:val="bottom"/>
            <w:hideMark/>
          </w:tcPr>
          <w:p w14:paraId="61E580D6" w14:textId="77777777" w:rsidR="00844A7C" w:rsidRPr="000D6DD8" w:rsidRDefault="00844A7C" w:rsidP="00C33B4A">
            <w:pPr>
              <w:spacing w:line="240" w:lineRule="auto"/>
              <w:jc w:val="center"/>
              <w:rPr>
                <w:rFonts w:cs="Times New Roman"/>
                <w:sz w:val="22"/>
              </w:rPr>
            </w:pPr>
            <w:r w:rsidRPr="000D6DD8">
              <w:rPr>
                <w:rFonts w:cs="Times New Roman"/>
                <w:sz w:val="22"/>
              </w:rPr>
              <w:t> </w:t>
            </w:r>
          </w:p>
        </w:tc>
      </w:tr>
      <w:tr w:rsidR="00844A7C" w:rsidRPr="000D6DD8" w14:paraId="067A1DDA"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72BFFC85" w14:textId="77777777" w:rsidR="00844A7C" w:rsidRPr="000D6DD8" w:rsidRDefault="00844A7C" w:rsidP="00C33B4A">
            <w:pPr>
              <w:spacing w:line="240" w:lineRule="auto"/>
              <w:rPr>
                <w:rFonts w:cs="Times New Roman"/>
                <w:b/>
                <w:bCs/>
                <w:sz w:val="22"/>
              </w:rPr>
            </w:pPr>
            <w:r w:rsidRPr="000D6DD8">
              <w:rPr>
                <w:rFonts w:cs="Times New Roman"/>
                <w:b/>
                <w:bCs/>
                <w:sz w:val="22"/>
              </w:rPr>
              <w:t>Sales</w:t>
            </w:r>
          </w:p>
        </w:tc>
        <w:tc>
          <w:tcPr>
            <w:tcW w:w="1695" w:type="dxa"/>
            <w:tcBorders>
              <w:top w:val="nil"/>
              <w:left w:val="nil"/>
              <w:bottom w:val="single" w:sz="4" w:space="0" w:color="auto"/>
              <w:right w:val="single" w:sz="4" w:space="0" w:color="auto"/>
            </w:tcBorders>
            <w:shd w:val="clear" w:color="auto" w:fill="auto"/>
            <w:noWrap/>
            <w:vAlign w:val="bottom"/>
            <w:hideMark/>
          </w:tcPr>
          <w:p w14:paraId="4A477EDD"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1,600,000 </w:t>
            </w:r>
          </w:p>
        </w:tc>
        <w:tc>
          <w:tcPr>
            <w:tcW w:w="1815" w:type="dxa"/>
            <w:tcBorders>
              <w:top w:val="nil"/>
              <w:left w:val="nil"/>
              <w:bottom w:val="single" w:sz="4" w:space="0" w:color="auto"/>
              <w:right w:val="single" w:sz="4" w:space="0" w:color="auto"/>
            </w:tcBorders>
            <w:shd w:val="clear" w:color="auto" w:fill="auto"/>
            <w:noWrap/>
            <w:vAlign w:val="bottom"/>
            <w:hideMark/>
          </w:tcPr>
          <w:p w14:paraId="33DACA90"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2,000,000 </w:t>
            </w:r>
          </w:p>
        </w:tc>
        <w:tc>
          <w:tcPr>
            <w:tcW w:w="1835" w:type="dxa"/>
            <w:tcBorders>
              <w:top w:val="nil"/>
              <w:left w:val="nil"/>
              <w:bottom w:val="single" w:sz="4" w:space="0" w:color="auto"/>
              <w:right w:val="single" w:sz="4" w:space="0" w:color="auto"/>
            </w:tcBorders>
            <w:shd w:val="clear" w:color="auto" w:fill="auto"/>
            <w:noWrap/>
            <w:vAlign w:val="bottom"/>
            <w:hideMark/>
          </w:tcPr>
          <w:p w14:paraId="6B99CDD4"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400,000 U </w:t>
            </w:r>
          </w:p>
        </w:tc>
      </w:tr>
      <w:tr w:rsidR="00844A7C" w:rsidRPr="000D6DD8" w14:paraId="7E589EA2"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15D7F3F6" w14:textId="77777777" w:rsidR="00844A7C" w:rsidRPr="000D6DD8" w:rsidRDefault="00844A7C" w:rsidP="00C33B4A">
            <w:pPr>
              <w:spacing w:line="240" w:lineRule="auto"/>
              <w:rPr>
                <w:rFonts w:cs="Times New Roman"/>
                <w:sz w:val="22"/>
              </w:rPr>
            </w:pPr>
            <w:r w:rsidRPr="000D6DD8">
              <w:rPr>
                <w:rFonts w:cs="Times New Roman"/>
                <w:sz w:val="22"/>
              </w:rPr>
              <w:t>Variable Costs:</w:t>
            </w:r>
          </w:p>
        </w:tc>
        <w:tc>
          <w:tcPr>
            <w:tcW w:w="1695" w:type="dxa"/>
            <w:tcBorders>
              <w:top w:val="nil"/>
              <w:left w:val="nil"/>
              <w:bottom w:val="single" w:sz="4" w:space="0" w:color="auto"/>
              <w:right w:val="single" w:sz="4" w:space="0" w:color="auto"/>
            </w:tcBorders>
            <w:shd w:val="clear" w:color="auto" w:fill="auto"/>
            <w:noWrap/>
            <w:vAlign w:val="bottom"/>
            <w:hideMark/>
          </w:tcPr>
          <w:p w14:paraId="18B6EDF3" w14:textId="77777777" w:rsidR="00844A7C" w:rsidRPr="000D6DD8" w:rsidRDefault="00844A7C" w:rsidP="00C33B4A">
            <w:pPr>
              <w:spacing w:line="240" w:lineRule="auto"/>
              <w:jc w:val="center"/>
              <w:rPr>
                <w:rFonts w:cs="Times New Roman"/>
                <w:sz w:val="22"/>
              </w:rPr>
            </w:pPr>
            <w:r w:rsidRPr="000D6DD8">
              <w:rPr>
                <w:rFonts w:cs="Times New Roman"/>
                <w:sz w:val="22"/>
              </w:rPr>
              <w:t> </w:t>
            </w:r>
          </w:p>
        </w:tc>
        <w:tc>
          <w:tcPr>
            <w:tcW w:w="1815" w:type="dxa"/>
            <w:tcBorders>
              <w:top w:val="nil"/>
              <w:left w:val="nil"/>
              <w:bottom w:val="single" w:sz="4" w:space="0" w:color="auto"/>
              <w:right w:val="single" w:sz="4" w:space="0" w:color="auto"/>
            </w:tcBorders>
            <w:shd w:val="clear" w:color="auto" w:fill="auto"/>
            <w:noWrap/>
            <w:vAlign w:val="bottom"/>
            <w:hideMark/>
          </w:tcPr>
          <w:p w14:paraId="3CD344FD" w14:textId="77777777" w:rsidR="00844A7C" w:rsidRPr="000D6DD8" w:rsidRDefault="00844A7C" w:rsidP="00C33B4A">
            <w:pPr>
              <w:spacing w:line="240" w:lineRule="auto"/>
              <w:jc w:val="center"/>
              <w:rPr>
                <w:rFonts w:cs="Times New Roman"/>
                <w:sz w:val="22"/>
              </w:rPr>
            </w:pPr>
            <w:r w:rsidRPr="000D6DD8">
              <w:rPr>
                <w:rFonts w:cs="Times New Roman"/>
                <w:sz w:val="22"/>
              </w:rPr>
              <w:t> </w:t>
            </w:r>
          </w:p>
        </w:tc>
        <w:tc>
          <w:tcPr>
            <w:tcW w:w="1835" w:type="dxa"/>
            <w:tcBorders>
              <w:top w:val="nil"/>
              <w:left w:val="nil"/>
              <w:bottom w:val="single" w:sz="4" w:space="0" w:color="auto"/>
              <w:right w:val="single" w:sz="4" w:space="0" w:color="auto"/>
            </w:tcBorders>
            <w:shd w:val="clear" w:color="auto" w:fill="auto"/>
            <w:noWrap/>
            <w:vAlign w:val="bottom"/>
            <w:hideMark/>
          </w:tcPr>
          <w:p w14:paraId="100A8337" w14:textId="77777777" w:rsidR="00844A7C" w:rsidRPr="000D6DD8" w:rsidRDefault="00844A7C" w:rsidP="00C33B4A">
            <w:pPr>
              <w:spacing w:line="240" w:lineRule="auto"/>
              <w:jc w:val="center"/>
              <w:rPr>
                <w:rFonts w:cs="Times New Roman"/>
                <w:sz w:val="22"/>
              </w:rPr>
            </w:pPr>
            <w:r w:rsidRPr="000D6DD8">
              <w:rPr>
                <w:rFonts w:cs="Times New Roman"/>
                <w:sz w:val="22"/>
              </w:rPr>
              <w:t> </w:t>
            </w:r>
          </w:p>
        </w:tc>
      </w:tr>
      <w:tr w:rsidR="00844A7C" w:rsidRPr="000D6DD8" w14:paraId="0AE9F1C7"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28CA9BE6" w14:textId="77777777" w:rsidR="00844A7C" w:rsidRPr="000D6DD8" w:rsidRDefault="00844A7C" w:rsidP="00C33B4A">
            <w:pPr>
              <w:spacing w:line="240" w:lineRule="auto"/>
              <w:rPr>
                <w:rFonts w:cs="Times New Roman"/>
                <w:sz w:val="22"/>
              </w:rPr>
            </w:pPr>
            <w:r w:rsidRPr="000D6DD8">
              <w:rPr>
                <w:rFonts w:cs="Times New Roman"/>
                <w:sz w:val="22"/>
              </w:rPr>
              <w:t>Materials</w:t>
            </w:r>
          </w:p>
        </w:tc>
        <w:tc>
          <w:tcPr>
            <w:tcW w:w="1695" w:type="dxa"/>
            <w:tcBorders>
              <w:top w:val="nil"/>
              <w:left w:val="nil"/>
              <w:bottom w:val="single" w:sz="4" w:space="0" w:color="auto"/>
              <w:right w:val="single" w:sz="4" w:space="0" w:color="auto"/>
            </w:tcBorders>
            <w:shd w:val="clear" w:color="auto" w:fill="auto"/>
            <w:noWrap/>
            <w:vAlign w:val="bottom"/>
            <w:hideMark/>
          </w:tcPr>
          <w:p w14:paraId="7FCB8185"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280,000 </w:t>
            </w:r>
          </w:p>
        </w:tc>
        <w:tc>
          <w:tcPr>
            <w:tcW w:w="1815" w:type="dxa"/>
            <w:tcBorders>
              <w:top w:val="nil"/>
              <w:left w:val="nil"/>
              <w:bottom w:val="single" w:sz="4" w:space="0" w:color="auto"/>
              <w:right w:val="single" w:sz="4" w:space="0" w:color="auto"/>
            </w:tcBorders>
            <w:shd w:val="clear" w:color="auto" w:fill="auto"/>
            <w:noWrap/>
            <w:vAlign w:val="bottom"/>
            <w:hideMark/>
          </w:tcPr>
          <w:p w14:paraId="3D34C9A5"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200,000 </w:t>
            </w:r>
          </w:p>
        </w:tc>
        <w:tc>
          <w:tcPr>
            <w:tcW w:w="1835" w:type="dxa"/>
            <w:tcBorders>
              <w:top w:val="nil"/>
              <w:left w:val="nil"/>
              <w:bottom w:val="single" w:sz="4" w:space="0" w:color="auto"/>
              <w:right w:val="single" w:sz="4" w:space="0" w:color="auto"/>
            </w:tcBorders>
            <w:shd w:val="clear" w:color="auto" w:fill="auto"/>
            <w:noWrap/>
            <w:vAlign w:val="bottom"/>
            <w:hideMark/>
          </w:tcPr>
          <w:p w14:paraId="2D28A25F"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80,000 U </w:t>
            </w:r>
          </w:p>
        </w:tc>
      </w:tr>
      <w:tr w:rsidR="00844A7C" w:rsidRPr="000D6DD8" w14:paraId="5B34878C"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4BED1BE9" w14:textId="77777777" w:rsidR="00844A7C" w:rsidRPr="000D6DD8" w:rsidRDefault="00844A7C" w:rsidP="00C33B4A">
            <w:pPr>
              <w:spacing w:line="240" w:lineRule="auto"/>
              <w:rPr>
                <w:rFonts w:cs="Times New Roman"/>
                <w:sz w:val="22"/>
              </w:rPr>
            </w:pPr>
            <w:r w:rsidRPr="000D6DD8">
              <w:rPr>
                <w:rFonts w:cs="Times New Roman"/>
                <w:sz w:val="22"/>
              </w:rPr>
              <w:t>Labour</w:t>
            </w:r>
          </w:p>
        </w:tc>
        <w:tc>
          <w:tcPr>
            <w:tcW w:w="1695" w:type="dxa"/>
            <w:tcBorders>
              <w:top w:val="nil"/>
              <w:left w:val="nil"/>
              <w:bottom w:val="single" w:sz="4" w:space="0" w:color="auto"/>
              <w:right w:val="single" w:sz="4" w:space="0" w:color="auto"/>
            </w:tcBorders>
            <w:shd w:val="clear" w:color="auto" w:fill="auto"/>
            <w:noWrap/>
            <w:vAlign w:val="bottom"/>
            <w:hideMark/>
          </w:tcPr>
          <w:p w14:paraId="62549175"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440,000 </w:t>
            </w:r>
          </w:p>
        </w:tc>
        <w:tc>
          <w:tcPr>
            <w:tcW w:w="1815" w:type="dxa"/>
            <w:tcBorders>
              <w:top w:val="nil"/>
              <w:left w:val="nil"/>
              <w:bottom w:val="single" w:sz="4" w:space="0" w:color="auto"/>
              <w:right w:val="single" w:sz="4" w:space="0" w:color="auto"/>
            </w:tcBorders>
            <w:shd w:val="clear" w:color="auto" w:fill="auto"/>
            <w:noWrap/>
            <w:vAlign w:val="bottom"/>
            <w:hideMark/>
          </w:tcPr>
          <w:p w14:paraId="615D3135"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320,000 </w:t>
            </w:r>
          </w:p>
        </w:tc>
        <w:tc>
          <w:tcPr>
            <w:tcW w:w="1835" w:type="dxa"/>
            <w:tcBorders>
              <w:top w:val="nil"/>
              <w:left w:val="nil"/>
              <w:bottom w:val="single" w:sz="4" w:space="0" w:color="auto"/>
              <w:right w:val="single" w:sz="4" w:space="0" w:color="auto"/>
            </w:tcBorders>
            <w:shd w:val="clear" w:color="auto" w:fill="auto"/>
            <w:noWrap/>
            <w:vAlign w:val="bottom"/>
            <w:hideMark/>
          </w:tcPr>
          <w:p w14:paraId="4F35BA2F"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120,000 U </w:t>
            </w:r>
          </w:p>
        </w:tc>
      </w:tr>
      <w:tr w:rsidR="00844A7C" w:rsidRPr="000D6DD8" w14:paraId="59FBE8F1"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0940E3F9" w14:textId="77777777" w:rsidR="00844A7C" w:rsidRPr="000D6DD8" w:rsidRDefault="00844A7C" w:rsidP="00C33B4A">
            <w:pPr>
              <w:spacing w:line="240" w:lineRule="auto"/>
              <w:rPr>
                <w:rFonts w:cs="Times New Roman"/>
                <w:sz w:val="22"/>
              </w:rPr>
            </w:pPr>
            <w:r w:rsidRPr="000D6DD8">
              <w:rPr>
                <w:rFonts w:cs="Times New Roman"/>
                <w:sz w:val="22"/>
              </w:rPr>
              <w:t>Overhead</w:t>
            </w:r>
          </w:p>
        </w:tc>
        <w:tc>
          <w:tcPr>
            <w:tcW w:w="1695" w:type="dxa"/>
            <w:tcBorders>
              <w:top w:val="nil"/>
              <w:left w:val="nil"/>
              <w:bottom w:val="single" w:sz="4" w:space="0" w:color="auto"/>
              <w:right w:val="single" w:sz="4" w:space="0" w:color="auto"/>
            </w:tcBorders>
            <w:shd w:val="clear" w:color="auto" w:fill="auto"/>
            <w:noWrap/>
            <w:vAlign w:val="bottom"/>
            <w:hideMark/>
          </w:tcPr>
          <w:p w14:paraId="19768055"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120,000 </w:t>
            </w:r>
          </w:p>
        </w:tc>
        <w:tc>
          <w:tcPr>
            <w:tcW w:w="1815" w:type="dxa"/>
            <w:tcBorders>
              <w:top w:val="nil"/>
              <w:left w:val="nil"/>
              <w:bottom w:val="single" w:sz="4" w:space="0" w:color="auto"/>
              <w:right w:val="single" w:sz="4" w:space="0" w:color="auto"/>
            </w:tcBorders>
            <w:shd w:val="clear" w:color="auto" w:fill="auto"/>
            <w:noWrap/>
            <w:vAlign w:val="bottom"/>
            <w:hideMark/>
          </w:tcPr>
          <w:p w14:paraId="7225EB2F"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120,000 </w:t>
            </w:r>
          </w:p>
        </w:tc>
        <w:tc>
          <w:tcPr>
            <w:tcW w:w="1835" w:type="dxa"/>
            <w:tcBorders>
              <w:top w:val="nil"/>
              <w:left w:val="nil"/>
              <w:bottom w:val="single" w:sz="4" w:space="0" w:color="auto"/>
              <w:right w:val="single" w:sz="4" w:space="0" w:color="auto"/>
            </w:tcBorders>
            <w:shd w:val="clear" w:color="auto" w:fill="auto"/>
            <w:noWrap/>
            <w:vAlign w:val="bottom"/>
            <w:hideMark/>
          </w:tcPr>
          <w:p w14:paraId="33BC4DA8" w14:textId="77777777" w:rsidR="00844A7C" w:rsidRPr="000D6DD8" w:rsidRDefault="00844A7C" w:rsidP="00C33B4A">
            <w:pPr>
              <w:spacing w:line="240" w:lineRule="auto"/>
              <w:rPr>
                <w:rFonts w:cs="Times New Roman"/>
                <w:sz w:val="22"/>
              </w:rPr>
            </w:pPr>
            <w:r w:rsidRPr="000D6DD8">
              <w:rPr>
                <w:rFonts w:cs="Times New Roman"/>
                <w:sz w:val="22"/>
              </w:rPr>
              <w:t xml:space="preserve">              0</w:t>
            </w:r>
          </w:p>
        </w:tc>
      </w:tr>
      <w:tr w:rsidR="00844A7C" w:rsidRPr="000D6DD8" w14:paraId="39EB60D3"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30244742" w14:textId="77777777" w:rsidR="00844A7C" w:rsidRPr="000D6DD8" w:rsidRDefault="00844A7C" w:rsidP="00C33B4A">
            <w:pPr>
              <w:spacing w:line="240" w:lineRule="auto"/>
              <w:rPr>
                <w:rFonts w:cs="Times New Roman"/>
                <w:b/>
                <w:bCs/>
                <w:sz w:val="22"/>
              </w:rPr>
            </w:pPr>
            <w:r w:rsidRPr="000D6DD8">
              <w:rPr>
                <w:rFonts w:cs="Times New Roman"/>
                <w:b/>
                <w:bCs/>
                <w:sz w:val="22"/>
              </w:rPr>
              <w:t>Total Variable Costs</w:t>
            </w:r>
          </w:p>
        </w:tc>
        <w:tc>
          <w:tcPr>
            <w:tcW w:w="1695" w:type="dxa"/>
            <w:tcBorders>
              <w:top w:val="nil"/>
              <w:left w:val="nil"/>
              <w:bottom w:val="single" w:sz="4" w:space="0" w:color="auto"/>
              <w:right w:val="single" w:sz="4" w:space="0" w:color="auto"/>
            </w:tcBorders>
            <w:shd w:val="clear" w:color="auto" w:fill="auto"/>
            <w:noWrap/>
            <w:vAlign w:val="bottom"/>
            <w:hideMark/>
          </w:tcPr>
          <w:p w14:paraId="7ACE836B"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840,000 </w:t>
            </w:r>
          </w:p>
        </w:tc>
        <w:tc>
          <w:tcPr>
            <w:tcW w:w="1815" w:type="dxa"/>
            <w:tcBorders>
              <w:top w:val="nil"/>
              <w:left w:val="nil"/>
              <w:bottom w:val="single" w:sz="4" w:space="0" w:color="auto"/>
              <w:right w:val="single" w:sz="4" w:space="0" w:color="auto"/>
            </w:tcBorders>
            <w:shd w:val="clear" w:color="auto" w:fill="auto"/>
            <w:noWrap/>
            <w:vAlign w:val="bottom"/>
            <w:hideMark/>
          </w:tcPr>
          <w:p w14:paraId="5F9494E8"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640,000 </w:t>
            </w:r>
          </w:p>
        </w:tc>
        <w:tc>
          <w:tcPr>
            <w:tcW w:w="1835" w:type="dxa"/>
            <w:tcBorders>
              <w:top w:val="nil"/>
              <w:left w:val="nil"/>
              <w:bottom w:val="single" w:sz="4" w:space="0" w:color="auto"/>
              <w:right w:val="single" w:sz="4" w:space="0" w:color="auto"/>
            </w:tcBorders>
            <w:shd w:val="clear" w:color="auto" w:fill="auto"/>
            <w:noWrap/>
            <w:vAlign w:val="bottom"/>
            <w:hideMark/>
          </w:tcPr>
          <w:p w14:paraId="62217DFE"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200,000 U </w:t>
            </w:r>
          </w:p>
        </w:tc>
      </w:tr>
      <w:tr w:rsidR="00844A7C" w:rsidRPr="000D6DD8" w14:paraId="6913E699"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15EE598B" w14:textId="77777777" w:rsidR="00844A7C" w:rsidRPr="000D6DD8" w:rsidRDefault="00844A7C" w:rsidP="00C33B4A">
            <w:pPr>
              <w:spacing w:line="240" w:lineRule="auto"/>
              <w:rPr>
                <w:rFonts w:cs="Times New Roman"/>
                <w:b/>
                <w:bCs/>
                <w:sz w:val="22"/>
              </w:rPr>
            </w:pPr>
            <w:r w:rsidRPr="000D6DD8">
              <w:rPr>
                <w:rFonts w:cs="Times New Roman"/>
                <w:b/>
                <w:bCs/>
                <w:sz w:val="22"/>
              </w:rPr>
              <w:t>Contribution</w:t>
            </w:r>
          </w:p>
        </w:tc>
        <w:tc>
          <w:tcPr>
            <w:tcW w:w="1695" w:type="dxa"/>
            <w:tcBorders>
              <w:top w:val="nil"/>
              <w:left w:val="nil"/>
              <w:bottom w:val="single" w:sz="4" w:space="0" w:color="auto"/>
              <w:right w:val="single" w:sz="4" w:space="0" w:color="auto"/>
            </w:tcBorders>
            <w:shd w:val="clear" w:color="auto" w:fill="auto"/>
            <w:noWrap/>
            <w:vAlign w:val="bottom"/>
            <w:hideMark/>
          </w:tcPr>
          <w:p w14:paraId="73EDE9A2"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760,000 </w:t>
            </w:r>
          </w:p>
        </w:tc>
        <w:tc>
          <w:tcPr>
            <w:tcW w:w="1815" w:type="dxa"/>
            <w:tcBorders>
              <w:top w:val="nil"/>
              <w:left w:val="nil"/>
              <w:bottom w:val="single" w:sz="4" w:space="0" w:color="auto"/>
              <w:right w:val="single" w:sz="4" w:space="0" w:color="auto"/>
            </w:tcBorders>
            <w:shd w:val="clear" w:color="auto" w:fill="auto"/>
            <w:noWrap/>
            <w:vAlign w:val="bottom"/>
            <w:hideMark/>
          </w:tcPr>
          <w:p w14:paraId="0928D847"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1,360,000 </w:t>
            </w:r>
          </w:p>
        </w:tc>
        <w:tc>
          <w:tcPr>
            <w:tcW w:w="1835" w:type="dxa"/>
            <w:tcBorders>
              <w:top w:val="nil"/>
              <w:left w:val="nil"/>
              <w:bottom w:val="single" w:sz="4" w:space="0" w:color="auto"/>
              <w:right w:val="single" w:sz="4" w:space="0" w:color="auto"/>
            </w:tcBorders>
            <w:shd w:val="clear" w:color="auto" w:fill="auto"/>
            <w:noWrap/>
            <w:vAlign w:val="bottom"/>
            <w:hideMark/>
          </w:tcPr>
          <w:p w14:paraId="7EFDC8F9"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600,000 U </w:t>
            </w:r>
          </w:p>
        </w:tc>
      </w:tr>
      <w:tr w:rsidR="00844A7C" w:rsidRPr="000D6DD8" w14:paraId="204FF7C0"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3B827C62" w14:textId="77777777" w:rsidR="00844A7C" w:rsidRPr="000D6DD8" w:rsidRDefault="00844A7C" w:rsidP="00C33B4A">
            <w:pPr>
              <w:spacing w:line="240" w:lineRule="auto"/>
              <w:rPr>
                <w:rFonts w:cs="Times New Roman"/>
                <w:sz w:val="22"/>
              </w:rPr>
            </w:pPr>
            <w:r w:rsidRPr="000D6DD8">
              <w:rPr>
                <w:rFonts w:cs="Times New Roman"/>
                <w:sz w:val="22"/>
              </w:rPr>
              <w:t>Fixed Overheads:</w:t>
            </w:r>
          </w:p>
        </w:tc>
        <w:tc>
          <w:tcPr>
            <w:tcW w:w="1695" w:type="dxa"/>
            <w:tcBorders>
              <w:top w:val="nil"/>
              <w:left w:val="nil"/>
              <w:bottom w:val="single" w:sz="4" w:space="0" w:color="auto"/>
              <w:right w:val="single" w:sz="4" w:space="0" w:color="auto"/>
            </w:tcBorders>
            <w:shd w:val="clear" w:color="auto" w:fill="auto"/>
            <w:noWrap/>
            <w:vAlign w:val="bottom"/>
            <w:hideMark/>
          </w:tcPr>
          <w:p w14:paraId="17EA9EA9" w14:textId="77777777" w:rsidR="00844A7C" w:rsidRPr="000D6DD8" w:rsidRDefault="00844A7C" w:rsidP="00C33B4A">
            <w:pPr>
              <w:spacing w:line="240" w:lineRule="auto"/>
              <w:jc w:val="center"/>
              <w:rPr>
                <w:rFonts w:cs="Times New Roman"/>
                <w:sz w:val="22"/>
              </w:rPr>
            </w:pPr>
            <w:r w:rsidRPr="000D6DD8">
              <w:rPr>
                <w:rFonts w:cs="Times New Roman"/>
                <w:sz w:val="22"/>
              </w:rPr>
              <w:t> </w:t>
            </w:r>
          </w:p>
        </w:tc>
        <w:tc>
          <w:tcPr>
            <w:tcW w:w="1815" w:type="dxa"/>
            <w:tcBorders>
              <w:top w:val="nil"/>
              <w:left w:val="nil"/>
              <w:bottom w:val="single" w:sz="4" w:space="0" w:color="auto"/>
              <w:right w:val="single" w:sz="4" w:space="0" w:color="auto"/>
            </w:tcBorders>
            <w:shd w:val="clear" w:color="auto" w:fill="auto"/>
            <w:noWrap/>
            <w:vAlign w:val="bottom"/>
            <w:hideMark/>
          </w:tcPr>
          <w:p w14:paraId="1ED571D1" w14:textId="77777777" w:rsidR="00844A7C" w:rsidRPr="000D6DD8" w:rsidRDefault="00844A7C" w:rsidP="00C33B4A">
            <w:pPr>
              <w:spacing w:line="240" w:lineRule="auto"/>
              <w:jc w:val="center"/>
              <w:rPr>
                <w:rFonts w:cs="Times New Roman"/>
                <w:sz w:val="22"/>
              </w:rPr>
            </w:pPr>
            <w:r w:rsidRPr="000D6DD8">
              <w:rPr>
                <w:rFonts w:cs="Times New Roman"/>
                <w:sz w:val="22"/>
              </w:rPr>
              <w:t> </w:t>
            </w:r>
          </w:p>
        </w:tc>
        <w:tc>
          <w:tcPr>
            <w:tcW w:w="1835" w:type="dxa"/>
            <w:tcBorders>
              <w:top w:val="nil"/>
              <w:left w:val="nil"/>
              <w:bottom w:val="single" w:sz="4" w:space="0" w:color="auto"/>
              <w:right w:val="single" w:sz="4" w:space="0" w:color="auto"/>
            </w:tcBorders>
            <w:shd w:val="clear" w:color="auto" w:fill="auto"/>
            <w:noWrap/>
            <w:vAlign w:val="bottom"/>
            <w:hideMark/>
          </w:tcPr>
          <w:p w14:paraId="7D7C3025" w14:textId="77777777" w:rsidR="00844A7C" w:rsidRPr="000D6DD8" w:rsidRDefault="00844A7C" w:rsidP="00C33B4A">
            <w:pPr>
              <w:spacing w:line="240" w:lineRule="auto"/>
              <w:jc w:val="center"/>
              <w:rPr>
                <w:rFonts w:cs="Times New Roman"/>
                <w:sz w:val="22"/>
              </w:rPr>
            </w:pPr>
            <w:r w:rsidRPr="000D6DD8">
              <w:rPr>
                <w:rFonts w:cs="Times New Roman"/>
                <w:sz w:val="22"/>
              </w:rPr>
              <w:t> </w:t>
            </w:r>
          </w:p>
        </w:tc>
      </w:tr>
      <w:tr w:rsidR="00844A7C" w:rsidRPr="000D6DD8" w14:paraId="453658FE"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36E0416A" w14:textId="77777777" w:rsidR="00844A7C" w:rsidRPr="000D6DD8" w:rsidRDefault="00844A7C" w:rsidP="00C33B4A">
            <w:pPr>
              <w:spacing w:line="240" w:lineRule="auto"/>
              <w:rPr>
                <w:rFonts w:cs="Times New Roman"/>
                <w:sz w:val="22"/>
              </w:rPr>
            </w:pPr>
            <w:r w:rsidRPr="000D6DD8">
              <w:rPr>
                <w:rFonts w:cs="Times New Roman"/>
                <w:sz w:val="22"/>
              </w:rPr>
              <w:t>Warehouse rental</w:t>
            </w:r>
          </w:p>
        </w:tc>
        <w:tc>
          <w:tcPr>
            <w:tcW w:w="1695" w:type="dxa"/>
            <w:tcBorders>
              <w:top w:val="nil"/>
              <w:left w:val="nil"/>
              <w:bottom w:val="single" w:sz="4" w:space="0" w:color="auto"/>
              <w:right w:val="single" w:sz="4" w:space="0" w:color="auto"/>
            </w:tcBorders>
            <w:shd w:val="clear" w:color="auto" w:fill="auto"/>
            <w:noWrap/>
            <w:vAlign w:val="bottom"/>
            <w:hideMark/>
          </w:tcPr>
          <w:p w14:paraId="543A4FFB"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170,000 </w:t>
            </w:r>
          </w:p>
        </w:tc>
        <w:tc>
          <w:tcPr>
            <w:tcW w:w="1815" w:type="dxa"/>
            <w:tcBorders>
              <w:top w:val="nil"/>
              <w:left w:val="nil"/>
              <w:bottom w:val="single" w:sz="4" w:space="0" w:color="auto"/>
              <w:right w:val="single" w:sz="4" w:space="0" w:color="auto"/>
            </w:tcBorders>
            <w:shd w:val="clear" w:color="auto" w:fill="auto"/>
            <w:noWrap/>
            <w:vAlign w:val="bottom"/>
            <w:hideMark/>
          </w:tcPr>
          <w:p w14:paraId="5C1B2D2B"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200,000 </w:t>
            </w:r>
          </w:p>
        </w:tc>
        <w:tc>
          <w:tcPr>
            <w:tcW w:w="1835" w:type="dxa"/>
            <w:tcBorders>
              <w:top w:val="nil"/>
              <w:left w:val="nil"/>
              <w:bottom w:val="single" w:sz="4" w:space="0" w:color="auto"/>
              <w:right w:val="single" w:sz="4" w:space="0" w:color="auto"/>
            </w:tcBorders>
            <w:shd w:val="clear" w:color="auto" w:fill="auto"/>
            <w:noWrap/>
            <w:vAlign w:val="bottom"/>
            <w:hideMark/>
          </w:tcPr>
          <w:p w14:paraId="19A0B46C"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30,000 F </w:t>
            </w:r>
          </w:p>
        </w:tc>
      </w:tr>
      <w:tr w:rsidR="00844A7C" w:rsidRPr="000D6DD8" w14:paraId="13B4D8AC"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5100E63C" w14:textId="77777777" w:rsidR="00844A7C" w:rsidRPr="000D6DD8" w:rsidRDefault="00844A7C" w:rsidP="00C33B4A">
            <w:pPr>
              <w:spacing w:line="240" w:lineRule="auto"/>
              <w:rPr>
                <w:rFonts w:cs="Times New Roman"/>
                <w:sz w:val="22"/>
              </w:rPr>
            </w:pPr>
            <w:r w:rsidRPr="000D6DD8">
              <w:rPr>
                <w:rFonts w:cs="Times New Roman"/>
                <w:sz w:val="22"/>
              </w:rPr>
              <w:t>Insurance</w:t>
            </w:r>
          </w:p>
        </w:tc>
        <w:tc>
          <w:tcPr>
            <w:tcW w:w="1695" w:type="dxa"/>
            <w:tcBorders>
              <w:top w:val="nil"/>
              <w:left w:val="nil"/>
              <w:bottom w:val="single" w:sz="4" w:space="0" w:color="auto"/>
              <w:right w:val="single" w:sz="4" w:space="0" w:color="auto"/>
            </w:tcBorders>
            <w:shd w:val="clear" w:color="auto" w:fill="auto"/>
            <w:noWrap/>
            <w:vAlign w:val="bottom"/>
            <w:hideMark/>
          </w:tcPr>
          <w:p w14:paraId="2A8D5D19"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100,000 </w:t>
            </w:r>
          </w:p>
        </w:tc>
        <w:tc>
          <w:tcPr>
            <w:tcW w:w="1815" w:type="dxa"/>
            <w:tcBorders>
              <w:top w:val="nil"/>
              <w:left w:val="nil"/>
              <w:bottom w:val="single" w:sz="4" w:space="0" w:color="auto"/>
              <w:right w:val="single" w:sz="4" w:space="0" w:color="auto"/>
            </w:tcBorders>
            <w:shd w:val="clear" w:color="auto" w:fill="auto"/>
            <w:noWrap/>
            <w:vAlign w:val="bottom"/>
            <w:hideMark/>
          </w:tcPr>
          <w:p w14:paraId="0C393EA2"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100,000 </w:t>
            </w:r>
          </w:p>
        </w:tc>
        <w:tc>
          <w:tcPr>
            <w:tcW w:w="1835" w:type="dxa"/>
            <w:tcBorders>
              <w:top w:val="nil"/>
              <w:left w:val="nil"/>
              <w:bottom w:val="single" w:sz="4" w:space="0" w:color="auto"/>
              <w:right w:val="single" w:sz="4" w:space="0" w:color="auto"/>
            </w:tcBorders>
            <w:shd w:val="clear" w:color="auto" w:fill="auto"/>
            <w:noWrap/>
            <w:vAlign w:val="bottom"/>
            <w:hideMark/>
          </w:tcPr>
          <w:p w14:paraId="0B248952"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0                   </w:t>
            </w:r>
          </w:p>
        </w:tc>
      </w:tr>
      <w:tr w:rsidR="00844A7C" w:rsidRPr="000D6DD8" w14:paraId="3805E2FC" w14:textId="77777777" w:rsidTr="00C33B4A">
        <w:trPr>
          <w:trHeight w:val="600"/>
          <w:jc w:val="center"/>
        </w:trPr>
        <w:tc>
          <w:tcPr>
            <w:tcW w:w="2465" w:type="dxa"/>
            <w:tcBorders>
              <w:top w:val="nil"/>
              <w:left w:val="single" w:sz="4" w:space="0" w:color="auto"/>
              <w:bottom w:val="single" w:sz="4" w:space="0" w:color="auto"/>
              <w:right w:val="single" w:sz="4" w:space="0" w:color="auto"/>
            </w:tcBorders>
            <w:shd w:val="clear" w:color="auto" w:fill="auto"/>
            <w:vAlign w:val="bottom"/>
            <w:hideMark/>
          </w:tcPr>
          <w:p w14:paraId="1BE8F5B6" w14:textId="77777777" w:rsidR="00844A7C" w:rsidRPr="000D6DD8" w:rsidRDefault="00844A7C" w:rsidP="00C33B4A">
            <w:pPr>
              <w:spacing w:line="240" w:lineRule="auto"/>
              <w:rPr>
                <w:rFonts w:cs="Times New Roman"/>
                <w:sz w:val="22"/>
              </w:rPr>
            </w:pPr>
            <w:r w:rsidRPr="000D6DD8">
              <w:rPr>
                <w:rFonts w:cs="Times New Roman"/>
                <w:sz w:val="22"/>
              </w:rPr>
              <w:t>Fulltime warehouse Supervisor Salary</w:t>
            </w:r>
          </w:p>
        </w:tc>
        <w:tc>
          <w:tcPr>
            <w:tcW w:w="1695" w:type="dxa"/>
            <w:tcBorders>
              <w:top w:val="nil"/>
              <w:left w:val="nil"/>
              <w:bottom w:val="single" w:sz="4" w:space="0" w:color="auto"/>
              <w:right w:val="single" w:sz="4" w:space="0" w:color="auto"/>
            </w:tcBorders>
            <w:shd w:val="clear" w:color="auto" w:fill="auto"/>
            <w:noWrap/>
            <w:vAlign w:val="bottom"/>
            <w:hideMark/>
          </w:tcPr>
          <w:p w14:paraId="5326F592"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35,000 </w:t>
            </w:r>
          </w:p>
        </w:tc>
        <w:tc>
          <w:tcPr>
            <w:tcW w:w="1815" w:type="dxa"/>
            <w:tcBorders>
              <w:top w:val="nil"/>
              <w:left w:val="nil"/>
              <w:bottom w:val="single" w:sz="4" w:space="0" w:color="auto"/>
              <w:right w:val="single" w:sz="4" w:space="0" w:color="auto"/>
            </w:tcBorders>
            <w:shd w:val="clear" w:color="auto" w:fill="auto"/>
            <w:noWrap/>
            <w:vAlign w:val="bottom"/>
            <w:hideMark/>
          </w:tcPr>
          <w:p w14:paraId="18A7D38F"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50,000 </w:t>
            </w:r>
          </w:p>
        </w:tc>
        <w:tc>
          <w:tcPr>
            <w:tcW w:w="1835" w:type="dxa"/>
            <w:tcBorders>
              <w:top w:val="nil"/>
              <w:left w:val="nil"/>
              <w:bottom w:val="single" w:sz="4" w:space="0" w:color="auto"/>
              <w:right w:val="single" w:sz="4" w:space="0" w:color="auto"/>
            </w:tcBorders>
            <w:shd w:val="clear" w:color="auto" w:fill="auto"/>
            <w:noWrap/>
            <w:vAlign w:val="bottom"/>
            <w:hideMark/>
          </w:tcPr>
          <w:p w14:paraId="796BCF8A" w14:textId="77777777" w:rsidR="00844A7C" w:rsidRPr="000D6DD8" w:rsidRDefault="00844A7C" w:rsidP="00C33B4A">
            <w:pPr>
              <w:spacing w:line="240" w:lineRule="auto"/>
              <w:jc w:val="center"/>
              <w:rPr>
                <w:rFonts w:cs="Times New Roman"/>
                <w:sz w:val="22"/>
              </w:rPr>
            </w:pPr>
            <w:r w:rsidRPr="000D6DD8">
              <w:rPr>
                <w:rFonts w:cs="Times New Roman"/>
                <w:sz w:val="22"/>
              </w:rPr>
              <w:t xml:space="preserve"> 15,000 F </w:t>
            </w:r>
          </w:p>
        </w:tc>
      </w:tr>
      <w:tr w:rsidR="00844A7C" w:rsidRPr="000D6DD8" w14:paraId="4A2A30E1"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54E1AF25" w14:textId="77777777" w:rsidR="00844A7C" w:rsidRPr="000D6DD8" w:rsidRDefault="00844A7C" w:rsidP="00C33B4A">
            <w:pPr>
              <w:spacing w:line="240" w:lineRule="auto"/>
              <w:rPr>
                <w:rFonts w:cs="Times New Roman"/>
                <w:b/>
                <w:bCs/>
                <w:sz w:val="22"/>
              </w:rPr>
            </w:pPr>
            <w:r w:rsidRPr="000D6DD8">
              <w:rPr>
                <w:rFonts w:cs="Times New Roman"/>
                <w:b/>
                <w:bCs/>
                <w:sz w:val="22"/>
              </w:rPr>
              <w:t>Total Fixed Overhead</w:t>
            </w:r>
          </w:p>
        </w:tc>
        <w:tc>
          <w:tcPr>
            <w:tcW w:w="1695" w:type="dxa"/>
            <w:tcBorders>
              <w:top w:val="nil"/>
              <w:left w:val="nil"/>
              <w:bottom w:val="single" w:sz="4" w:space="0" w:color="auto"/>
              <w:right w:val="single" w:sz="4" w:space="0" w:color="auto"/>
            </w:tcBorders>
            <w:shd w:val="clear" w:color="auto" w:fill="auto"/>
            <w:noWrap/>
            <w:vAlign w:val="bottom"/>
            <w:hideMark/>
          </w:tcPr>
          <w:p w14:paraId="7108F0DC"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305,000 </w:t>
            </w:r>
          </w:p>
        </w:tc>
        <w:tc>
          <w:tcPr>
            <w:tcW w:w="1815" w:type="dxa"/>
            <w:tcBorders>
              <w:top w:val="nil"/>
              <w:left w:val="nil"/>
              <w:bottom w:val="single" w:sz="4" w:space="0" w:color="auto"/>
              <w:right w:val="single" w:sz="4" w:space="0" w:color="auto"/>
            </w:tcBorders>
            <w:shd w:val="clear" w:color="auto" w:fill="auto"/>
            <w:noWrap/>
            <w:vAlign w:val="bottom"/>
            <w:hideMark/>
          </w:tcPr>
          <w:p w14:paraId="7F0D20A1"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350,000 </w:t>
            </w:r>
          </w:p>
        </w:tc>
        <w:tc>
          <w:tcPr>
            <w:tcW w:w="1835" w:type="dxa"/>
            <w:tcBorders>
              <w:top w:val="nil"/>
              <w:left w:val="nil"/>
              <w:bottom w:val="single" w:sz="4" w:space="0" w:color="auto"/>
              <w:right w:val="single" w:sz="4" w:space="0" w:color="auto"/>
            </w:tcBorders>
            <w:shd w:val="clear" w:color="auto" w:fill="auto"/>
            <w:noWrap/>
            <w:vAlign w:val="bottom"/>
            <w:hideMark/>
          </w:tcPr>
          <w:p w14:paraId="35A9B24E"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45,000 F </w:t>
            </w:r>
          </w:p>
        </w:tc>
      </w:tr>
      <w:tr w:rsidR="00844A7C" w:rsidRPr="000D6DD8" w14:paraId="76C1CEC7"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4FA1F9B6" w14:textId="77777777" w:rsidR="00844A7C" w:rsidRPr="000D6DD8" w:rsidRDefault="00844A7C" w:rsidP="00C33B4A">
            <w:pPr>
              <w:spacing w:line="240" w:lineRule="auto"/>
              <w:rPr>
                <w:rFonts w:cs="Times New Roman"/>
                <w:b/>
                <w:bCs/>
                <w:sz w:val="22"/>
              </w:rPr>
            </w:pPr>
            <w:r w:rsidRPr="000D6DD8">
              <w:rPr>
                <w:rFonts w:cs="Times New Roman"/>
                <w:b/>
                <w:bCs/>
                <w:sz w:val="22"/>
              </w:rPr>
              <w:t>Total Costs</w:t>
            </w:r>
          </w:p>
        </w:tc>
        <w:tc>
          <w:tcPr>
            <w:tcW w:w="1695" w:type="dxa"/>
            <w:tcBorders>
              <w:top w:val="nil"/>
              <w:left w:val="nil"/>
              <w:bottom w:val="single" w:sz="4" w:space="0" w:color="auto"/>
              <w:right w:val="single" w:sz="4" w:space="0" w:color="auto"/>
            </w:tcBorders>
            <w:shd w:val="clear" w:color="auto" w:fill="auto"/>
            <w:noWrap/>
            <w:vAlign w:val="bottom"/>
            <w:hideMark/>
          </w:tcPr>
          <w:p w14:paraId="13F58A05"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1,145,000 </w:t>
            </w:r>
          </w:p>
        </w:tc>
        <w:tc>
          <w:tcPr>
            <w:tcW w:w="1815" w:type="dxa"/>
            <w:tcBorders>
              <w:top w:val="nil"/>
              <w:left w:val="nil"/>
              <w:bottom w:val="single" w:sz="4" w:space="0" w:color="auto"/>
              <w:right w:val="single" w:sz="4" w:space="0" w:color="auto"/>
            </w:tcBorders>
            <w:shd w:val="clear" w:color="auto" w:fill="auto"/>
            <w:noWrap/>
            <w:vAlign w:val="bottom"/>
            <w:hideMark/>
          </w:tcPr>
          <w:p w14:paraId="4DBC9F8F"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990,000 </w:t>
            </w:r>
          </w:p>
        </w:tc>
        <w:tc>
          <w:tcPr>
            <w:tcW w:w="1835" w:type="dxa"/>
            <w:tcBorders>
              <w:top w:val="nil"/>
              <w:left w:val="nil"/>
              <w:bottom w:val="single" w:sz="4" w:space="0" w:color="auto"/>
              <w:right w:val="single" w:sz="4" w:space="0" w:color="auto"/>
            </w:tcBorders>
            <w:shd w:val="clear" w:color="auto" w:fill="auto"/>
            <w:noWrap/>
            <w:vAlign w:val="bottom"/>
            <w:hideMark/>
          </w:tcPr>
          <w:p w14:paraId="5841FE33"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155,000 U </w:t>
            </w:r>
          </w:p>
        </w:tc>
      </w:tr>
      <w:tr w:rsidR="00844A7C" w:rsidRPr="000D6DD8" w14:paraId="43AA6C3A" w14:textId="77777777" w:rsidTr="00C33B4A">
        <w:trPr>
          <w:trHeight w:val="300"/>
          <w:jc w:val="center"/>
        </w:trPr>
        <w:tc>
          <w:tcPr>
            <w:tcW w:w="2465" w:type="dxa"/>
            <w:tcBorders>
              <w:top w:val="nil"/>
              <w:left w:val="single" w:sz="4" w:space="0" w:color="auto"/>
              <w:bottom w:val="single" w:sz="4" w:space="0" w:color="auto"/>
              <w:right w:val="single" w:sz="4" w:space="0" w:color="auto"/>
            </w:tcBorders>
            <w:shd w:val="clear" w:color="auto" w:fill="auto"/>
            <w:noWrap/>
            <w:vAlign w:val="bottom"/>
            <w:hideMark/>
          </w:tcPr>
          <w:p w14:paraId="0426A9D9" w14:textId="77777777" w:rsidR="00844A7C" w:rsidRPr="000D6DD8" w:rsidRDefault="00844A7C" w:rsidP="00C33B4A">
            <w:pPr>
              <w:spacing w:line="240" w:lineRule="auto"/>
              <w:rPr>
                <w:rFonts w:cs="Times New Roman"/>
                <w:b/>
                <w:bCs/>
                <w:sz w:val="22"/>
              </w:rPr>
            </w:pPr>
            <w:r w:rsidRPr="000D6DD8">
              <w:rPr>
                <w:rFonts w:cs="Times New Roman"/>
                <w:b/>
                <w:bCs/>
                <w:sz w:val="22"/>
              </w:rPr>
              <w:t>Net Profit</w:t>
            </w:r>
          </w:p>
        </w:tc>
        <w:tc>
          <w:tcPr>
            <w:tcW w:w="1695" w:type="dxa"/>
            <w:tcBorders>
              <w:top w:val="nil"/>
              <w:left w:val="nil"/>
              <w:bottom w:val="single" w:sz="4" w:space="0" w:color="auto"/>
              <w:right w:val="single" w:sz="4" w:space="0" w:color="auto"/>
            </w:tcBorders>
            <w:shd w:val="clear" w:color="auto" w:fill="auto"/>
            <w:noWrap/>
            <w:vAlign w:val="bottom"/>
            <w:hideMark/>
          </w:tcPr>
          <w:p w14:paraId="5A4E9F8E"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455,000 </w:t>
            </w:r>
          </w:p>
        </w:tc>
        <w:tc>
          <w:tcPr>
            <w:tcW w:w="1815" w:type="dxa"/>
            <w:tcBorders>
              <w:top w:val="nil"/>
              <w:left w:val="nil"/>
              <w:bottom w:val="single" w:sz="4" w:space="0" w:color="auto"/>
              <w:right w:val="single" w:sz="4" w:space="0" w:color="auto"/>
            </w:tcBorders>
            <w:shd w:val="clear" w:color="auto" w:fill="auto"/>
            <w:noWrap/>
            <w:vAlign w:val="bottom"/>
            <w:hideMark/>
          </w:tcPr>
          <w:p w14:paraId="154BED7F"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1,010,000 </w:t>
            </w:r>
          </w:p>
        </w:tc>
        <w:tc>
          <w:tcPr>
            <w:tcW w:w="1835" w:type="dxa"/>
            <w:tcBorders>
              <w:top w:val="nil"/>
              <w:left w:val="nil"/>
              <w:bottom w:val="single" w:sz="4" w:space="0" w:color="auto"/>
              <w:right w:val="single" w:sz="4" w:space="0" w:color="auto"/>
            </w:tcBorders>
            <w:shd w:val="clear" w:color="auto" w:fill="auto"/>
            <w:noWrap/>
            <w:vAlign w:val="bottom"/>
            <w:hideMark/>
          </w:tcPr>
          <w:p w14:paraId="1CE2CBA0" w14:textId="77777777" w:rsidR="00844A7C" w:rsidRPr="000D6DD8" w:rsidRDefault="00844A7C" w:rsidP="00C33B4A">
            <w:pPr>
              <w:spacing w:line="240" w:lineRule="auto"/>
              <w:jc w:val="center"/>
              <w:rPr>
                <w:rFonts w:cs="Times New Roman"/>
                <w:b/>
                <w:bCs/>
                <w:sz w:val="22"/>
              </w:rPr>
            </w:pPr>
            <w:r w:rsidRPr="000D6DD8">
              <w:rPr>
                <w:rFonts w:cs="Times New Roman"/>
                <w:b/>
                <w:bCs/>
                <w:sz w:val="22"/>
              </w:rPr>
              <w:t xml:space="preserve"> 555,000 U </w:t>
            </w:r>
          </w:p>
        </w:tc>
      </w:tr>
    </w:tbl>
    <w:p w14:paraId="7C06C243" w14:textId="77777777" w:rsidR="00844A7C" w:rsidRPr="000D6DD8" w:rsidRDefault="00844A7C" w:rsidP="00844A7C">
      <w:pPr>
        <w:spacing w:line="360" w:lineRule="auto"/>
        <w:jc w:val="center"/>
        <w:rPr>
          <w:rFonts w:cs="Times New Roman"/>
        </w:rPr>
      </w:pPr>
      <w:r w:rsidRPr="000D6DD8">
        <w:rPr>
          <w:rFonts w:cs="Times New Roman"/>
          <w:b/>
        </w:rPr>
        <w:t>Table-2:</w:t>
      </w:r>
      <w:r w:rsidRPr="000D6DD8">
        <w:rPr>
          <w:rFonts w:cs="Times New Roman"/>
          <w:b/>
          <w:bCs/>
          <w:sz w:val="22"/>
        </w:rPr>
        <w:t xml:space="preserve"> Variances of Actual and Revised Budget Report</w:t>
      </w:r>
    </w:p>
    <w:p w14:paraId="2A577256" w14:textId="77777777" w:rsidR="00844A7C" w:rsidRPr="000D6DD8" w:rsidRDefault="00844A7C" w:rsidP="00844A7C">
      <w:pPr>
        <w:pStyle w:val="Heading2"/>
        <w:numPr>
          <w:ilvl w:val="0"/>
          <w:numId w:val="4"/>
        </w:numPr>
        <w:tabs>
          <w:tab w:val="left" w:pos="0"/>
          <w:tab w:val="left" w:pos="270"/>
        </w:tabs>
        <w:spacing w:line="360" w:lineRule="auto"/>
        <w:ind w:hanging="1080"/>
        <w:sectPr w:rsidR="00844A7C" w:rsidRPr="000D6DD8" w:rsidSect="006650A2">
          <w:pgSz w:w="12240" w:h="15840"/>
          <w:pgMar w:top="1440" w:right="1440" w:bottom="1440" w:left="1440" w:header="720" w:footer="720" w:gutter="0"/>
          <w:cols w:space="720"/>
          <w:docGrid w:linePitch="360"/>
        </w:sectPr>
      </w:pPr>
    </w:p>
    <w:p w14:paraId="77CA1997" w14:textId="77777777" w:rsidR="00844A7C" w:rsidRPr="000D6DD8" w:rsidRDefault="00844A7C" w:rsidP="00844A7C">
      <w:pPr>
        <w:pStyle w:val="Heading2"/>
        <w:numPr>
          <w:ilvl w:val="0"/>
          <w:numId w:val="4"/>
        </w:numPr>
        <w:tabs>
          <w:tab w:val="left" w:pos="0"/>
          <w:tab w:val="left" w:pos="270"/>
        </w:tabs>
        <w:spacing w:line="360" w:lineRule="auto"/>
        <w:ind w:hanging="1080"/>
      </w:pPr>
      <w:bookmarkStart w:id="5" w:name="_Toc69374871"/>
      <w:r w:rsidRPr="000D6DD8">
        <w:lastRenderedPageBreak/>
        <w:t>A Report on the Performance of Amana Ltd</w:t>
      </w:r>
      <w:bookmarkEnd w:id="5"/>
    </w:p>
    <w:p w14:paraId="1F44B995" w14:textId="77777777" w:rsidR="00844A7C" w:rsidRPr="000D6DD8" w:rsidRDefault="00844A7C" w:rsidP="00844A7C">
      <w:pPr>
        <w:spacing w:line="360" w:lineRule="auto"/>
        <w:jc w:val="both"/>
        <w:rPr>
          <w:rFonts w:cs="Times New Roman"/>
        </w:rPr>
      </w:pPr>
      <w:r w:rsidRPr="000D6DD8">
        <w:rPr>
          <w:rFonts w:cs="Times New Roman"/>
        </w:rPr>
        <w:t xml:space="preserve">Amana Ltd, a tourist business, is located in England selling souvenirs to tourists. The company has been running its business successfully for 40 years. But due to the lockdown during the Covid-19, its performance, especially its revenues, took a big hit in April 2020 because tourists could not move during that lockdown period. Its original budget of sales was 100,000 units of souvenirs where the actual sale was 80,000 units that are 20% lower than the budget. The flexed budget shows the sales, variable costs, fixed costs, and profits at a different level of activity as the percentage of the original budget. In the flexible budget performance report, a revised budget has been prepared based on the original budget. </w:t>
      </w:r>
    </w:p>
    <w:p w14:paraId="2A904932" w14:textId="77777777" w:rsidR="00844A7C" w:rsidRPr="000D6DD8" w:rsidRDefault="00844A7C" w:rsidP="00844A7C">
      <w:pPr>
        <w:spacing w:line="360" w:lineRule="auto"/>
        <w:jc w:val="both"/>
        <w:rPr>
          <w:rFonts w:cs="Times New Roman"/>
        </w:rPr>
      </w:pPr>
      <w:r w:rsidRPr="000D6DD8">
        <w:rPr>
          <w:rFonts w:cs="Times New Roman"/>
        </w:rPr>
        <w:t>‘Sale’ is the main source of revenue of Amana Ltd. During the year 2020, the actual sales amount was £1,600,000 where it would have been £2,000,000 according to the budget. The actual sale is 80% of the original budget which is not favourable for Amana Ltd. This sales variation occurred due to the lockdown for Covid-19 when the travellers could not travel.</w:t>
      </w:r>
    </w:p>
    <w:p w14:paraId="7C54C240" w14:textId="77777777" w:rsidR="00844A7C" w:rsidRPr="000D6DD8" w:rsidRDefault="00844A7C" w:rsidP="00844A7C">
      <w:pPr>
        <w:spacing w:line="360" w:lineRule="auto"/>
        <w:jc w:val="both"/>
        <w:rPr>
          <w:rFonts w:cs="Times New Roman"/>
        </w:rPr>
      </w:pPr>
      <w:r w:rsidRPr="000D6DD8">
        <w:rPr>
          <w:rFonts w:cs="Times New Roman"/>
        </w:rPr>
        <w:t>Amana Ltd is to incur two types of costs mainly- variable costs and fixed costs. The variable costs of Amana Ltd include Materials costs, Labour costs, and variable overheads. The total material cost was £280,000 which would be £2,000,000. So, per unit material cost was £3.5 instead of £2.5. During the lockdown, material cost increased by 40% which put a bad impact on the performance of Amana Ltd. Besides, Labour cost was £440,000 which would be £320,000. So, per unit labour cost became £5.5 instead of £4 which increased by 37.5% impacting the performance of Amana Ltd badly because the wage rate increased during the lockdown. But the variable portion of overheads was unchanged and remained £120,000. Ultimately total variable costs increased by 31.25%. That’s why the actual contribution was 44% lower than the revised budget.</w:t>
      </w:r>
    </w:p>
    <w:p w14:paraId="5AAD0F34" w14:textId="77777777" w:rsidR="00844A7C" w:rsidRPr="000D6DD8" w:rsidRDefault="00844A7C" w:rsidP="00844A7C">
      <w:pPr>
        <w:spacing w:line="360" w:lineRule="auto"/>
        <w:jc w:val="both"/>
        <w:rPr>
          <w:rFonts w:cs="Times New Roman"/>
        </w:rPr>
      </w:pPr>
      <w:r w:rsidRPr="000D6DD8">
        <w:rPr>
          <w:rFonts w:cs="Times New Roman"/>
        </w:rPr>
        <w:t xml:space="preserve">On the other hand, the fixed costs of Amana Ltd include warehouse rental costs, full-time warehouse supervisor salary, and insurance expenses. Fixed warehouse rental costs decreased from £200,000 to £170,000 which was a good indicator. But insurance expenses were unchanged. Again, the full-time warehouse supervisor's salary decreased by £15,000 from £50,000 to £35,000 due to the salary cut of the employees during the lockdown period. Total fixed overhead costs were decreased by approximately 13%. Though the company cut the salary of full-time warehouse </w:t>
      </w:r>
      <w:r w:rsidRPr="000D6DD8">
        <w:rPr>
          <w:rFonts w:cs="Times New Roman"/>
        </w:rPr>
        <w:lastRenderedPageBreak/>
        <w:t>supervisor salary, it couldn’t decrease the wages of labourers in which the company made a mistake.</w:t>
      </w:r>
    </w:p>
    <w:p w14:paraId="3C2D24C5" w14:textId="77777777" w:rsidR="00844A7C" w:rsidRPr="000D6DD8" w:rsidRDefault="00844A7C" w:rsidP="00844A7C">
      <w:pPr>
        <w:spacing w:line="360" w:lineRule="auto"/>
        <w:jc w:val="both"/>
        <w:rPr>
          <w:rFonts w:cs="Times New Roman"/>
        </w:rPr>
      </w:pPr>
      <w:r w:rsidRPr="000D6DD8">
        <w:rPr>
          <w:rFonts w:cs="Times New Roman"/>
        </w:rPr>
        <w:t>Total variable costs increased by 31.25% and Total fixed overhead costs decreased by 13% but the absolute amount of fixed costs were insignificant relative to the number of variable overhead costs which put a negative impact on the profitability of Amana Ltd. In 2020, the actual profit generated by Amana Ltd was £455,000where the profit should have been £1,010,000 according to the revised budget. So, the profit decreased by approximately 55% which badly impacted the performance of Amana Ltd. So, the ultimate profit of the company was not satisfactory during the year 2020.</w:t>
      </w:r>
    </w:p>
    <w:p w14:paraId="2AE85C1B" w14:textId="77777777" w:rsidR="00844A7C" w:rsidRPr="000D6DD8" w:rsidRDefault="00844A7C" w:rsidP="00844A7C">
      <w:pPr>
        <w:pStyle w:val="Heading2"/>
        <w:spacing w:line="360" w:lineRule="auto"/>
        <w:sectPr w:rsidR="00844A7C" w:rsidRPr="000D6DD8" w:rsidSect="006650A2">
          <w:pgSz w:w="12240" w:h="15840"/>
          <w:pgMar w:top="1440" w:right="1440" w:bottom="1440" w:left="1440" w:header="720" w:footer="720" w:gutter="0"/>
          <w:cols w:space="720"/>
          <w:docGrid w:linePitch="360"/>
        </w:sectPr>
      </w:pPr>
    </w:p>
    <w:p w14:paraId="2F2236AD" w14:textId="77777777" w:rsidR="00844A7C" w:rsidRPr="000D6DD8" w:rsidRDefault="00844A7C" w:rsidP="00844A7C">
      <w:pPr>
        <w:pStyle w:val="Heading2"/>
        <w:spacing w:line="360" w:lineRule="auto"/>
      </w:pPr>
      <w:bookmarkStart w:id="6" w:name="_Toc69374872"/>
      <w:r w:rsidRPr="000D6DD8">
        <w:lastRenderedPageBreak/>
        <w:t>iii) Recommendations to the CEO of Amana for Improvement</w:t>
      </w:r>
      <w:bookmarkEnd w:id="6"/>
    </w:p>
    <w:p w14:paraId="4E984D89" w14:textId="77777777" w:rsidR="00844A7C" w:rsidRPr="000D6DD8" w:rsidRDefault="00844A7C" w:rsidP="00844A7C">
      <w:pPr>
        <w:spacing w:line="360" w:lineRule="auto"/>
        <w:jc w:val="both"/>
        <w:rPr>
          <w:rFonts w:cs="Times New Roman"/>
        </w:rPr>
      </w:pPr>
      <w:r w:rsidRPr="000D6DD8">
        <w:rPr>
          <w:rFonts w:cs="Times New Roman"/>
        </w:rPr>
        <w:t>Through Amana Ltd has been continuing its souvenirs selling business for 40 years successfully, it couldn’t hold its performance as it did due to the lockdown during the Covid-19 pandemic. As the current performance of Amana is not satisfactory, as a manager recruited by the owner, Mr. Amana, I would recommend to the CEO to improve the following areas-</w:t>
      </w:r>
    </w:p>
    <w:p w14:paraId="43E34D92"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After the lockdown, the CEO of Amana Ltd can take necessary steps to increase the sales volume of souvenirs through taking different promotional activities like online marketing, newspapers, other social media, etc. Their target should be to utilize the 100% capacity. Because profitability becomes maximum when 100% capacity is utilized. Otherwise, there remains an opportunity cost that decreases the profitability.</w:t>
      </w:r>
    </w:p>
    <w:p w14:paraId="0223BADA"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The CEO can increase the prices of souvenirs by increasing the demand through different activities. Because if demand can be increased, travellers will be willing to purchase souvenirs at higher prices. Thus, the company will be able to run its business profitably.</w:t>
      </w:r>
    </w:p>
    <w:p w14:paraId="2FC3E462"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The CEO can make contracts between the company and the suppliers of direct materials to prevent the price increase of the materials. The long-term contracts may help the company to increase the contribution margin by decreasing the costs of direct materials. Besides long-term relationships between the suppliers and the traders can be effective for the price stability</w:t>
      </w:r>
    </w:p>
    <w:p w14:paraId="091D5D5F"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The CEO can negotiate with the labour union for the wages they are paid. If a permanent contract can be made between the company and the labour union, a sudden wage increase can be prevented.</w:t>
      </w:r>
    </w:p>
    <w:p w14:paraId="4693C0DB"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The CEO can prepare a strategic plan for 1-year, 3-year and 5-year goals which will show the difference between the target and the actual performance of Amana Ltd. Thus, CEO will be able to easily determine the field where improvement should be made.</w:t>
      </w:r>
    </w:p>
    <w:p w14:paraId="2D5A6601"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The CEO of Amana Ltd can determine the key 5 success factors for his business. Then he can monitor the factors periodically. Sales and expense controls could be 2 important factors out of 5 factors. Besides, unprofitable projects in the Brighton, Birmingham city centre, and Manchester city centre branches can be liquidated like</w:t>
      </w:r>
    </w:p>
    <w:p w14:paraId="0008030B" w14:textId="77777777" w:rsidR="00844A7C" w:rsidRPr="000D6DD8" w:rsidRDefault="00844A7C" w:rsidP="00844A7C">
      <w:pPr>
        <w:pStyle w:val="ListParagraph"/>
        <w:numPr>
          <w:ilvl w:val="0"/>
          <w:numId w:val="1"/>
        </w:numPr>
        <w:spacing w:after="160" w:line="360" w:lineRule="auto"/>
        <w:ind w:left="540" w:hanging="270"/>
        <w:jc w:val="both"/>
        <w:rPr>
          <w:rFonts w:cs="Times New Roman"/>
        </w:rPr>
      </w:pPr>
      <w:r w:rsidRPr="000D6DD8">
        <w:rPr>
          <w:rFonts w:cs="Times New Roman"/>
        </w:rPr>
        <w:t>The CEO can conduct a customer satisfaction survey each year. Through honest feedback from the customers, it can be easily identified which products or services should be removed, improved, or changed.</w:t>
      </w:r>
    </w:p>
    <w:p w14:paraId="4E6965D5" w14:textId="77777777" w:rsidR="00844A7C" w:rsidRPr="000D6DD8" w:rsidRDefault="00844A7C" w:rsidP="00844A7C">
      <w:pPr>
        <w:spacing w:after="160" w:line="360" w:lineRule="auto"/>
        <w:jc w:val="both"/>
        <w:rPr>
          <w:rFonts w:cs="Times New Roman"/>
        </w:rPr>
      </w:pPr>
    </w:p>
    <w:p w14:paraId="3C7475FF" w14:textId="77777777" w:rsidR="00844A7C" w:rsidRPr="000D6DD8" w:rsidRDefault="00844A7C" w:rsidP="00844A7C">
      <w:pPr>
        <w:spacing w:line="360" w:lineRule="auto"/>
        <w:rPr>
          <w:rFonts w:cs="Times New Roman"/>
        </w:rPr>
      </w:pPr>
    </w:p>
    <w:p w14:paraId="5ADF820A" w14:textId="77777777" w:rsidR="00844A7C" w:rsidRPr="000D6DD8" w:rsidRDefault="00844A7C" w:rsidP="00844A7C">
      <w:pPr>
        <w:pStyle w:val="Heading1"/>
        <w:sectPr w:rsidR="00844A7C" w:rsidRPr="000D6DD8" w:rsidSect="006650A2">
          <w:pgSz w:w="12240" w:h="15840"/>
          <w:pgMar w:top="1440" w:right="1440" w:bottom="1440" w:left="1440" w:header="720" w:footer="720" w:gutter="0"/>
          <w:cols w:space="720"/>
          <w:docGrid w:linePitch="360"/>
        </w:sectPr>
      </w:pPr>
    </w:p>
    <w:p w14:paraId="4B8CA1A2" w14:textId="77777777" w:rsidR="00844A7C" w:rsidRPr="000D6DD8" w:rsidRDefault="00844A7C" w:rsidP="00844A7C">
      <w:pPr>
        <w:pStyle w:val="Heading1"/>
      </w:pPr>
      <w:bookmarkStart w:id="7" w:name="_Toc69374873"/>
      <w:r w:rsidRPr="000D6DD8">
        <w:lastRenderedPageBreak/>
        <w:t>Part-B</w:t>
      </w:r>
      <w:bookmarkEnd w:id="7"/>
    </w:p>
    <w:p w14:paraId="6D21A22F" w14:textId="77777777" w:rsidR="00844A7C" w:rsidRPr="000D6DD8" w:rsidRDefault="00844A7C" w:rsidP="00844A7C">
      <w:pPr>
        <w:spacing w:line="360" w:lineRule="auto"/>
        <w:jc w:val="both"/>
        <w:rPr>
          <w:rFonts w:cs="Times New Roman"/>
        </w:rPr>
      </w:pPr>
      <w:r w:rsidRPr="000D6DD8">
        <w:rPr>
          <w:rFonts w:cs="Times New Roman"/>
        </w:rPr>
        <w:t>Amana Ltd is considering the following two alternatives to change its current business model.As a manager; I would suggest Amana Ltd own online shops. Reasons behind this decision are analysed below-</w:t>
      </w:r>
    </w:p>
    <w:p w14:paraId="3E57D937" w14:textId="77777777" w:rsidR="00844A7C" w:rsidRPr="000D6DD8" w:rsidRDefault="00844A7C" w:rsidP="00844A7C">
      <w:pPr>
        <w:spacing w:line="360" w:lineRule="auto"/>
        <w:jc w:val="both"/>
        <w:rPr>
          <w:rFonts w:cs="Times New Roman"/>
        </w:rPr>
      </w:pPr>
      <w:r w:rsidRPr="000D6DD8">
        <w:rPr>
          <w:rFonts w:cs="Times New Roman"/>
        </w:rPr>
        <w:t>Project-A</w:t>
      </w:r>
      <w:r w:rsidRPr="000D6DD8">
        <w:rPr>
          <w:rFonts w:eastAsia="Times New Roman" w:cs="Times New Roman"/>
          <w:bCs/>
          <w:szCs w:val="24"/>
        </w:rPr>
        <w:t>(Owning Online Shop)</w:t>
      </w:r>
    </w:p>
    <w:p w14:paraId="4B34DB70" w14:textId="77777777" w:rsidR="00844A7C" w:rsidRPr="000D6DD8" w:rsidRDefault="00844A7C" w:rsidP="00844A7C">
      <w:pPr>
        <w:spacing w:line="360" w:lineRule="auto"/>
        <w:jc w:val="both"/>
        <w:rPr>
          <w:rFonts w:cs="Times New Roman"/>
        </w:rPr>
      </w:pPr>
      <w:r w:rsidRPr="000D6DD8">
        <w:rPr>
          <w:rFonts w:cs="Times New Roman"/>
        </w:rPr>
        <w:t>Mr. Amana, the owner of Amana Ltd, has noticed that there is a huge increase of the competitors of the company selling online to the customers in the UK, Europe, and the USA. He has been thinking of closing the Brighton, Birmingham city centre and Manchester city centre branches to increase its business activities and transfer 50% of its sales online from the physical stores. Necessary information related to this project are-</w:t>
      </w:r>
    </w:p>
    <w:p w14:paraId="45D323F7" w14:textId="77777777" w:rsidR="00844A7C" w:rsidRPr="000D6DD8" w:rsidRDefault="00844A7C" w:rsidP="00844A7C">
      <w:pPr>
        <w:pStyle w:val="ListParagraph"/>
        <w:numPr>
          <w:ilvl w:val="0"/>
          <w:numId w:val="2"/>
        </w:numPr>
        <w:spacing w:line="360" w:lineRule="auto"/>
        <w:jc w:val="both"/>
        <w:rPr>
          <w:rFonts w:cs="Times New Roman"/>
        </w:rPr>
      </w:pPr>
      <w:r w:rsidRPr="000D6DD8">
        <w:rPr>
          <w:rFonts w:cs="Times New Roman"/>
        </w:rPr>
        <w:t>Amana needs to spend £150,000 to set up a delivery network.</w:t>
      </w:r>
    </w:p>
    <w:p w14:paraId="5017911F" w14:textId="77777777" w:rsidR="00844A7C" w:rsidRPr="000D6DD8" w:rsidRDefault="00844A7C" w:rsidP="00844A7C">
      <w:pPr>
        <w:pStyle w:val="ListParagraph"/>
        <w:numPr>
          <w:ilvl w:val="0"/>
          <w:numId w:val="2"/>
        </w:numPr>
        <w:spacing w:line="360" w:lineRule="auto"/>
        <w:jc w:val="both"/>
        <w:rPr>
          <w:rFonts w:cs="Times New Roman"/>
        </w:rPr>
      </w:pPr>
      <w:r w:rsidRPr="000D6DD8">
        <w:rPr>
          <w:rFonts w:cs="Times New Roman"/>
        </w:rPr>
        <w:t>The company needs to bear the cost of upgrading the current website to handle the large volume of sales which is £50,000 because the previous website is not suitable for controlling the large volume of sales. It needs to be upgraded.</w:t>
      </w:r>
    </w:p>
    <w:p w14:paraId="33273CA9" w14:textId="77777777" w:rsidR="00844A7C" w:rsidRPr="000D6DD8" w:rsidRDefault="00844A7C" w:rsidP="00844A7C">
      <w:pPr>
        <w:pStyle w:val="ListParagraph"/>
        <w:numPr>
          <w:ilvl w:val="0"/>
          <w:numId w:val="2"/>
        </w:numPr>
        <w:spacing w:line="360" w:lineRule="auto"/>
        <w:jc w:val="both"/>
        <w:rPr>
          <w:rFonts w:cs="Times New Roman"/>
        </w:rPr>
      </w:pPr>
      <w:r w:rsidRPr="000D6DD8">
        <w:rPr>
          <w:rFonts w:cs="Times New Roman"/>
        </w:rPr>
        <w:t>To maintain the website, a full-time IT programmer is needed. £35,000 of salary must be paid to the IT programmer annually.</w:t>
      </w:r>
    </w:p>
    <w:p w14:paraId="034EF68A" w14:textId="77777777" w:rsidR="00844A7C" w:rsidRPr="000D6DD8" w:rsidRDefault="00844A7C" w:rsidP="00844A7C">
      <w:pPr>
        <w:pStyle w:val="ListParagraph"/>
        <w:numPr>
          <w:ilvl w:val="0"/>
          <w:numId w:val="2"/>
        </w:numPr>
        <w:spacing w:line="360" w:lineRule="auto"/>
        <w:jc w:val="both"/>
        <w:rPr>
          <w:rFonts w:cs="Times New Roman"/>
        </w:rPr>
      </w:pPr>
      <w:r w:rsidRPr="000D6DD8">
        <w:rPr>
          <w:rFonts w:cs="Times New Roman"/>
        </w:rPr>
        <w:t>To start an online business, Amana Ltd has researched the customers. The research shows that there would be guaranteed sales of 100,000 units annually.</w:t>
      </w:r>
    </w:p>
    <w:p w14:paraId="0754C921" w14:textId="77777777" w:rsidR="00844A7C" w:rsidRPr="000D6DD8" w:rsidRDefault="00844A7C" w:rsidP="00844A7C">
      <w:pPr>
        <w:spacing w:line="360" w:lineRule="auto"/>
        <w:jc w:val="both"/>
        <w:rPr>
          <w:rFonts w:cs="Times New Roman"/>
        </w:rPr>
      </w:pPr>
      <w:r w:rsidRPr="000D6DD8">
        <w:rPr>
          <w:rFonts w:cs="Times New Roman"/>
        </w:rPr>
        <w:t>Project-B (Selling on Amazon)</w:t>
      </w:r>
    </w:p>
    <w:p w14:paraId="5AB4A4EC" w14:textId="77777777" w:rsidR="00844A7C" w:rsidRPr="000D6DD8" w:rsidRDefault="00844A7C" w:rsidP="00844A7C">
      <w:pPr>
        <w:spacing w:line="360" w:lineRule="auto"/>
        <w:jc w:val="both"/>
        <w:rPr>
          <w:rFonts w:cs="Times New Roman"/>
        </w:rPr>
      </w:pPr>
      <w:r w:rsidRPr="000D6DD8">
        <w:rPr>
          <w:rFonts w:cs="Times New Roman"/>
        </w:rPr>
        <w:t>Besides Amana Ltd has another alternative of selling products directly on Amazon. Necessary information related to selling products directly on Amazon which needs to be considered while making decisions are-</w:t>
      </w:r>
    </w:p>
    <w:p w14:paraId="5F27C977" w14:textId="77777777" w:rsidR="00844A7C" w:rsidRPr="000D6DD8" w:rsidRDefault="00844A7C" w:rsidP="00844A7C">
      <w:pPr>
        <w:pStyle w:val="ListParagraph"/>
        <w:numPr>
          <w:ilvl w:val="0"/>
          <w:numId w:val="3"/>
        </w:numPr>
        <w:spacing w:line="360" w:lineRule="auto"/>
        <w:jc w:val="both"/>
        <w:rPr>
          <w:rFonts w:cs="Times New Roman"/>
        </w:rPr>
      </w:pPr>
      <w:r w:rsidRPr="000D6DD8">
        <w:rPr>
          <w:rFonts w:cs="Times New Roman"/>
        </w:rPr>
        <w:t>To join with Amazon, Amana Ltd must provide a fulfilment fee which is £50,000.</w:t>
      </w:r>
    </w:p>
    <w:p w14:paraId="1468BFB0" w14:textId="77777777" w:rsidR="00844A7C" w:rsidRPr="000D6DD8" w:rsidRDefault="00844A7C" w:rsidP="00844A7C">
      <w:pPr>
        <w:pStyle w:val="ListParagraph"/>
        <w:numPr>
          <w:ilvl w:val="0"/>
          <w:numId w:val="3"/>
        </w:numPr>
        <w:spacing w:line="360" w:lineRule="auto"/>
        <w:jc w:val="both"/>
        <w:rPr>
          <w:rFonts w:cs="Times New Roman"/>
        </w:rPr>
      </w:pPr>
      <w:r w:rsidRPr="000D6DD8">
        <w:rPr>
          <w:rFonts w:cs="Times New Roman"/>
        </w:rPr>
        <w:t>There is a high level of competition between the other suppliers of Amazon and Amana Ltd. Though the existence of huge competition, Amana Ltd can ensure guaranteed sales of 65,000 units on Amazon annually. Besides, there is a potential for sales increase depending on the demands of souvenirs supplied by Amana Ltd.</w:t>
      </w:r>
    </w:p>
    <w:p w14:paraId="118E742B" w14:textId="77777777" w:rsidR="00844A7C" w:rsidRPr="000D6DD8" w:rsidRDefault="00844A7C" w:rsidP="00844A7C">
      <w:pPr>
        <w:pStyle w:val="ListParagraph"/>
        <w:numPr>
          <w:ilvl w:val="0"/>
          <w:numId w:val="3"/>
        </w:numPr>
        <w:spacing w:line="360" w:lineRule="auto"/>
        <w:jc w:val="both"/>
        <w:rPr>
          <w:rFonts w:cs="Times New Roman"/>
        </w:rPr>
      </w:pPr>
      <w:r w:rsidRPr="000D6DD8">
        <w:rPr>
          <w:rFonts w:cs="Times New Roman"/>
        </w:rPr>
        <w:t>But there is a lack of control over pricing and return policy.</w:t>
      </w:r>
    </w:p>
    <w:p w14:paraId="210B5610" w14:textId="77777777" w:rsidR="00844A7C" w:rsidRPr="000D6DD8" w:rsidRDefault="00844A7C" w:rsidP="00844A7C">
      <w:pPr>
        <w:spacing w:line="360" w:lineRule="auto"/>
        <w:jc w:val="both"/>
        <w:rPr>
          <w:rFonts w:cs="Times New Roman"/>
        </w:rPr>
      </w:pPr>
      <w:r w:rsidRPr="000D6DD8">
        <w:rPr>
          <w:rFonts w:cs="Times New Roman"/>
        </w:rPr>
        <w:lastRenderedPageBreak/>
        <w:t xml:space="preserve">To select the most suitable project, the NPV approach can be applied to evaluate the returns of these projects. A 10% discount rate will be applied to determine the NPV of the mutually exclusive projects. Though a volatile pricing condition has been mentioned in the second alternative, we will use £25 selling price per unit in both the two alternative projects. </w:t>
      </w:r>
    </w:p>
    <w:p w14:paraId="4AF15F61" w14:textId="77777777" w:rsidR="00844A7C" w:rsidRPr="000D6DD8" w:rsidRDefault="00844A7C" w:rsidP="00844A7C">
      <w:pPr>
        <w:spacing w:line="360" w:lineRule="auto"/>
        <w:jc w:val="both"/>
        <w:rPr>
          <w:rFonts w:cs="Times New Roman"/>
        </w:rPr>
      </w:pPr>
      <w:r w:rsidRPr="000D6DD8">
        <w:rPr>
          <w:rFonts w:cs="Times New Roman"/>
        </w:rPr>
        <w:t>Now, the NPVs of the projects have been calculated in the following tables.</w:t>
      </w:r>
    </w:p>
    <w:tbl>
      <w:tblPr>
        <w:tblW w:w="6495" w:type="dxa"/>
        <w:jc w:val="center"/>
        <w:tblLook w:val="04A0" w:firstRow="1" w:lastRow="0" w:firstColumn="1" w:lastColumn="0" w:noHBand="0" w:noVBand="1"/>
      </w:tblPr>
      <w:tblGrid>
        <w:gridCol w:w="4335"/>
        <w:gridCol w:w="2160"/>
      </w:tblGrid>
      <w:tr w:rsidR="00844A7C" w:rsidRPr="000D6DD8" w14:paraId="72AE642A" w14:textId="77777777" w:rsidTr="00C33B4A">
        <w:trPr>
          <w:trHeight w:val="315"/>
          <w:jc w:val="center"/>
        </w:trPr>
        <w:tc>
          <w:tcPr>
            <w:tcW w:w="64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4F597" w14:textId="77777777" w:rsidR="00844A7C" w:rsidRPr="000D6DD8" w:rsidRDefault="00844A7C" w:rsidP="00C33B4A">
            <w:pPr>
              <w:spacing w:after="0" w:line="360" w:lineRule="auto"/>
              <w:jc w:val="both"/>
              <w:rPr>
                <w:rFonts w:eastAsia="Times New Roman" w:cs="Times New Roman"/>
                <w:b/>
                <w:bCs/>
                <w:szCs w:val="24"/>
              </w:rPr>
            </w:pPr>
            <w:r w:rsidRPr="000D6DD8">
              <w:rPr>
                <w:rFonts w:eastAsia="Times New Roman" w:cs="Times New Roman"/>
                <w:b/>
                <w:bCs/>
                <w:szCs w:val="24"/>
              </w:rPr>
              <w:t>Project- A (Owning Online Shop)</w:t>
            </w:r>
          </w:p>
        </w:tc>
      </w:tr>
      <w:tr w:rsidR="00844A7C" w:rsidRPr="000D6DD8" w14:paraId="24545669"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274595F2"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Sales (units)</w:t>
            </w:r>
          </w:p>
        </w:tc>
        <w:tc>
          <w:tcPr>
            <w:tcW w:w="2160" w:type="dxa"/>
            <w:tcBorders>
              <w:top w:val="nil"/>
              <w:left w:val="nil"/>
              <w:bottom w:val="single" w:sz="4" w:space="0" w:color="auto"/>
              <w:right w:val="single" w:sz="4" w:space="0" w:color="auto"/>
            </w:tcBorders>
            <w:shd w:val="clear" w:color="auto" w:fill="auto"/>
            <w:noWrap/>
            <w:vAlign w:val="bottom"/>
            <w:hideMark/>
          </w:tcPr>
          <w:p w14:paraId="339633F7"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100,000 </w:t>
            </w:r>
          </w:p>
        </w:tc>
      </w:tr>
      <w:tr w:rsidR="00844A7C" w:rsidRPr="000D6DD8" w14:paraId="47640C21"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5283BF27"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Salary of IT programmer annually (£)</w:t>
            </w:r>
          </w:p>
        </w:tc>
        <w:tc>
          <w:tcPr>
            <w:tcW w:w="2160" w:type="dxa"/>
            <w:tcBorders>
              <w:top w:val="nil"/>
              <w:left w:val="nil"/>
              <w:bottom w:val="single" w:sz="4" w:space="0" w:color="auto"/>
              <w:right w:val="single" w:sz="4" w:space="0" w:color="auto"/>
            </w:tcBorders>
            <w:shd w:val="clear" w:color="auto" w:fill="auto"/>
            <w:noWrap/>
            <w:vAlign w:val="bottom"/>
            <w:hideMark/>
          </w:tcPr>
          <w:p w14:paraId="2349202C"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35,000 </w:t>
            </w:r>
          </w:p>
        </w:tc>
      </w:tr>
      <w:tr w:rsidR="00844A7C" w:rsidRPr="000D6DD8" w14:paraId="034F9D51"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64322727"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Cost of Setting up the delivery network (£)</w:t>
            </w:r>
          </w:p>
        </w:tc>
        <w:tc>
          <w:tcPr>
            <w:tcW w:w="2160" w:type="dxa"/>
            <w:tcBorders>
              <w:top w:val="nil"/>
              <w:left w:val="nil"/>
              <w:bottom w:val="single" w:sz="4" w:space="0" w:color="auto"/>
              <w:right w:val="single" w:sz="4" w:space="0" w:color="auto"/>
            </w:tcBorders>
            <w:shd w:val="clear" w:color="auto" w:fill="auto"/>
            <w:noWrap/>
            <w:vAlign w:val="bottom"/>
            <w:hideMark/>
          </w:tcPr>
          <w:p w14:paraId="7314E2D9"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150,000 </w:t>
            </w:r>
          </w:p>
        </w:tc>
      </w:tr>
      <w:tr w:rsidR="00844A7C" w:rsidRPr="000D6DD8" w14:paraId="4F8A411D"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2052D0EB"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Cost of Upgrading Website (£)</w:t>
            </w:r>
          </w:p>
        </w:tc>
        <w:tc>
          <w:tcPr>
            <w:tcW w:w="2160" w:type="dxa"/>
            <w:tcBorders>
              <w:top w:val="nil"/>
              <w:left w:val="nil"/>
              <w:bottom w:val="single" w:sz="4" w:space="0" w:color="auto"/>
              <w:right w:val="single" w:sz="4" w:space="0" w:color="auto"/>
            </w:tcBorders>
            <w:shd w:val="clear" w:color="auto" w:fill="auto"/>
            <w:noWrap/>
            <w:vAlign w:val="bottom"/>
            <w:hideMark/>
          </w:tcPr>
          <w:p w14:paraId="24258C76"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50,000 </w:t>
            </w:r>
          </w:p>
        </w:tc>
      </w:tr>
      <w:tr w:rsidR="00844A7C" w:rsidRPr="000D6DD8" w14:paraId="6124CAD2"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05F0E2DC"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PV of Sales amount (£)</w:t>
            </w:r>
          </w:p>
        </w:tc>
        <w:tc>
          <w:tcPr>
            <w:tcW w:w="2160" w:type="dxa"/>
            <w:tcBorders>
              <w:top w:val="nil"/>
              <w:left w:val="nil"/>
              <w:bottom w:val="single" w:sz="4" w:space="0" w:color="auto"/>
              <w:right w:val="single" w:sz="4" w:space="0" w:color="auto"/>
            </w:tcBorders>
            <w:shd w:val="clear" w:color="auto" w:fill="auto"/>
            <w:noWrap/>
            <w:vAlign w:val="bottom"/>
            <w:hideMark/>
          </w:tcPr>
          <w:p w14:paraId="053BC5ED"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25,000,000 </w:t>
            </w:r>
          </w:p>
        </w:tc>
      </w:tr>
      <w:tr w:rsidR="00844A7C" w:rsidRPr="000D6DD8" w14:paraId="10B2648F"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5B85BD31"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PV of Salary of IT Programmer (£)</w:t>
            </w:r>
          </w:p>
        </w:tc>
        <w:tc>
          <w:tcPr>
            <w:tcW w:w="2160" w:type="dxa"/>
            <w:tcBorders>
              <w:top w:val="nil"/>
              <w:left w:val="nil"/>
              <w:bottom w:val="single" w:sz="4" w:space="0" w:color="auto"/>
              <w:right w:val="single" w:sz="4" w:space="0" w:color="auto"/>
            </w:tcBorders>
            <w:shd w:val="clear" w:color="auto" w:fill="auto"/>
            <w:noWrap/>
            <w:vAlign w:val="bottom"/>
            <w:hideMark/>
          </w:tcPr>
          <w:p w14:paraId="34B7F803"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350,000 </w:t>
            </w:r>
          </w:p>
        </w:tc>
      </w:tr>
      <w:tr w:rsidR="00844A7C" w:rsidRPr="000D6DD8" w14:paraId="502F933C" w14:textId="77777777" w:rsidTr="00C33B4A">
        <w:trPr>
          <w:trHeight w:val="315"/>
          <w:jc w:val="center"/>
        </w:trPr>
        <w:tc>
          <w:tcPr>
            <w:tcW w:w="4335" w:type="dxa"/>
            <w:tcBorders>
              <w:top w:val="nil"/>
              <w:left w:val="single" w:sz="4" w:space="0" w:color="auto"/>
              <w:bottom w:val="single" w:sz="4" w:space="0" w:color="auto"/>
              <w:right w:val="single" w:sz="4" w:space="0" w:color="auto"/>
            </w:tcBorders>
            <w:shd w:val="clear" w:color="auto" w:fill="auto"/>
            <w:noWrap/>
            <w:vAlign w:val="bottom"/>
            <w:hideMark/>
          </w:tcPr>
          <w:p w14:paraId="26C870C8" w14:textId="77777777" w:rsidR="00844A7C" w:rsidRPr="000D6DD8" w:rsidRDefault="00844A7C" w:rsidP="00C33B4A">
            <w:pPr>
              <w:spacing w:after="0" w:line="360" w:lineRule="auto"/>
              <w:jc w:val="both"/>
              <w:rPr>
                <w:rFonts w:eastAsia="Times New Roman" w:cs="Times New Roman"/>
                <w:b/>
                <w:bCs/>
                <w:szCs w:val="24"/>
              </w:rPr>
            </w:pPr>
            <w:r w:rsidRPr="000D6DD8">
              <w:rPr>
                <w:rFonts w:eastAsia="Times New Roman" w:cs="Times New Roman"/>
                <w:b/>
                <w:bCs/>
                <w:szCs w:val="24"/>
              </w:rPr>
              <w:t>NPV of Project-A</w:t>
            </w:r>
          </w:p>
        </w:tc>
        <w:tc>
          <w:tcPr>
            <w:tcW w:w="2160" w:type="dxa"/>
            <w:tcBorders>
              <w:top w:val="nil"/>
              <w:left w:val="nil"/>
              <w:bottom w:val="single" w:sz="4" w:space="0" w:color="auto"/>
              <w:right w:val="single" w:sz="4" w:space="0" w:color="auto"/>
            </w:tcBorders>
            <w:shd w:val="clear" w:color="auto" w:fill="auto"/>
            <w:noWrap/>
            <w:vAlign w:val="bottom"/>
            <w:hideMark/>
          </w:tcPr>
          <w:p w14:paraId="729B7049" w14:textId="77777777" w:rsidR="00844A7C" w:rsidRPr="000D6DD8" w:rsidRDefault="00844A7C" w:rsidP="00C33B4A">
            <w:pPr>
              <w:spacing w:after="0" w:line="360" w:lineRule="auto"/>
              <w:jc w:val="both"/>
              <w:rPr>
                <w:rFonts w:eastAsia="Times New Roman" w:cs="Times New Roman"/>
                <w:b/>
                <w:bCs/>
                <w:szCs w:val="24"/>
              </w:rPr>
            </w:pPr>
            <w:r w:rsidRPr="000D6DD8">
              <w:rPr>
                <w:rFonts w:eastAsia="Times New Roman" w:cs="Times New Roman"/>
                <w:b/>
                <w:bCs/>
                <w:szCs w:val="24"/>
              </w:rPr>
              <w:t xml:space="preserve">  24,450,000 </w:t>
            </w:r>
          </w:p>
        </w:tc>
      </w:tr>
    </w:tbl>
    <w:p w14:paraId="4C30423B" w14:textId="77777777" w:rsidR="00844A7C" w:rsidRPr="000D6DD8" w:rsidRDefault="00844A7C" w:rsidP="00844A7C">
      <w:pPr>
        <w:spacing w:line="360" w:lineRule="auto"/>
        <w:jc w:val="center"/>
        <w:rPr>
          <w:rFonts w:cs="Times New Roman"/>
          <w:b/>
        </w:rPr>
      </w:pPr>
      <w:r w:rsidRPr="000D6DD8">
        <w:rPr>
          <w:rFonts w:cs="Times New Roman"/>
          <w:b/>
        </w:rPr>
        <w:t>Table-3: NPV of Project-A</w:t>
      </w:r>
      <w:r w:rsidRPr="000D6DD8">
        <w:rPr>
          <w:rFonts w:eastAsia="Times New Roman" w:cs="Times New Roman"/>
          <w:b/>
          <w:bCs/>
          <w:szCs w:val="24"/>
        </w:rPr>
        <w:t xml:space="preserve"> (Owning Online Shop)</w:t>
      </w:r>
    </w:p>
    <w:p w14:paraId="7269BEAD" w14:textId="77777777" w:rsidR="00844A7C" w:rsidRPr="000D6DD8" w:rsidRDefault="00844A7C" w:rsidP="00844A7C">
      <w:pPr>
        <w:spacing w:line="360" w:lineRule="auto"/>
        <w:jc w:val="both"/>
        <w:rPr>
          <w:rFonts w:cs="Times New Roman"/>
        </w:rPr>
      </w:pPr>
      <w:r w:rsidRPr="000D6DD8">
        <w:rPr>
          <w:rFonts w:cs="Times New Roman"/>
        </w:rPr>
        <w:t xml:space="preserve">Using the above-mentioned information, the NPV of Project-A </w:t>
      </w:r>
      <w:r w:rsidRPr="000D6DD8">
        <w:rPr>
          <w:rFonts w:eastAsia="Times New Roman" w:cs="Times New Roman"/>
          <w:bCs/>
          <w:szCs w:val="24"/>
        </w:rPr>
        <w:t xml:space="preserve">(Owning Online Shop) </w:t>
      </w:r>
      <w:r w:rsidRPr="000D6DD8">
        <w:rPr>
          <w:rFonts w:cs="Times New Roman"/>
        </w:rPr>
        <w:t xml:space="preserve">has been calculated. The NPV of this project is </w:t>
      </w:r>
      <w:r w:rsidRPr="000D6DD8">
        <w:rPr>
          <w:rFonts w:eastAsia="Times New Roman" w:cs="Times New Roman"/>
          <w:szCs w:val="24"/>
        </w:rPr>
        <w:t>£</w:t>
      </w:r>
      <w:r w:rsidRPr="000D6DD8">
        <w:rPr>
          <w:rFonts w:eastAsia="Times New Roman" w:cs="Times New Roman"/>
          <w:bCs/>
          <w:szCs w:val="24"/>
        </w:rPr>
        <w:t xml:space="preserve">24,450,000 which is positive. But before selecting this project, the NPV of another alternative must be calculated. </w:t>
      </w:r>
    </w:p>
    <w:p w14:paraId="5DC4EC9B" w14:textId="77777777" w:rsidR="00844A7C" w:rsidRPr="000D6DD8" w:rsidRDefault="00844A7C" w:rsidP="00844A7C">
      <w:pPr>
        <w:spacing w:line="360" w:lineRule="auto"/>
        <w:jc w:val="both"/>
        <w:rPr>
          <w:rFonts w:cs="Times New Roman"/>
        </w:rPr>
      </w:pPr>
      <w:r w:rsidRPr="000D6DD8">
        <w:rPr>
          <w:rFonts w:cs="Times New Roman"/>
        </w:rPr>
        <w:t>The following table shows the NPV of Project-A (Selling on Amazon)</w:t>
      </w:r>
    </w:p>
    <w:tbl>
      <w:tblPr>
        <w:tblW w:w="4820" w:type="dxa"/>
        <w:jc w:val="center"/>
        <w:tblLook w:val="04A0" w:firstRow="1" w:lastRow="0" w:firstColumn="1" w:lastColumn="0" w:noHBand="0" w:noVBand="1"/>
      </w:tblPr>
      <w:tblGrid>
        <w:gridCol w:w="2952"/>
        <w:gridCol w:w="1868"/>
      </w:tblGrid>
      <w:tr w:rsidR="00844A7C" w:rsidRPr="000D6DD8" w14:paraId="68F6485A" w14:textId="77777777" w:rsidTr="00C33B4A">
        <w:trPr>
          <w:trHeight w:val="315"/>
          <w:jc w:val="center"/>
        </w:trPr>
        <w:tc>
          <w:tcPr>
            <w:tcW w:w="482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66B5D697" w14:textId="77777777" w:rsidR="00844A7C" w:rsidRPr="000D6DD8" w:rsidRDefault="00844A7C" w:rsidP="00C33B4A">
            <w:pPr>
              <w:spacing w:after="0" w:line="360" w:lineRule="auto"/>
              <w:jc w:val="both"/>
              <w:rPr>
                <w:rFonts w:eastAsia="Times New Roman" w:cs="Times New Roman"/>
                <w:b/>
                <w:bCs/>
                <w:szCs w:val="24"/>
              </w:rPr>
            </w:pPr>
            <w:r w:rsidRPr="000D6DD8">
              <w:rPr>
                <w:rFonts w:eastAsia="Times New Roman" w:cs="Times New Roman"/>
                <w:b/>
                <w:bCs/>
                <w:szCs w:val="24"/>
              </w:rPr>
              <w:t>Project-B</w:t>
            </w:r>
          </w:p>
        </w:tc>
      </w:tr>
      <w:tr w:rsidR="00844A7C" w:rsidRPr="000D6DD8" w14:paraId="034AE175" w14:textId="77777777" w:rsidTr="00C33B4A">
        <w:trPr>
          <w:trHeight w:val="315"/>
          <w:jc w:val="center"/>
        </w:trPr>
        <w:tc>
          <w:tcPr>
            <w:tcW w:w="2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29B4E"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Sales(units)</w:t>
            </w:r>
          </w:p>
        </w:tc>
        <w:tc>
          <w:tcPr>
            <w:tcW w:w="1868" w:type="dxa"/>
            <w:tcBorders>
              <w:top w:val="single" w:sz="4" w:space="0" w:color="auto"/>
              <w:left w:val="nil"/>
              <w:bottom w:val="single" w:sz="4" w:space="0" w:color="auto"/>
              <w:right w:val="single" w:sz="4" w:space="0" w:color="auto"/>
            </w:tcBorders>
            <w:shd w:val="clear" w:color="auto" w:fill="auto"/>
            <w:noWrap/>
            <w:vAlign w:val="bottom"/>
            <w:hideMark/>
          </w:tcPr>
          <w:p w14:paraId="554CEDC7"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65,000 </w:t>
            </w:r>
          </w:p>
        </w:tc>
      </w:tr>
      <w:tr w:rsidR="00844A7C" w:rsidRPr="000D6DD8" w14:paraId="425A28EA" w14:textId="77777777" w:rsidTr="00C33B4A">
        <w:trPr>
          <w:trHeight w:val="315"/>
          <w:jc w:val="center"/>
        </w:trPr>
        <w:tc>
          <w:tcPr>
            <w:tcW w:w="2952" w:type="dxa"/>
            <w:tcBorders>
              <w:top w:val="nil"/>
              <w:left w:val="single" w:sz="4" w:space="0" w:color="auto"/>
              <w:bottom w:val="single" w:sz="4" w:space="0" w:color="auto"/>
              <w:right w:val="single" w:sz="4" w:space="0" w:color="auto"/>
            </w:tcBorders>
            <w:shd w:val="clear" w:color="auto" w:fill="auto"/>
            <w:noWrap/>
            <w:vAlign w:val="bottom"/>
            <w:hideMark/>
          </w:tcPr>
          <w:p w14:paraId="6AB80A23"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Fulfilment Fees(£)</w:t>
            </w:r>
          </w:p>
        </w:tc>
        <w:tc>
          <w:tcPr>
            <w:tcW w:w="1868" w:type="dxa"/>
            <w:tcBorders>
              <w:top w:val="nil"/>
              <w:left w:val="nil"/>
              <w:bottom w:val="single" w:sz="4" w:space="0" w:color="auto"/>
              <w:right w:val="single" w:sz="4" w:space="0" w:color="auto"/>
            </w:tcBorders>
            <w:shd w:val="clear" w:color="auto" w:fill="auto"/>
            <w:noWrap/>
            <w:vAlign w:val="bottom"/>
            <w:hideMark/>
          </w:tcPr>
          <w:p w14:paraId="3169C93E"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50,000 </w:t>
            </w:r>
          </w:p>
        </w:tc>
      </w:tr>
      <w:tr w:rsidR="00844A7C" w:rsidRPr="000D6DD8" w14:paraId="721DD132" w14:textId="77777777" w:rsidTr="00C33B4A">
        <w:trPr>
          <w:trHeight w:val="315"/>
          <w:jc w:val="center"/>
        </w:trPr>
        <w:tc>
          <w:tcPr>
            <w:tcW w:w="2952" w:type="dxa"/>
            <w:tcBorders>
              <w:top w:val="nil"/>
              <w:left w:val="single" w:sz="4" w:space="0" w:color="auto"/>
              <w:bottom w:val="single" w:sz="4" w:space="0" w:color="auto"/>
              <w:right w:val="single" w:sz="4" w:space="0" w:color="auto"/>
            </w:tcBorders>
            <w:shd w:val="clear" w:color="auto" w:fill="auto"/>
            <w:noWrap/>
            <w:vAlign w:val="bottom"/>
            <w:hideMark/>
          </w:tcPr>
          <w:p w14:paraId="17E0673C"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PV of Sales amount (£)</w:t>
            </w:r>
          </w:p>
        </w:tc>
        <w:tc>
          <w:tcPr>
            <w:tcW w:w="1868" w:type="dxa"/>
            <w:tcBorders>
              <w:top w:val="nil"/>
              <w:left w:val="nil"/>
              <w:bottom w:val="single" w:sz="4" w:space="0" w:color="auto"/>
              <w:right w:val="single" w:sz="4" w:space="0" w:color="auto"/>
            </w:tcBorders>
            <w:shd w:val="clear" w:color="auto" w:fill="auto"/>
            <w:noWrap/>
            <w:vAlign w:val="bottom"/>
            <w:hideMark/>
          </w:tcPr>
          <w:p w14:paraId="16E5348D" w14:textId="77777777" w:rsidR="00844A7C" w:rsidRPr="000D6DD8" w:rsidRDefault="00844A7C" w:rsidP="00C33B4A">
            <w:pPr>
              <w:spacing w:after="0" w:line="360" w:lineRule="auto"/>
              <w:jc w:val="both"/>
              <w:rPr>
                <w:rFonts w:eastAsia="Times New Roman" w:cs="Times New Roman"/>
                <w:szCs w:val="24"/>
              </w:rPr>
            </w:pPr>
            <w:r w:rsidRPr="000D6DD8">
              <w:rPr>
                <w:rFonts w:eastAsia="Times New Roman" w:cs="Times New Roman"/>
                <w:szCs w:val="24"/>
              </w:rPr>
              <w:t xml:space="preserve">  16,250,000 </w:t>
            </w:r>
          </w:p>
        </w:tc>
      </w:tr>
      <w:tr w:rsidR="00844A7C" w:rsidRPr="000D6DD8" w14:paraId="1F140159" w14:textId="77777777" w:rsidTr="00C33B4A">
        <w:trPr>
          <w:trHeight w:val="315"/>
          <w:jc w:val="center"/>
        </w:trPr>
        <w:tc>
          <w:tcPr>
            <w:tcW w:w="2952" w:type="dxa"/>
            <w:tcBorders>
              <w:top w:val="nil"/>
              <w:left w:val="single" w:sz="4" w:space="0" w:color="auto"/>
              <w:bottom w:val="single" w:sz="4" w:space="0" w:color="auto"/>
              <w:right w:val="single" w:sz="4" w:space="0" w:color="auto"/>
            </w:tcBorders>
            <w:shd w:val="clear" w:color="auto" w:fill="auto"/>
            <w:noWrap/>
            <w:vAlign w:val="bottom"/>
            <w:hideMark/>
          </w:tcPr>
          <w:p w14:paraId="7CEF7268" w14:textId="77777777" w:rsidR="00844A7C" w:rsidRPr="000D6DD8" w:rsidRDefault="00844A7C" w:rsidP="00C33B4A">
            <w:pPr>
              <w:spacing w:after="0" w:line="360" w:lineRule="auto"/>
              <w:jc w:val="both"/>
              <w:rPr>
                <w:rFonts w:eastAsia="Times New Roman" w:cs="Times New Roman"/>
                <w:b/>
                <w:bCs/>
                <w:szCs w:val="24"/>
              </w:rPr>
            </w:pPr>
            <w:r w:rsidRPr="000D6DD8">
              <w:rPr>
                <w:rFonts w:eastAsia="Times New Roman" w:cs="Times New Roman"/>
                <w:b/>
                <w:bCs/>
                <w:szCs w:val="24"/>
              </w:rPr>
              <w:t>NPV of Project-B</w:t>
            </w:r>
          </w:p>
        </w:tc>
        <w:tc>
          <w:tcPr>
            <w:tcW w:w="1868" w:type="dxa"/>
            <w:tcBorders>
              <w:top w:val="nil"/>
              <w:left w:val="nil"/>
              <w:bottom w:val="single" w:sz="4" w:space="0" w:color="auto"/>
              <w:right w:val="single" w:sz="4" w:space="0" w:color="auto"/>
            </w:tcBorders>
            <w:shd w:val="clear" w:color="auto" w:fill="auto"/>
            <w:noWrap/>
            <w:vAlign w:val="bottom"/>
            <w:hideMark/>
          </w:tcPr>
          <w:p w14:paraId="0904FABE" w14:textId="77777777" w:rsidR="00844A7C" w:rsidRPr="000D6DD8" w:rsidRDefault="00844A7C" w:rsidP="00C33B4A">
            <w:pPr>
              <w:spacing w:after="0" w:line="360" w:lineRule="auto"/>
              <w:jc w:val="both"/>
              <w:rPr>
                <w:rFonts w:eastAsia="Times New Roman" w:cs="Times New Roman"/>
                <w:b/>
                <w:bCs/>
                <w:szCs w:val="24"/>
              </w:rPr>
            </w:pPr>
            <w:r w:rsidRPr="000D6DD8">
              <w:rPr>
                <w:rFonts w:eastAsia="Times New Roman" w:cs="Times New Roman"/>
                <w:b/>
                <w:bCs/>
                <w:szCs w:val="24"/>
              </w:rPr>
              <w:t xml:space="preserve">  16,200,000 </w:t>
            </w:r>
          </w:p>
        </w:tc>
      </w:tr>
    </w:tbl>
    <w:p w14:paraId="5D848142" w14:textId="77777777" w:rsidR="00844A7C" w:rsidRPr="000D6DD8" w:rsidRDefault="00844A7C" w:rsidP="00844A7C">
      <w:pPr>
        <w:spacing w:line="360" w:lineRule="auto"/>
        <w:jc w:val="center"/>
        <w:rPr>
          <w:rFonts w:cs="Times New Roman"/>
          <w:b/>
        </w:rPr>
      </w:pPr>
      <w:r w:rsidRPr="000D6DD8">
        <w:rPr>
          <w:rFonts w:cs="Times New Roman"/>
          <w:b/>
        </w:rPr>
        <w:t>Table-4: NPV of Project-B (Selling on Amazon)</w:t>
      </w:r>
    </w:p>
    <w:p w14:paraId="3F5F9738" w14:textId="77777777" w:rsidR="00844A7C" w:rsidRPr="000D6DD8" w:rsidRDefault="00844A7C" w:rsidP="00844A7C">
      <w:pPr>
        <w:spacing w:line="360" w:lineRule="auto"/>
        <w:jc w:val="both"/>
        <w:rPr>
          <w:rFonts w:eastAsia="Times New Roman" w:cs="Times New Roman"/>
          <w:bCs/>
          <w:szCs w:val="24"/>
        </w:rPr>
      </w:pPr>
      <w:r w:rsidRPr="000D6DD8">
        <w:rPr>
          <w:rFonts w:cs="Times New Roman"/>
        </w:rPr>
        <w:t xml:space="preserve">Using the above-mentioned information, the NPV of Project-B (Selling on Amazon) has been calculated that is shown in Table-4. The NPV of this project is </w:t>
      </w:r>
      <w:r w:rsidRPr="000D6DD8">
        <w:rPr>
          <w:rFonts w:eastAsia="Times New Roman" w:cs="Times New Roman"/>
          <w:szCs w:val="24"/>
        </w:rPr>
        <w:t>£</w:t>
      </w:r>
      <w:r w:rsidRPr="000D6DD8">
        <w:rPr>
          <w:rFonts w:eastAsia="Times New Roman" w:cs="Times New Roman"/>
          <w:bCs/>
          <w:szCs w:val="24"/>
        </w:rPr>
        <w:t xml:space="preserve">16,200,000 which is positive. </w:t>
      </w:r>
    </w:p>
    <w:p w14:paraId="51391BCE" w14:textId="77777777" w:rsidR="00844A7C" w:rsidRPr="000D6DD8" w:rsidRDefault="00844A7C" w:rsidP="00844A7C">
      <w:pPr>
        <w:spacing w:line="360" w:lineRule="auto"/>
        <w:jc w:val="both"/>
        <w:rPr>
          <w:rFonts w:eastAsia="Times New Roman" w:cs="Times New Roman"/>
          <w:bCs/>
          <w:szCs w:val="24"/>
        </w:rPr>
      </w:pPr>
      <w:r w:rsidRPr="000D6DD8">
        <w:rPr>
          <w:rFonts w:eastAsia="Times New Roman" w:cs="Times New Roman"/>
          <w:bCs/>
          <w:szCs w:val="24"/>
        </w:rPr>
        <w:lastRenderedPageBreak/>
        <w:t>Though NPVs of both projects are positive, Project-A (Owning Online Shop) provides a higher NPV than Project-B (Selling on Amazon). So, taking Project-A (Owning Online Shop) will be profitable for Amana Ltd.</w:t>
      </w:r>
    </w:p>
    <w:p w14:paraId="16EC8D39" w14:textId="77777777" w:rsidR="00844A7C" w:rsidRPr="000D6DD8" w:rsidRDefault="00844A7C" w:rsidP="00844A7C">
      <w:pPr>
        <w:spacing w:line="360" w:lineRule="auto"/>
        <w:jc w:val="both"/>
        <w:rPr>
          <w:rFonts w:cs="Times New Roman"/>
        </w:rPr>
      </w:pPr>
      <w:r w:rsidRPr="000D6DD8">
        <w:rPr>
          <w:rFonts w:eastAsia="Times New Roman" w:cs="Times New Roman"/>
          <w:bCs/>
          <w:szCs w:val="24"/>
        </w:rPr>
        <w:t>So, as a manager, I would suggest Amana Ltd go online because the NPV of this project is higher. Besides the guaranteed number of sales of project-B is lower than that of Project-A. Moreover, there is a lack of control over pricing in project (Selling on Amazon), and the return policy is not fixed showing much more uncertainty. Based on these different perspectives, Amana Ltd should go online by upgrading its website and taking other steps which will provide a larger NPV and higher certainty.</w:t>
      </w:r>
    </w:p>
    <w:p w14:paraId="0BF27FF4" w14:textId="77777777" w:rsidR="00844A7C" w:rsidRPr="000D6DD8" w:rsidRDefault="00844A7C" w:rsidP="00844A7C">
      <w:pPr>
        <w:pStyle w:val="Heading1"/>
        <w:sectPr w:rsidR="00844A7C" w:rsidRPr="000D6DD8" w:rsidSect="006650A2">
          <w:pgSz w:w="12240" w:h="15840"/>
          <w:pgMar w:top="1440" w:right="1440" w:bottom="1440" w:left="1440" w:header="720" w:footer="720" w:gutter="0"/>
          <w:cols w:space="720"/>
          <w:docGrid w:linePitch="360"/>
        </w:sectPr>
      </w:pPr>
    </w:p>
    <w:p w14:paraId="7123689D" w14:textId="77777777" w:rsidR="00844A7C" w:rsidRPr="000D6DD8" w:rsidRDefault="00844A7C" w:rsidP="00844A7C">
      <w:pPr>
        <w:pStyle w:val="Heading1"/>
        <w:rPr>
          <w:b w:val="0"/>
        </w:rPr>
      </w:pPr>
      <w:bookmarkStart w:id="8" w:name="_Toc69374874"/>
      <w:r w:rsidRPr="000D6DD8">
        <w:lastRenderedPageBreak/>
        <w:t>Conclusion</w:t>
      </w:r>
      <w:bookmarkEnd w:id="8"/>
    </w:p>
    <w:p w14:paraId="767138FB" w14:textId="77777777" w:rsidR="00844A7C" w:rsidRPr="000D6DD8" w:rsidRDefault="00844A7C" w:rsidP="00844A7C">
      <w:pPr>
        <w:spacing w:line="360" w:lineRule="auto"/>
        <w:jc w:val="both"/>
        <w:rPr>
          <w:rFonts w:cs="Times New Roman"/>
        </w:rPr>
      </w:pPr>
      <w:r w:rsidRPr="000D6DD8">
        <w:rPr>
          <w:rFonts w:cs="Times New Roman"/>
        </w:rPr>
        <w:t>Amana Ltd is a family-owned tourist business located in England having several locations in tourists’ spots in Brighton, London Bridge, Westminster Bridge, Buckingham Palace, Birmingham city centre, and Manchester city centre. Amana Ltd sells souvenirs produced by a Chinese manufacturer which are designed by the Amana team and has been operating its business for 40 years. But its performance has been hampered due to the pandemic of Covid-19. To overcome the loss, the CEO of Amana Ltd can increase sales volume, selling prices by enhancing demand through promotional activities, make contracts between the company and the suppliers of direct materials to ensure price stability, negotiate with the labour union to prevent the labourers to demand more wages illogically, make a strategic plan for 1-year, 3-year, and 5-year goals, determine the key 5 factors for success and monitor them, etc. Besides, the company can go online partially rather than sell on Amazon to achieve more profit.</w:t>
      </w:r>
    </w:p>
    <w:p w14:paraId="70A3EF64" w14:textId="77777777" w:rsidR="00844A7C" w:rsidRPr="000D6DD8" w:rsidRDefault="00844A7C" w:rsidP="00844A7C">
      <w:pPr>
        <w:spacing w:after="160" w:line="360" w:lineRule="auto"/>
        <w:jc w:val="both"/>
        <w:rPr>
          <w:rFonts w:cs="Times New Roman"/>
        </w:rPr>
      </w:pPr>
    </w:p>
    <w:p w14:paraId="5C23B30E" w14:textId="77777777" w:rsidR="00844A7C" w:rsidRPr="000D6DD8" w:rsidRDefault="00844A7C" w:rsidP="00844A7C">
      <w:pPr>
        <w:spacing w:line="360" w:lineRule="auto"/>
        <w:jc w:val="both"/>
        <w:rPr>
          <w:rFonts w:cs="Times New Roman"/>
        </w:rPr>
      </w:pPr>
    </w:p>
    <w:p w14:paraId="6099174C" w14:textId="77777777" w:rsidR="00844A7C" w:rsidRPr="000D6DD8" w:rsidRDefault="00844A7C" w:rsidP="00844A7C">
      <w:pPr>
        <w:pStyle w:val="Heading1"/>
        <w:jc w:val="both"/>
        <w:sectPr w:rsidR="00844A7C" w:rsidRPr="000D6DD8" w:rsidSect="006650A2">
          <w:pgSz w:w="12240" w:h="15840"/>
          <w:pgMar w:top="1440" w:right="1440" w:bottom="1440" w:left="1440" w:header="720" w:footer="720" w:gutter="0"/>
          <w:cols w:space="720"/>
          <w:docGrid w:linePitch="360"/>
        </w:sectPr>
      </w:pPr>
    </w:p>
    <w:p w14:paraId="6C1F9812" w14:textId="77777777" w:rsidR="00844A7C" w:rsidRPr="000D6DD8" w:rsidRDefault="00844A7C" w:rsidP="00844A7C">
      <w:pPr>
        <w:pStyle w:val="Heading1"/>
        <w:jc w:val="both"/>
      </w:pPr>
      <w:bookmarkStart w:id="9" w:name="_Toc69374875"/>
      <w:r w:rsidRPr="000D6DD8">
        <w:lastRenderedPageBreak/>
        <w:t>References</w:t>
      </w:r>
      <w:bookmarkEnd w:id="9"/>
    </w:p>
    <w:p w14:paraId="1319E619"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Bandy, G., 2014. </w:t>
      </w:r>
      <w:r w:rsidRPr="000D6DD8">
        <w:rPr>
          <w:rFonts w:cs="Times New Roman"/>
          <w:i/>
          <w:iCs/>
          <w:szCs w:val="24"/>
          <w:shd w:val="clear" w:color="auto" w:fill="FFFFFF"/>
        </w:rPr>
        <w:t>Financial management and accounting in the public sector</w:t>
      </w:r>
      <w:r w:rsidRPr="000D6DD8">
        <w:rPr>
          <w:rFonts w:cs="Times New Roman"/>
          <w:szCs w:val="24"/>
          <w:shd w:val="clear" w:color="auto" w:fill="FFFFFF"/>
        </w:rPr>
        <w:t>. Routledge.</w:t>
      </w:r>
    </w:p>
    <w:p w14:paraId="639D14C9"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Berman, L., 2015. </w:t>
      </w:r>
      <w:r w:rsidRPr="000D6DD8">
        <w:rPr>
          <w:rFonts w:cs="Times New Roman"/>
          <w:i/>
          <w:iCs/>
          <w:szCs w:val="24"/>
          <w:shd w:val="clear" w:color="auto" w:fill="FFFFFF"/>
        </w:rPr>
        <w:t>The Office of Management and Budget and the presidency, 1921-1979</w:t>
      </w:r>
      <w:r w:rsidRPr="000D6DD8">
        <w:rPr>
          <w:rFonts w:cs="Times New Roman"/>
          <w:szCs w:val="24"/>
          <w:shd w:val="clear" w:color="auto" w:fill="FFFFFF"/>
        </w:rPr>
        <w:t>. Princeton University Press.</w:t>
      </w:r>
    </w:p>
    <w:p w14:paraId="1C335CB5"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Cagliero, A., De Vita, A., Gaffoglio, R. and Sacco, B., 2015. A new approach to the link budget concept for an OAM communication link. </w:t>
      </w:r>
      <w:r w:rsidRPr="000D6DD8">
        <w:rPr>
          <w:rFonts w:cs="Times New Roman"/>
          <w:i/>
          <w:iCs/>
          <w:szCs w:val="24"/>
          <w:shd w:val="clear" w:color="auto" w:fill="FFFFFF"/>
        </w:rPr>
        <w:t>IEEE Antennas and Wireless Propagation Letters</w:t>
      </w:r>
      <w:r w:rsidRPr="000D6DD8">
        <w:rPr>
          <w:rFonts w:cs="Times New Roman"/>
          <w:szCs w:val="24"/>
          <w:shd w:val="clear" w:color="auto" w:fill="FFFFFF"/>
        </w:rPr>
        <w:t>, </w:t>
      </w:r>
      <w:r w:rsidRPr="000D6DD8">
        <w:rPr>
          <w:rFonts w:cs="Times New Roman"/>
          <w:i/>
          <w:iCs/>
          <w:szCs w:val="24"/>
          <w:shd w:val="clear" w:color="auto" w:fill="FFFFFF"/>
        </w:rPr>
        <w:t>15</w:t>
      </w:r>
      <w:r w:rsidRPr="000D6DD8">
        <w:rPr>
          <w:rFonts w:cs="Times New Roman"/>
          <w:szCs w:val="24"/>
          <w:shd w:val="clear" w:color="auto" w:fill="FFFFFF"/>
        </w:rPr>
        <w:t>, pp.568-571.</w:t>
      </w:r>
    </w:p>
    <w:p w14:paraId="79783EA1" w14:textId="77777777" w:rsidR="00844A7C" w:rsidRPr="000D6DD8" w:rsidRDefault="00844A7C" w:rsidP="00844A7C">
      <w:pPr>
        <w:spacing w:line="360" w:lineRule="auto"/>
        <w:ind w:left="720" w:hanging="720"/>
        <w:jc w:val="both"/>
        <w:rPr>
          <w:rFonts w:cs="Times New Roman"/>
          <w:szCs w:val="24"/>
        </w:rPr>
      </w:pPr>
      <w:r w:rsidRPr="000D6DD8">
        <w:rPr>
          <w:rFonts w:cs="Times New Roman"/>
          <w:szCs w:val="24"/>
          <w:shd w:val="clear" w:color="auto" w:fill="FFFFFF"/>
        </w:rPr>
        <w:t>Damodaran, A., 2016. </w:t>
      </w:r>
      <w:r w:rsidRPr="000D6DD8">
        <w:rPr>
          <w:rFonts w:cs="Times New Roman"/>
          <w:i/>
          <w:iCs/>
          <w:szCs w:val="24"/>
          <w:shd w:val="clear" w:color="auto" w:fill="FFFFFF"/>
        </w:rPr>
        <w:t>Damodaran on valuation: security analysis for investment and corporate finance</w:t>
      </w:r>
      <w:r w:rsidRPr="000D6DD8">
        <w:rPr>
          <w:rFonts w:cs="Times New Roman"/>
          <w:szCs w:val="24"/>
          <w:shd w:val="clear" w:color="auto" w:fill="FFFFFF"/>
        </w:rPr>
        <w:t> (Vol. 324). John Wiley &amp; Sons.</w:t>
      </w:r>
    </w:p>
    <w:p w14:paraId="15078D25" w14:textId="77777777" w:rsidR="00844A7C" w:rsidRPr="000D6DD8" w:rsidRDefault="00844A7C" w:rsidP="00844A7C">
      <w:pPr>
        <w:spacing w:line="360" w:lineRule="auto"/>
        <w:ind w:left="720" w:hanging="720"/>
        <w:jc w:val="both"/>
        <w:rPr>
          <w:rFonts w:cs="Times New Roman"/>
          <w:szCs w:val="24"/>
        </w:rPr>
      </w:pPr>
      <w:r w:rsidRPr="000D6DD8">
        <w:rPr>
          <w:rFonts w:cs="Times New Roman"/>
          <w:szCs w:val="24"/>
          <w:shd w:val="clear" w:color="auto" w:fill="FFFFFF"/>
        </w:rPr>
        <w:t>Drury, C., 2018. </w:t>
      </w:r>
      <w:r w:rsidRPr="000D6DD8">
        <w:rPr>
          <w:rFonts w:cs="Times New Roman"/>
          <w:i/>
          <w:iCs/>
          <w:szCs w:val="24"/>
          <w:shd w:val="clear" w:color="auto" w:fill="FFFFFF"/>
        </w:rPr>
        <w:t>Cost and management accounting</w:t>
      </w:r>
      <w:r w:rsidRPr="000D6DD8">
        <w:rPr>
          <w:rFonts w:cs="Times New Roman"/>
          <w:szCs w:val="24"/>
          <w:shd w:val="clear" w:color="auto" w:fill="FFFFFF"/>
        </w:rPr>
        <w:t>. Cengage Learning.</w:t>
      </w:r>
    </w:p>
    <w:p w14:paraId="5DBE7239"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Maher, M.H., Fakhar, M.S. and Karimi, Z., 2018. The relationship between budget emphasis, budget planning models and performance. </w:t>
      </w:r>
      <w:r w:rsidRPr="000D6DD8">
        <w:rPr>
          <w:rFonts w:cs="Times New Roman"/>
          <w:i/>
          <w:iCs/>
          <w:szCs w:val="24"/>
          <w:shd w:val="clear" w:color="auto" w:fill="FFFFFF"/>
        </w:rPr>
        <w:t>Journal of Health Management &amp; Informatics</w:t>
      </w:r>
      <w:r w:rsidRPr="000D6DD8">
        <w:rPr>
          <w:rFonts w:cs="Times New Roman"/>
          <w:szCs w:val="24"/>
          <w:shd w:val="clear" w:color="auto" w:fill="FFFFFF"/>
        </w:rPr>
        <w:t>, </w:t>
      </w:r>
      <w:r w:rsidRPr="000D6DD8">
        <w:rPr>
          <w:rFonts w:cs="Times New Roman"/>
          <w:i/>
          <w:iCs/>
          <w:szCs w:val="24"/>
          <w:shd w:val="clear" w:color="auto" w:fill="FFFFFF"/>
        </w:rPr>
        <w:t>5</w:t>
      </w:r>
      <w:r w:rsidRPr="000D6DD8">
        <w:rPr>
          <w:rFonts w:cs="Times New Roman"/>
          <w:szCs w:val="24"/>
          <w:shd w:val="clear" w:color="auto" w:fill="FFFFFF"/>
        </w:rPr>
        <w:t>(1), pp.16-20.</w:t>
      </w:r>
    </w:p>
    <w:p w14:paraId="6E30CDDF"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Mooney, J. and Lin, J.B., 2014. Modeling CSR project costs and benefits using the concept of socially-responsible NPV. </w:t>
      </w:r>
      <w:r w:rsidRPr="000D6DD8">
        <w:rPr>
          <w:rFonts w:cs="Times New Roman"/>
          <w:i/>
          <w:iCs/>
          <w:szCs w:val="24"/>
          <w:shd w:val="clear" w:color="auto" w:fill="FFFFFF"/>
        </w:rPr>
        <w:t>Mustang Journal of Business and Ethics</w:t>
      </w:r>
      <w:r w:rsidRPr="000D6DD8">
        <w:rPr>
          <w:rFonts w:cs="Times New Roman"/>
          <w:szCs w:val="24"/>
          <w:shd w:val="clear" w:color="auto" w:fill="FFFFFF"/>
        </w:rPr>
        <w:t>, </w:t>
      </w:r>
      <w:r w:rsidRPr="000D6DD8">
        <w:rPr>
          <w:rFonts w:cs="Times New Roman"/>
          <w:i/>
          <w:iCs/>
          <w:szCs w:val="24"/>
          <w:shd w:val="clear" w:color="auto" w:fill="FFFFFF"/>
        </w:rPr>
        <w:t>6</w:t>
      </w:r>
      <w:r w:rsidRPr="000D6DD8">
        <w:rPr>
          <w:rFonts w:cs="Times New Roman"/>
          <w:szCs w:val="24"/>
          <w:shd w:val="clear" w:color="auto" w:fill="FFFFFF"/>
        </w:rPr>
        <w:t>, p.68.</w:t>
      </w:r>
    </w:p>
    <w:p w14:paraId="6156C3B2"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Nazarova, V.L., 2013. Unit factor analysis of budget task implementation on enterprise profits. </w:t>
      </w:r>
      <w:r w:rsidRPr="000D6DD8">
        <w:rPr>
          <w:rFonts w:cs="Times New Roman"/>
          <w:i/>
          <w:iCs/>
          <w:szCs w:val="24"/>
          <w:shd w:val="clear" w:color="auto" w:fill="FFFFFF"/>
        </w:rPr>
        <w:t>Статистика, учет и аудит</w:t>
      </w:r>
      <w:r w:rsidRPr="000D6DD8">
        <w:rPr>
          <w:rFonts w:cs="Times New Roman"/>
          <w:szCs w:val="24"/>
          <w:shd w:val="clear" w:color="auto" w:fill="FFFFFF"/>
        </w:rPr>
        <w:t>, (1), pp.13-17.</w:t>
      </w:r>
    </w:p>
    <w:p w14:paraId="589E5BDA"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Radu, M. and Giju, G.C., 2015. The Flexible Budget–Basic Tool of the Management Control in the Economic Entities. </w:t>
      </w:r>
      <w:r w:rsidRPr="000D6DD8">
        <w:rPr>
          <w:rFonts w:cs="Times New Roman"/>
          <w:i/>
          <w:iCs/>
          <w:szCs w:val="24"/>
          <w:shd w:val="clear" w:color="auto" w:fill="FFFFFF"/>
        </w:rPr>
        <w:t>Scientific Bulletin: Economic Sciences 2015</w:t>
      </w:r>
      <w:r w:rsidRPr="000D6DD8">
        <w:rPr>
          <w:rFonts w:cs="Times New Roman"/>
          <w:szCs w:val="24"/>
          <w:shd w:val="clear" w:color="auto" w:fill="FFFFFF"/>
        </w:rPr>
        <w:t>, </w:t>
      </w:r>
      <w:r w:rsidRPr="000D6DD8">
        <w:rPr>
          <w:rFonts w:cs="Times New Roman"/>
          <w:i/>
          <w:iCs/>
          <w:szCs w:val="24"/>
          <w:shd w:val="clear" w:color="auto" w:fill="FFFFFF"/>
        </w:rPr>
        <w:t>14</w:t>
      </w:r>
      <w:r w:rsidRPr="000D6DD8">
        <w:rPr>
          <w:rFonts w:cs="Times New Roman"/>
          <w:szCs w:val="24"/>
          <w:shd w:val="clear" w:color="auto" w:fill="FFFFFF"/>
        </w:rPr>
        <w:t>(1), pp.3-10.</w:t>
      </w:r>
    </w:p>
    <w:p w14:paraId="4E36B261"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Singer, Y., 2010, October. Budget feasible mechanisms. In </w:t>
      </w:r>
      <w:r w:rsidRPr="000D6DD8">
        <w:rPr>
          <w:rFonts w:cs="Times New Roman"/>
          <w:i/>
          <w:iCs/>
          <w:szCs w:val="24"/>
          <w:shd w:val="clear" w:color="auto" w:fill="FFFFFF"/>
        </w:rPr>
        <w:t>2010 IEEE 51st Annual Symposium on Foundations of Computer Science</w:t>
      </w:r>
      <w:r w:rsidRPr="000D6DD8">
        <w:rPr>
          <w:rFonts w:cs="Times New Roman"/>
          <w:szCs w:val="24"/>
          <w:shd w:val="clear" w:color="auto" w:fill="FFFFFF"/>
        </w:rPr>
        <w:t> (pp. 765-774). IEEE.</w:t>
      </w:r>
    </w:p>
    <w:p w14:paraId="23661A91"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Slutsky, E.E. and Ragusa, O., 2012. On the Theory of the Budget of the Consumer. </w:t>
      </w:r>
      <w:r w:rsidRPr="000D6DD8">
        <w:rPr>
          <w:rFonts w:cs="Times New Roman"/>
          <w:i/>
          <w:iCs/>
          <w:szCs w:val="24"/>
          <w:shd w:val="clear" w:color="auto" w:fill="FFFFFF"/>
        </w:rPr>
        <w:t>Giornale degli Economisti e Annali di Economia</w:t>
      </w:r>
      <w:r w:rsidRPr="000D6DD8">
        <w:rPr>
          <w:rFonts w:cs="Times New Roman"/>
          <w:szCs w:val="24"/>
          <w:shd w:val="clear" w:color="auto" w:fill="FFFFFF"/>
        </w:rPr>
        <w:t>, </w:t>
      </w:r>
      <w:r w:rsidRPr="000D6DD8">
        <w:rPr>
          <w:rFonts w:cs="Times New Roman"/>
          <w:i/>
          <w:iCs/>
          <w:szCs w:val="24"/>
          <w:shd w:val="clear" w:color="auto" w:fill="FFFFFF"/>
        </w:rPr>
        <w:t>71</w:t>
      </w:r>
      <w:r w:rsidRPr="000D6DD8">
        <w:rPr>
          <w:rFonts w:cs="Times New Roman"/>
          <w:szCs w:val="24"/>
          <w:shd w:val="clear" w:color="auto" w:fill="FFFFFF"/>
        </w:rPr>
        <w:t>(2/3), pp.173-200.</w:t>
      </w:r>
    </w:p>
    <w:p w14:paraId="1F15F2A9"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lastRenderedPageBreak/>
        <w:t>Wetekamp, W., 2011, September. Net Present Value (NPV) as a tool supporting effective project management. In </w:t>
      </w:r>
      <w:r w:rsidRPr="000D6DD8">
        <w:rPr>
          <w:rFonts w:cs="Times New Roman"/>
          <w:i/>
          <w:iCs/>
          <w:szCs w:val="24"/>
          <w:shd w:val="clear" w:color="auto" w:fill="FFFFFF"/>
        </w:rPr>
        <w:t>Proceedings of the 6th IEEE International Conference on Intelligent Data Acquisition and Advanced Computing Systems</w:t>
      </w:r>
      <w:r w:rsidRPr="000D6DD8">
        <w:rPr>
          <w:rFonts w:cs="Times New Roman"/>
          <w:szCs w:val="24"/>
          <w:shd w:val="clear" w:color="auto" w:fill="FFFFFF"/>
        </w:rPr>
        <w:t> (Vol. 2, pp. 898-900). IEEE.</w:t>
      </w:r>
    </w:p>
    <w:p w14:paraId="280B09E6" w14:textId="77777777" w:rsidR="00844A7C" w:rsidRPr="000D6DD8" w:rsidRDefault="00844A7C" w:rsidP="00844A7C">
      <w:pPr>
        <w:spacing w:line="360" w:lineRule="auto"/>
        <w:ind w:left="720" w:hanging="720"/>
        <w:jc w:val="both"/>
        <w:rPr>
          <w:rFonts w:cs="Times New Roman"/>
          <w:szCs w:val="24"/>
          <w:shd w:val="clear" w:color="auto" w:fill="FFFFFF"/>
        </w:rPr>
      </w:pPr>
      <w:r w:rsidRPr="000D6DD8">
        <w:rPr>
          <w:rFonts w:cs="Times New Roman"/>
          <w:szCs w:val="24"/>
          <w:shd w:val="clear" w:color="auto" w:fill="FFFFFF"/>
        </w:rPr>
        <w:t>Yahya-Zadeh, M., 2012. Comprehensive variance analysis based on ex post optimal budget. </w:t>
      </w:r>
      <w:r w:rsidRPr="000D6DD8">
        <w:rPr>
          <w:rFonts w:cs="Times New Roman"/>
          <w:i/>
          <w:iCs/>
          <w:szCs w:val="24"/>
          <w:shd w:val="clear" w:color="auto" w:fill="FFFFFF"/>
        </w:rPr>
        <w:t>Academy of Accounting and Financial Studies Journal</w:t>
      </w:r>
      <w:r w:rsidRPr="000D6DD8">
        <w:rPr>
          <w:rFonts w:cs="Times New Roman"/>
          <w:szCs w:val="24"/>
          <w:shd w:val="clear" w:color="auto" w:fill="FFFFFF"/>
        </w:rPr>
        <w:t>, </w:t>
      </w:r>
      <w:r w:rsidRPr="000D6DD8">
        <w:rPr>
          <w:rFonts w:cs="Times New Roman"/>
          <w:i/>
          <w:iCs/>
          <w:szCs w:val="24"/>
          <w:shd w:val="clear" w:color="auto" w:fill="FFFFFF"/>
        </w:rPr>
        <w:t>16</w:t>
      </w:r>
      <w:r w:rsidRPr="000D6DD8">
        <w:rPr>
          <w:rFonts w:cs="Times New Roman"/>
          <w:szCs w:val="24"/>
          <w:shd w:val="clear" w:color="auto" w:fill="FFFFFF"/>
        </w:rPr>
        <w:t>, p.65.</w:t>
      </w:r>
    </w:p>
    <w:p w14:paraId="2BBC8548" w14:textId="77777777" w:rsidR="00F8507F" w:rsidRDefault="00F8507F"/>
    <w:sectPr w:rsidR="00F8507F" w:rsidSect="006650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6182"/>
      <w:docPartObj>
        <w:docPartGallery w:val="Page Numbers (Bottom of Page)"/>
        <w:docPartUnique/>
      </w:docPartObj>
    </w:sdtPr>
    <w:sdtEndPr/>
    <w:sdtContent>
      <w:p w14:paraId="73EFCBAD" w14:textId="77777777" w:rsidR="007F587B" w:rsidRDefault="00844A7C">
        <w:pPr>
          <w:pStyle w:val="Footer"/>
        </w:pPr>
        <w:r>
          <w:fldChar w:fldCharType="begin"/>
        </w:r>
        <w:r>
          <w:instrText xml:space="preserve"> PAGE   \* MERGEFORMAT </w:instrText>
        </w:r>
        <w:r>
          <w:fldChar w:fldCharType="separate"/>
        </w:r>
        <w:r>
          <w:rPr>
            <w:noProof/>
          </w:rPr>
          <w:t>2</w:t>
        </w:r>
        <w:r>
          <w:rPr>
            <w:noProof/>
          </w:rPr>
          <w:fldChar w:fldCharType="end"/>
        </w:r>
      </w:p>
    </w:sdtContent>
  </w:sdt>
  <w:sdt>
    <w:sdtPr>
      <w:id w:val="7779367"/>
      <w:docPartObj>
        <w:docPartGallery w:val="AutoText"/>
      </w:docPartObj>
    </w:sdtPr>
    <w:sdtEndPr/>
    <w:sdtContent>
      <w:p w14:paraId="5165AB00" w14:textId="77777777" w:rsidR="007F587B" w:rsidRDefault="00844A7C">
        <w:pPr>
          <w:pStyle w:val="Footer"/>
        </w:pPr>
      </w:p>
    </w:sdtContent>
  </w:sdt>
  <w:p w14:paraId="445E0248" w14:textId="77777777" w:rsidR="007F587B" w:rsidRDefault="00844A7C">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03885"/>
    <w:multiLevelType w:val="hybridMultilevel"/>
    <w:tmpl w:val="735E71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8D015D"/>
    <w:multiLevelType w:val="hybridMultilevel"/>
    <w:tmpl w:val="39DCFE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CF2B79"/>
    <w:multiLevelType w:val="hybridMultilevel"/>
    <w:tmpl w:val="38F0C542"/>
    <w:lvl w:ilvl="0" w:tplc="04090019">
      <w:start w:val="1"/>
      <w:numFmt w:val="lowerLetter"/>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5D1D6F35"/>
    <w:multiLevelType w:val="hybridMultilevel"/>
    <w:tmpl w:val="609CBA18"/>
    <w:lvl w:ilvl="0" w:tplc="8418ED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B5"/>
    <w:rsid w:val="005032B5"/>
    <w:rsid w:val="00844A7C"/>
    <w:rsid w:val="00F85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B90EFB-8524-4BC4-8E8E-71A2D8C7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A7C"/>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844A7C"/>
    <w:pPr>
      <w:spacing w:after="80"/>
      <w:outlineLvl w:val="0"/>
    </w:pPr>
    <w:rPr>
      <w:b/>
      <w:color w:val="8496B0" w:themeColor="text2" w:themeTint="99"/>
      <w:sz w:val="32"/>
    </w:rPr>
  </w:style>
  <w:style w:type="paragraph" w:styleId="Heading2">
    <w:name w:val="heading 2"/>
    <w:basedOn w:val="Normal"/>
    <w:next w:val="Normal"/>
    <w:link w:val="Heading2Char"/>
    <w:uiPriority w:val="9"/>
    <w:unhideWhenUsed/>
    <w:qFormat/>
    <w:rsid w:val="00844A7C"/>
    <w:pPr>
      <w:keepNext/>
      <w:keepLines/>
      <w:spacing w:before="200" w:after="0"/>
      <w:outlineLvl w:val="1"/>
    </w:pPr>
    <w:rPr>
      <w:rFonts w:eastAsiaTheme="majorEastAsia" w:cstheme="majorBidi"/>
      <w:b/>
      <w:bCs/>
      <w:color w:val="4472C4"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A7C"/>
    <w:rPr>
      <w:rFonts w:ascii="Times New Roman" w:hAnsi="Times New Roman"/>
      <w:b/>
      <w:color w:val="8496B0" w:themeColor="text2" w:themeTint="99"/>
      <w:sz w:val="32"/>
    </w:rPr>
  </w:style>
  <w:style w:type="character" w:customStyle="1" w:styleId="Heading2Char">
    <w:name w:val="Heading 2 Char"/>
    <w:basedOn w:val="DefaultParagraphFont"/>
    <w:link w:val="Heading2"/>
    <w:uiPriority w:val="9"/>
    <w:rsid w:val="00844A7C"/>
    <w:rPr>
      <w:rFonts w:ascii="Times New Roman" w:eastAsiaTheme="majorEastAsia" w:hAnsi="Times New Roman" w:cstheme="majorBidi"/>
      <w:b/>
      <w:bCs/>
      <w:color w:val="4472C4" w:themeColor="accent1"/>
      <w:sz w:val="24"/>
      <w:szCs w:val="26"/>
    </w:rPr>
  </w:style>
  <w:style w:type="paragraph" w:styleId="Footer">
    <w:name w:val="footer"/>
    <w:basedOn w:val="Normal"/>
    <w:link w:val="FooterChar"/>
    <w:uiPriority w:val="99"/>
    <w:unhideWhenUsed/>
    <w:rsid w:val="00844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A7C"/>
    <w:rPr>
      <w:rFonts w:ascii="Times New Roman" w:hAnsi="Times New Roman"/>
      <w:sz w:val="24"/>
    </w:rPr>
  </w:style>
  <w:style w:type="paragraph" w:styleId="TOC1">
    <w:name w:val="toc 1"/>
    <w:basedOn w:val="Normal"/>
    <w:next w:val="Normal"/>
    <w:uiPriority w:val="39"/>
    <w:unhideWhenUsed/>
    <w:rsid w:val="00844A7C"/>
    <w:pPr>
      <w:spacing w:after="100"/>
    </w:pPr>
  </w:style>
  <w:style w:type="paragraph" w:styleId="TOC2">
    <w:name w:val="toc 2"/>
    <w:basedOn w:val="Normal"/>
    <w:next w:val="Normal"/>
    <w:uiPriority w:val="39"/>
    <w:unhideWhenUsed/>
    <w:rsid w:val="00844A7C"/>
    <w:pPr>
      <w:spacing w:after="100"/>
      <w:ind w:left="240"/>
    </w:pPr>
  </w:style>
  <w:style w:type="character" w:styleId="Hyperlink">
    <w:name w:val="Hyperlink"/>
    <w:basedOn w:val="DefaultParagraphFont"/>
    <w:uiPriority w:val="99"/>
    <w:unhideWhenUsed/>
    <w:rsid w:val="00844A7C"/>
    <w:rPr>
      <w:color w:val="0000FF"/>
      <w:u w:val="single"/>
    </w:rPr>
  </w:style>
  <w:style w:type="paragraph" w:styleId="ListParagraph">
    <w:name w:val="List Paragraph"/>
    <w:basedOn w:val="Normal"/>
    <w:uiPriority w:val="34"/>
    <w:qFormat/>
    <w:rsid w:val="00844A7C"/>
    <w:pPr>
      <w:ind w:left="720"/>
      <w:contextualSpacing/>
    </w:pPr>
  </w:style>
  <w:style w:type="paragraph" w:styleId="NoSpacing">
    <w:name w:val="No Spacing"/>
    <w:uiPriority w:val="1"/>
    <w:qFormat/>
    <w:rsid w:val="00844A7C"/>
    <w:pPr>
      <w:spacing w:after="0" w:line="240" w:lineRule="auto"/>
    </w:pPr>
    <w:rPr>
      <w:rFonts w:ascii="Times New Roman" w:hAnsi="Times New Roman"/>
      <w:sz w:val="24"/>
      <w:lang w:val="en-US"/>
    </w:rPr>
  </w:style>
  <w:style w:type="paragraph" w:customStyle="1" w:styleId="TOCHeading1">
    <w:name w:val="TOC Heading1"/>
    <w:basedOn w:val="Heading1"/>
    <w:next w:val="Normal"/>
    <w:uiPriority w:val="39"/>
    <w:unhideWhenUsed/>
    <w:qFormat/>
    <w:rsid w:val="00844A7C"/>
    <w:pPr>
      <w:spacing w:before="240" w:line="259" w:lineRule="auto"/>
      <w:outlineLvl w:val="9"/>
    </w:pPr>
    <w:rPr>
      <w:rFonts w:asciiTheme="majorHAnsi" w:hAnsiTheme="majorHAnsi"/>
      <w:b w:val="0"/>
      <w:szCs w:val="32"/>
    </w:rPr>
  </w:style>
  <w:style w:type="paragraph" w:styleId="Title">
    <w:name w:val="Title"/>
    <w:basedOn w:val="Normal"/>
    <w:next w:val="Normal"/>
    <w:link w:val="TitleChar"/>
    <w:uiPriority w:val="10"/>
    <w:qFormat/>
    <w:rsid w:val="00844A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A7C"/>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44A7C"/>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3072</Words>
  <Characters>17512</Characters>
  <Application>Microsoft Office Word</Application>
  <DocSecurity>0</DocSecurity>
  <Lines>145</Lines>
  <Paragraphs>41</Paragraphs>
  <ScaleCrop>false</ScaleCrop>
  <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Mirela Mocanu (1905164)</dc:creator>
  <cp:keywords/>
  <dc:description/>
  <cp:lastModifiedBy>Simona Mirela Mocanu (1905164)</cp:lastModifiedBy>
  <cp:revision>2</cp:revision>
  <dcterms:created xsi:type="dcterms:W3CDTF">2021-04-22T19:13:00Z</dcterms:created>
  <dcterms:modified xsi:type="dcterms:W3CDTF">2021-04-22T19:13:00Z</dcterms:modified>
</cp:coreProperties>
</file>