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11685490"/>
        <w:docPartObj>
          <w:docPartGallery w:val="Cover Pages"/>
          <w:docPartUnique/>
        </w:docPartObj>
      </w:sdtPr>
      <w:sdtContent>
        <w:p w:rsidR="00FE3F04" w:rsidRDefault="00FE3F04"/>
        <w:p w:rsidR="00FE3F04" w:rsidRDefault="00FE3F04" w:rsidP="00FE3F04">
          <w:pPr>
            <w:jc w:val="center"/>
            <w:rPr>
              <w:b/>
              <w:bCs/>
            </w:rPr>
          </w:pPr>
        </w:p>
        <w:p w:rsidR="00FE3F04" w:rsidRDefault="00FE3F04" w:rsidP="00FE3F04">
          <w:pPr>
            <w:jc w:val="center"/>
            <w:rPr>
              <w:b/>
              <w:bCs/>
            </w:rPr>
          </w:pPr>
        </w:p>
        <w:p w:rsidR="00FE3F04" w:rsidRDefault="00FE3F04" w:rsidP="00FE3F04">
          <w:pPr>
            <w:jc w:val="center"/>
            <w:rPr>
              <w:b/>
              <w:bCs/>
            </w:rPr>
          </w:pPr>
        </w:p>
        <w:p w:rsidR="00FE3F04" w:rsidRPr="00FE3F04" w:rsidRDefault="00FE3F04" w:rsidP="00FE3F04">
          <w:pPr>
            <w:jc w:val="center"/>
            <w:rPr>
              <w:rFonts w:ascii="Arial" w:hAnsi="Arial" w:cs="Arial"/>
              <w:b/>
              <w:bCs/>
              <w:sz w:val="36"/>
              <w:szCs w:val="36"/>
            </w:rPr>
          </w:pPr>
        </w:p>
        <w:p w:rsidR="00FE3F04" w:rsidRPr="00FE3F04" w:rsidRDefault="00FE3F04" w:rsidP="00FE3F04">
          <w:pPr>
            <w:jc w:val="center"/>
            <w:rPr>
              <w:rFonts w:ascii="Arial" w:hAnsi="Arial" w:cs="Arial"/>
              <w:b/>
              <w:bCs/>
              <w:sz w:val="36"/>
              <w:szCs w:val="36"/>
            </w:rPr>
          </w:pPr>
        </w:p>
        <w:p w:rsidR="00FE3F04" w:rsidRPr="00FE3F04" w:rsidRDefault="00FE3F04" w:rsidP="00FE3F04">
          <w:pPr>
            <w:jc w:val="center"/>
            <w:rPr>
              <w:rFonts w:ascii="Arial" w:hAnsi="Arial" w:cs="Arial"/>
              <w:b/>
              <w:bCs/>
              <w:sz w:val="36"/>
              <w:szCs w:val="36"/>
            </w:rPr>
          </w:pPr>
          <w:r w:rsidRPr="00FE3F04">
            <w:rPr>
              <w:rFonts w:ascii="Arial" w:hAnsi="Arial" w:cs="Arial"/>
              <w:b/>
              <w:bCs/>
              <w:sz w:val="36"/>
              <w:szCs w:val="36"/>
            </w:rPr>
            <w:t>Module Title: Problem Solving and Decision Making</w:t>
          </w:r>
        </w:p>
        <w:p w:rsidR="00FE3F04" w:rsidRPr="00FE3F04" w:rsidRDefault="00FE3F04" w:rsidP="00FE3F04">
          <w:pPr>
            <w:jc w:val="center"/>
            <w:rPr>
              <w:rFonts w:ascii="Arial" w:hAnsi="Arial" w:cs="Arial"/>
              <w:b/>
              <w:bCs/>
              <w:sz w:val="36"/>
              <w:szCs w:val="36"/>
            </w:rPr>
          </w:pPr>
        </w:p>
        <w:p w:rsidR="00FE3F04" w:rsidRPr="00FE3F04" w:rsidRDefault="00FE3F04" w:rsidP="00FE3F04">
          <w:pPr>
            <w:jc w:val="center"/>
            <w:rPr>
              <w:rFonts w:ascii="Arial" w:hAnsi="Arial" w:cs="Arial"/>
              <w:b/>
              <w:bCs/>
              <w:sz w:val="36"/>
              <w:szCs w:val="36"/>
            </w:rPr>
          </w:pPr>
          <w:r w:rsidRPr="00FE3F04">
            <w:rPr>
              <w:rFonts w:ascii="Arial" w:hAnsi="Arial" w:cs="Arial"/>
              <w:b/>
              <w:bCs/>
              <w:sz w:val="36"/>
              <w:szCs w:val="36"/>
            </w:rPr>
            <w:t>Module Code: LCLM 4004</w:t>
          </w:r>
        </w:p>
        <w:p w:rsidR="00FE3F04" w:rsidRPr="00FE3F04" w:rsidRDefault="00FE3F04" w:rsidP="00FE3F04">
          <w:pPr>
            <w:jc w:val="center"/>
            <w:rPr>
              <w:rFonts w:ascii="Arial" w:hAnsi="Arial" w:cs="Arial"/>
              <w:sz w:val="36"/>
              <w:szCs w:val="36"/>
            </w:rPr>
          </w:pPr>
        </w:p>
        <w:p w:rsidR="00FE3F04" w:rsidRPr="00FE3F04" w:rsidRDefault="00FE3F04" w:rsidP="00FE3F04">
          <w:pPr>
            <w:jc w:val="center"/>
            <w:rPr>
              <w:rFonts w:ascii="Arial" w:hAnsi="Arial" w:cs="Arial"/>
              <w:b/>
              <w:bCs/>
              <w:sz w:val="36"/>
              <w:szCs w:val="36"/>
            </w:rPr>
          </w:pPr>
          <w:r w:rsidRPr="00FE3F04">
            <w:rPr>
              <w:rFonts w:ascii="Arial" w:hAnsi="Arial" w:cs="Arial"/>
              <w:b/>
              <w:bCs/>
              <w:sz w:val="36"/>
              <w:szCs w:val="36"/>
            </w:rPr>
            <w:t xml:space="preserve">Assessment: </w:t>
          </w:r>
        </w:p>
        <w:p w:rsidR="00FE3F04" w:rsidRPr="00FE3F04" w:rsidRDefault="00FE3F04" w:rsidP="00FE3F04">
          <w:pPr>
            <w:jc w:val="center"/>
            <w:rPr>
              <w:rFonts w:ascii="Arial" w:hAnsi="Arial" w:cs="Arial"/>
              <w:sz w:val="36"/>
              <w:szCs w:val="36"/>
            </w:rPr>
          </w:pPr>
          <w:r w:rsidRPr="00FE3F04">
            <w:rPr>
              <w:rFonts w:ascii="Arial" w:hAnsi="Arial" w:cs="Arial"/>
              <w:sz w:val="36"/>
              <w:szCs w:val="36"/>
            </w:rPr>
            <w:t>Component 2 Report</w:t>
          </w:r>
        </w:p>
        <w:p w:rsidR="00FE3F04" w:rsidRPr="00FE3F04" w:rsidRDefault="00FE3F04" w:rsidP="00FE3F04">
          <w:pPr>
            <w:jc w:val="center"/>
            <w:rPr>
              <w:rFonts w:ascii="Arial" w:hAnsi="Arial" w:cs="Arial"/>
              <w:sz w:val="36"/>
              <w:szCs w:val="36"/>
            </w:rPr>
          </w:pPr>
        </w:p>
        <w:p w:rsidR="00FE3F04" w:rsidRPr="00FE3F04" w:rsidRDefault="00FE3F04" w:rsidP="00FE3F04">
          <w:pPr>
            <w:jc w:val="center"/>
            <w:rPr>
              <w:rFonts w:ascii="Arial" w:hAnsi="Arial" w:cs="Arial"/>
              <w:b/>
              <w:bCs/>
              <w:sz w:val="36"/>
              <w:szCs w:val="36"/>
            </w:rPr>
          </w:pPr>
          <w:r w:rsidRPr="00FE3F04">
            <w:rPr>
              <w:rFonts w:ascii="Arial" w:hAnsi="Arial" w:cs="Arial"/>
              <w:b/>
              <w:bCs/>
              <w:sz w:val="36"/>
              <w:szCs w:val="36"/>
            </w:rPr>
            <w:t>Case-study:</w:t>
          </w:r>
        </w:p>
        <w:p w:rsidR="00FE3F04" w:rsidRDefault="00FE3F04" w:rsidP="00FE3F04">
          <w:pPr>
            <w:jc w:val="center"/>
          </w:pPr>
          <w:r w:rsidRPr="00FE3F04">
            <w:rPr>
              <w:rFonts w:ascii="Arial" w:hAnsi="Arial" w:cs="Arial"/>
              <w:sz w:val="36"/>
              <w:szCs w:val="36"/>
            </w:rPr>
            <w:t>Green Haven Florists</w:t>
          </w:r>
          <w:r>
            <w:br w:type="page"/>
          </w:r>
        </w:p>
      </w:sdtContent>
    </w:sdt>
    <w:sdt>
      <w:sdtPr>
        <w:rPr>
          <w:rFonts w:asciiTheme="minorHAnsi" w:eastAsiaTheme="minorHAnsi" w:hAnsiTheme="minorHAnsi" w:cstheme="minorBidi"/>
          <w:color w:val="auto"/>
          <w:kern w:val="2"/>
          <w:sz w:val="24"/>
          <w:szCs w:val="24"/>
        </w:rPr>
        <w:id w:val="-971131794"/>
        <w:docPartObj>
          <w:docPartGallery w:val="Table of Contents"/>
          <w:docPartUnique/>
        </w:docPartObj>
      </w:sdtPr>
      <w:sdtEndPr>
        <w:rPr>
          <w:b/>
          <w:bCs/>
          <w:noProof/>
        </w:rPr>
      </w:sdtEndPr>
      <w:sdtContent>
        <w:p w:rsidR="00FE3F04" w:rsidRPr="00FE3F04" w:rsidRDefault="00FE3F04" w:rsidP="00FE3F04">
          <w:pPr>
            <w:pStyle w:val="TOCHeading"/>
            <w:spacing w:line="360" w:lineRule="auto"/>
            <w:rPr>
              <w:rFonts w:ascii="Arial" w:hAnsi="Arial" w:cs="Arial"/>
              <w:b/>
              <w:bCs/>
            </w:rPr>
          </w:pPr>
          <w:r w:rsidRPr="00FE3F04">
            <w:rPr>
              <w:rFonts w:ascii="Arial" w:hAnsi="Arial" w:cs="Arial"/>
              <w:b/>
              <w:bCs/>
            </w:rPr>
            <w:t>Table of Contents</w:t>
          </w:r>
        </w:p>
        <w:p w:rsidR="00FE3F04" w:rsidRPr="00FE3F04" w:rsidRDefault="00FE3F04" w:rsidP="00FE3F04">
          <w:pPr>
            <w:spacing w:line="360" w:lineRule="auto"/>
            <w:rPr>
              <w:rFonts w:ascii="Arial" w:hAnsi="Arial" w:cs="Arial"/>
            </w:rPr>
          </w:pPr>
        </w:p>
        <w:p w:rsidR="00FE3F04" w:rsidRPr="00FE3F04" w:rsidRDefault="00FE3F04" w:rsidP="00FE3F04">
          <w:pPr>
            <w:pStyle w:val="TOC1"/>
            <w:tabs>
              <w:tab w:val="right" w:leader="dot" w:pos="9350"/>
            </w:tabs>
            <w:spacing w:line="360" w:lineRule="auto"/>
            <w:rPr>
              <w:rFonts w:ascii="Arial" w:eastAsiaTheme="minorEastAsia" w:hAnsi="Arial" w:cs="Arial"/>
              <w:i/>
              <w:iCs/>
              <w:noProof/>
            </w:rPr>
          </w:pPr>
          <w:r w:rsidRPr="00FE3F04">
            <w:rPr>
              <w:rFonts w:ascii="Arial" w:hAnsi="Arial" w:cs="Arial"/>
            </w:rPr>
            <w:fldChar w:fldCharType="begin"/>
          </w:r>
          <w:r w:rsidRPr="00FE3F04">
            <w:rPr>
              <w:rFonts w:ascii="Arial" w:hAnsi="Arial" w:cs="Arial"/>
            </w:rPr>
            <w:instrText xml:space="preserve"> TOC \o "1-3" \h \z \u </w:instrText>
          </w:r>
          <w:r w:rsidRPr="00FE3F04">
            <w:rPr>
              <w:rFonts w:ascii="Arial" w:hAnsi="Arial" w:cs="Arial"/>
            </w:rPr>
            <w:fldChar w:fldCharType="separate"/>
          </w:r>
          <w:hyperlink w:anchor="_Toc213176524" w:history="1">
            <w:r w:rsidRPr="00FE3F04">
              <w:rPr>
                <w:rStyle w:val="Hyperlink"/>
                <w:rFonts w:ascii="Arial" w:hAnsi="Arial" w:cs="Arial"/>
                <w:i/>
                <w:iCs/>
                <w:noProof/>
              </w:rPr>
              <w:t>Introduction</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_Toc213176524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2</w:t>
            </w:r>
            <w:r w:rsidRPr="00FE3F04">
              <w:rPr>
                <w:rFonts w:ascii="Arial" w:hAnsi="Arial" w:cs="Arial"/>
                <w:i/>
                <w:iCs/>
                <w:noProof/>
                <w:webHidden/>
              </w:rPr>
              <w:fldChar w:fldCharType="end"/>
            </w:r>
          </w:hyperlink>
        </w:p>
        <w:p w:rsidR="00FE3F04" w:rsidRPr="00FE3F04" w:rsidRDefault="00FE3F04" w:rsidP="00FE3F04">
          <w:pPr>
            <w:pStyle w:val="TOC1"/>
            <w:tabs>
              <w:tab w:val="right" w:leader="dot" w:pos="9350"/>
            </w:tabs>
            <w:spacing w:line="360" w:lineRule="auto"/>
            <w:rPr>
              <w:rFonts w:ascii="Arial" w:eastAsiaTheme="minorEastAsia" w:hAnsi="Arial" w:cs="Arial"/>
              <w:i/>
              <w:iCs/>
              <w:noProof/>
            </w:rPr>
          </w:pPr>
          <w:hyperlink w:anchor="_Toc213176525" w:history="1">
            <w:r w:rsidRPr="00FE3F04">
              <w:rPr>
                <w:rStyle w:val="Hyperlink"/>
                <w:rFonts w:ascii="Arial" w:hAnsi="Arial" w:cs="Arial"/>
                <w:i/>
                <w:iCs/>
                <w:noProof/>
              </w:rPr>
              <w:t>Suggested Two Alternative Solutions</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_Toc213176525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2</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26" w:history="1">
            <w:r w:rsidRPr="00FE3F04">
              <w:rPr>
                <w:rStyle w:val="Hyperlink"/>
                <w:rFonts w:ascii="Arial" w:hAnsi="Arial" w:cs="Arial"/>
                <w:i/>
                <w:iCs/>
                <w:noProof/>
              </w:rPr>
              <w:t>Solution A – Digital Transformation and E-Commerce Upgrade</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_Toc213176526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2</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27" w:history="1">
            <w:r w:rsidRPr="00FE3F04">
              <w:rPr>
                <w:rStyle w:val="Hyperlink"/>
                <w:rFonts w:ascii="Arial" w:hAnsi="Arial" w:cs="Arial"/>
                <w:i/>
                <w:iCs/>
                <w:noProof/>
              </w:rPr>
              <w:t>Solution B – Customer Retention and Local Engagement Strategy</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_Toc213176527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3</w:t>
            </w:r>
            <w:r w:rsidRPr="00FE3F04">
              <w:rPr>
                <w:rFonts w:ascii="Arial" w:hAnsi="Arial" w:cs="Arial"/>
                <w:i/>
                <w:iCs/>
                <w:noProof/>
                <w:webHidden/>
              </w:rPr>
              <w:fldChar w:fldCharType="end"/>
            </w:r>
          </w:hyperlink>
        </w:p>
        <w:p w:rsidR="00FE3F04" w:rsidRPr="00FE3F04" w:rsidRDefault="00FE3F04" w:rsidP="00FE3F04">
          <w:pPr>
            <w:pStyle w:val="TOC1"/>
            <w:tabs>
              <w:tab w:val="right" w:leader="dot" w:pos="9350"/>
            </w:tabs>
            <w:spacing w:line="360" w:lineRule="auto"/>
            <w:rPr>
              <w:rFonts w:ascii="Arial" w:eastAsiaTheme="minorEastAsia" w:hAnsi="Arial" w:cs="Arial"/>
              <w:i/>
              <w:iCs/>
              <w:noProof/>
            </w:rPr>
          </w:pPr>
          <w:hyperlink w:anchor="_Toc213176528" w:history="1">
            <w:r w:rsidRPr="00FE3F04">
              <w:rPr>
                <w:rStyle w:val="Hyperlink"/>
                <w:rFonts w:ascii="Arial" w:hAnsi="Arial" w:cs="Arial"/>
                <w:i/>
                <w:iCs/>
                <w:noProof/>
              </w:rPr>
              <w:t>Justification for Selected Solution (via Grid Analysis)</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_Toc213176528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3</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29" w:history="1">
            <w:r w:rsidRPr="00FE3F04">
              <w:rPr>
                <w:rStyle w:val="Hyperlink"/>
                <w:rFonts w:ascii="Arial" w:hAnsi="Arial" w:cs="Arial"/>
                <w:i/>
                <w:iCs/>
                <w:noProof/>
              </w:rPr>
              <w:t>Grid Analysis Overview</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_Toc213176529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3</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30" w:history="1">
            <w:r w:rsidRPr="00FE3F04">
              <w:rPr>
                <w:rStyle w:val="Hyperlink"/>
                <w:rFonts w:ascii="Arial" w:hAnsi="Arial" w:cs="Arial"/>
                <w:i/>
                <w:iCs/>
                <w:noProof/>
              </w:rPr>
              <w:t>Evaluation Outcome and Justification</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_Toc213176530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4</w:t>
            </w:r>
            <w:r w:rsidRPr="00FE3F04">
              <w:rPr>
                <w:rFonts w:ascii="Arial" w:hAnsi="Arial" w:cs="Arial"/>
                <w:i/>
                <w:iCs/>
                <w:noProof/>
                <w:webHidden/>
              </w:rPr>
              <w:fldChar w:fldCharType="end"/>
            </w:r>
          </w:hyperlink>
        </w:p>
        <w:p w:rsidR="00FE3F04" w:rsidRPr="00FE3F04" w:rsidRDefault="00FE3F04" w:rsidP="00FE3F04">
          <w:pPr>
            <w:pStyle w:val="TOC1"/>
            <w:tabs>
              <w:tab w:val="right" w:leader="dot" w:pos="9350"/>
            </w:tabs>
            <w:spacing w:line="360" w:lineRule="auto"/>
            <w:rPr>
              <w:rFonts w:ascii="Arial" w:eastAsiaTheme="minorEastAsia" w:hAnsi="Arial" w:cs="Arial"/>
              <w:i/>
              <w:iCs/>
              <w:noProof/>
            </w:rPr>
          </w:pPr>
          <w:hyperlink w:anchor="_Toc213176531" w:history="1">
            <w:r w:rsidRPr="00FE3F04">
              <w:rPr>
                <w:rStyle w:val="Hyperlink"/>
                <w:rFonts w:ascii="Arial" w:hAnsi="Arial" w:cs="Arial"/>
                <w:i/>
                <w:iCs/>
                <w:noProof/>
              </w:rPr>
              <w:t>Risk Analysis of the Selected Solution</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_Toc213176531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4</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32" w:history="1">
            <w:r w:rsidRPr="00FE3F04">
              <w:rPr>
                <w:rStyle w:val="Hyperlink"/>
                <w:rFonts w:ascii="Arial" w:hAnsi="Arial" w:cs="Arial"/>
                <w:i/>
                <w:iCs/>
                <w:noProof/>
              </w:rPr>
              <w:t>Identified Risks</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_Toc213176532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4</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33" w:history="1">
            <w:r w:rsidRPr="00FE3F04">
              <w:rPr>
                <w:rStyle w:val="Hyperlink"/>
                <w:rFonts w:ascii="Arial" w:hAnsi="Arial" w:cs="Arial"/>
                <w:i/>
                <w:iCs/>
                <w:noProof/>
              </w:rPr>
              <w:t>Risk Evaluation</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_Toc213176533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5</w:t>
            </w:r>
            <w:r w:rsidRPr="00FE3F04">
              <w:rPr>
                <w:rFonts w:ascii="Arial" w:hAnsi="Arial" w:cs="Arial"/>
                <w:i/>
                <w:iCs/>
                <w:noProof/>
                <w:webHidden/>
              </w:rPr>
              <w:fldChar w:fldCharType="end"/>
            </w:r>
          </w:hyperlink>
        </w:p>
        <w:p w:rsidR="00FE3F04" w:rsidRPr="00FE3F04" w:rsidRDefault="00FE3F04" w:rsidP="00FE3F04">
          <w:pPr>
            <w:pStyle w:val="TOC1"/>
            <w:tabs>
              <w:tab w:val="right" w:leader="dot" w:pos="9350"/>
            </w:tabs>
            <w:spacing w:line="360" w:lineRule="auto"/>
            <w:rPr>
              <w:rFonts w:ascii="Arial" w:eastAsiaTheme="minorEastAsia" w:hAnsi="Arial" w:cs="Arial"/>
              <w:i/>
              <w:iCs/>
              <w:noProof/>
            </w:rPr>
          </w:pPr>
          <w:hyperlink w:anchor="_Toc213176534" w:history="1">
            <w:r w:rsidRPr="00FE3F04">
              <w:rPr>
                <w:rStyle w:val="Hyperlink"/>
                <w:rFonts w:ascii="Arial" w:hAnsi="Arial" w:cs="Arial"/>
                <w:i/>
                <w:iCs/>
                <w:noProof/>
              </w:rPr>
              <w:t>Plan to Implement the Selected Solution</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_Toc213176534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5</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35" w:history="1">
            <w:r w:rsidRPr="00FE3F04">
              <w:rPr>
                <w:rStyle w:val="Hyperlink"/>
                <w:rFonts w:ascii="Arial" w:hAnsi="Arial" w:cs="Arial"/>
                <w:i/>
                <w:iCs/>
                <w:noProof/>
              </w:rPr>
              <w:t>Implementation Phases</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_Toc213176535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5</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36" w:history="1">
            <w:r w:rsidRPr="00FE3F04">
              <w:rPr>
                <w:rStyle w:val="Hyperlink"/>
                <w:rFonts w:ascii="Arial" w:hAnsi="Arial" w:cs="Arial"/>
                <w:i/>
                <w:iCs/>
                <w:noProof/>
              </w:rPr>
              <w:t>Change Management and Monitoring</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_Toc213176536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6</w:t>
            </w:r>
            <w:r w:rsidRPr="00FE3F04">
              <w:rPr>
                <w:rFonts w:ascii="Arial" w:hAnsi="Arial" w:cs="Arial"/>
                <w:i/>
                <w:iCs/>
                <w:noProof/>
                <w:webHidden/>
              </w:rPr>
              <w:fldChar w:fldCharType="end"/>
            </w:r>
          </w:hyperlink>
        </w:p>
        <w:p w:rsidR="00FE3F04" w:rsidRPr="00FE3F04" w:rsidRDefault="00FE3F04" w:rsidP="00FE3F04">
          <w:pPr>
            <w:pStyle w:val="TOC1"/>
            <w:tabs>
              <w:tab w:val="right" w:leader="dot" w:pos="9350"/>
            </w:tabs>
            <w:spacing w:line="360" w:lineRule="auto"/>
            <w:rPr>
              <w:rFonts w:ascii="Arial" w:eastAsiaTheme="minorEastAsia" w:hAnsi="Arial" w:cs="Arial"/>
              <w:i/>
              <w:iCs/>
              <w:noProof/>
            </w:rPr>
          </w:pPr>
          <w:hyperlink w:anchor="_Toc213176537" w:history="1">
            <w:r w:rsidRPr="00FE3F04">
              <w:rPr>
                <w:rStyle w:val="Hyperlink"/>
                <w:rFonts w:ascii="Arial" w:hAnsi="Arial" w:cs="Arial"/>
                <w:i/>
                <w:iCs/>
                <w:noProof/>
              </w:rPr>
              <w:t>Means of Measuring Effectiveness of Implementation</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_Toc213176537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6</w:t>
            </w:r>
            <w:r w:rsidRPr="00FE3F04">
              <w:rPr>
                <w:rFonts w:ascii="Arial" w:hAnsi="Arial" w:cs="Arial"/>
                <w:i/>
                <w:iCs/>
                <w:noProof/>
                <w:webHidden/>
              </w:rPr>
              <w:fldChar w:fldCharType="end"/>
            </w:r>
          </w:hyperlink>
        </w:p>
        <w:p w:rsidR="00FE3F04" w:rsidRPr="00FE3F04" w:rsidRDefault="00FE3F04" w:rsidP="00FE3F04">
          <w:pPr>
            <w:pStyle w:val="TOC1"/>
            <w:tabs>
              <w:tab w:val="right" w:leader="dot" w:pos="9350"/>
            </w:tabs>
            <w:spacing w:line="360" w:lineRule="auto"/>
            <w:rPr>
              <w:rFonts w:ascii="Arial" w:eastAsiaTheme="minorEastAsia" w:hAnsi="Arial" w:cs="Arial"/>
              <w:i/>
              <w:iCs/>
              <w:noProof/>
            </w:rPr>
          </w:pPr>
          <w:hyperlink w:anchor="_Toc213176538" w:history="1">
            <w:r w:rsidRPr="00FE3F04">
              <w:rPr>
                <w:rStyle w:val="Hyperlink"/>
                <w:rFonts w:ascii="Arial" w:hAnsi="Arial" w:cs="Arial"/>
                <w:i/>
                <w:iCs/>
                <w:noProof/>
              </w:rPr>
              <w:t>Key Findings</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_Toc213176538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7</w:t>
            </w:r>
            <w:r w:rsidRPr="00FE3F04">
              <w:rPr>
                <w:rFonts w:ascii="Arial" w:hAnsi="Arial" w:cs="Arial"/>
                <w:i/>
                <w:iCs/>
                <w:noProof/>
                <w:webHidden/>
              </w:rPr>
              <w:fldChar w:fldCharType="end"/>
            </w:r>
          </w:hyperlink>
        </w:p>
        <w:p w:rsidR="00FE3F04" w:rsidRPr="00FE3F04" w:rsidRDefault="00FE3F04" w:rsidP="00FE3F04">
          <w:pPr>
            <w:pStyle w:val="TOC1"/>
            <w:tabs>
              <w:tab w:val="right" w:leader="dot" w:pos="9350"/>
            </w:tabs>
            <w:spacing w:line="360" w:lineRule="auto"/>
            <w:rPr>
              <w:rFonts w:ascii="Arial" w:eastAsiaTheme="minorEastAsia" w:hAnsi="Arial" w:cs="Arial"/>
              <w:i/>
              <w:iCs/>
              <w:noProof/>
            </w:rPr>
          </w:pPr>
          <w:hyperlink w:anchor="_Toc213176539" w:history="1">
            <w:r w:rsidRPr="00FE3F04">
              <w:rPr>
                <w:rStyle w:val="Hyperlink"/>
                <w:rFonts w:ascii="Arial" w:hAnsi="Arial" w:cs="Arial"/>
                <w:i/>
                <w:iCs/>
                <w:noProof/>
              </w:rPr>
              <w:t>References</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_Toc213176539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8</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41" w:history="1">
            <w:r w:rsidRPr="00FE3F04">
              <w:rPr>
                <w:rStyle w:val="Hyperlink"/>
                <w:rFonts w:ascii="Arial" w:hAnsi="Arial" w:cs="Arial"/>
                <w:i/>
                <w:iCs/>
                <w:noProof/>
              </w:rPr>
              <w:t>Appendix 1: Grid Analysis Table</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_Toc213176541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10</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42" w:history="1">
            <w:r w:rsidRPr="00FE3F04">
              <w:rPr>
                <w:rStyle w:val="Hyperlink"/>
                <w:rFonts w:ascii="Arial" w:hAnsi="Arial" w:cs="Arial"/>
                <w:i/>
                <w:iCs/>
                <w:noProof/>
              </w:rPr>
              <w:t>Appendix 2: Risk Analysis Table</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_Toc213176542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11</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43" w:history="1">
            <w:r w:rsidRPr="00FE3F04">
              <w:rPr>
                <w:rStyle w:val="Hyperlink"/>
                <w:rFonts w:ascii="Arial" w:hAnsi="Arial" w:cs="Arial"/>
                <w:i/>
                <w:iCs/>
                <w:noProof/>
              </w:rPr>
              <w:t>Appendix 3: Implementation Plan</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_Toc213176543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12</w:t>
            </w:r>
            <w:r w:rsidRPr="00FE3F04">
              <w:rPr>
                <w:rFonts w:ascii="Arial" w:hAnsi="Arial" w:cs="Arial"/>
                <w:i/>
                <w:iCs/>
                <w:noProof/>
                <w:webHidden/>
              </w:rPr>
              <w:fldChar w:fldCharType="end"/>
            </w:r>
          </w:hyperlink>
        </w:p>
        <w:p w:rsidR="00FE3F04" w:rsidRPr="00FE3F04" w:rsidRDefault="00FE3F04" w:rsidP="00FE3F04">
          <w:pPr>
            <w:pStyle w:val="TOC2"/>
            <w:tabs>
              <w:tab w:val="right" w:leader="dot" w:pos="9350"/>
            </w:tabs>
            <w:spacing w:line="360" w:lineRule="auto"/>
            <w:rPr>
              <w:rFonts w:ascii="Arial" w:eastAsiaTheme="minorEastAsia" w:hAnsi="Arial" w:cs="Arial"/>
              <w:i/>
              <w:iCs/>
              <w:noProof/>
            </w:rPr>
          </w:pPr>
          <w:hyperlink w:anchor="_Toc213176544" w:history="1">
            <w:r w:rsidRPr="00FE3F04">
              <w:rPr>
                <w:rStyle w:val="Hyperlink"/>
                <w:rFonts w:ascii="Arial" w:hAnsi="Arial" w:cs="Arial"/>
                <w:i/>
                <w:iCs/>
                <w:noProof/>
              </w:rPr>
              <w:t>Appendix 4: The Key Performance Indicator (KPI)</w:t>
            </w:r>
            <w:r w:rsidRPr="00FE3F04">
              <w:rPr>
                <w:rFonts w:ascii="Arial" w:hAnsi="Arial" w:cs="Arial"/>
                <w:i/>
                <w:iCs/>
                <w:noProof/>
                <w:webHidden/>
              </w:rPr>
              <w:tab/>
            </w:r>
            <w:r w:rsidRPr="00FE3F04">
              <w:rPr>
                <w:rFonts w:ascii="Arial" w:hAnsi="Arial" w:cs="Arial"/>
                <w:i/>
                <w:iCs/>
                <w:noProof/>
                <w:webHidden/>
              </w:rPr>
              <w:fldChar w:fldCharType="begin"/>
            </w:r>
            <w:r w:rsidRPr="00FE3F04">
              <w:rPr>
                <w:rFonts w:ascii="Arial" w:hAnsi="Arial" w:cs="Arial"/>
                <w:i/>
                <w:iCs/>
                <w:noProof/>
                <w:webHidden/>
              </w:rPr>
              <w:instrText xml:space="preserve"> PAGEREF _Toc213176544 \h </w:instrText>
            </w:r>
            <w:r w:rsidRPr="00FE3F04">
              <w:rPr>
                <w:rFonts w:ascii="Arial" w:hAnsi="Arial" w:cs="Arial"/>
                <w:i/>
                <w:iCs/>
                <w:noProof/>
                <w:webHidden/>
              </w:rPr>
            </w:r>
            <w:r w:rsidRPr="00FE3F04">
              <w:rPr>
                <w:rFonts w:ascii="Arial" w:hAnsi="Arial" w:cs="Arial"/>
                <w:i/>
                <w:iCs/>
                <w:noProof/>
                <w:webHidden/>
              </w:rPr>
              <w:fldChar w:fldCharType="separate"/>
            </w:r>
            <w:r w:rsidRPr="00FE3F04">
              <w:rPr>
                <w:rFonts w:ascii="Arial" w:hAnsi="Arial" w:cs="Arial"/>
                <w:i/>
                <w:iCs/>
                <w:noProof/>
                <w:webHidden/>
              </w:rPr>
              <w:t>13</w:t>
            </w:r>
            <w:r w:rsidRPr="00FE3F04">
              <w:rPr>
                <w:rFonts w:ascii="Arial" w:hAnsi="Arial" w:cs="Arial"/>
                <w:i/>
                <w:iCs/>
                <w:noProof/>
                <w:webHidden/>
              </w:rPr>
              <w:fldChar w:fldCharType="end"/>
            </w:r>
          </w:hyperlink>
        </w:p>
        <w:p w:rsidR="00FE3F04" w:rsidRDefault="00FE3F04" w:rsidP="00FE3F04">
          <w:pPr>
            <w:spacing w:line="360" w:lineRule="auto"/>
          </w:pPr>
          <w:r w:rsidRPr="00FE3F04">
            <w:rPr>
              <w:rFonts w:ascii="Arial" w:hAnsi="Arial" w:cs="Arial"/>
              <w:b/>
              <w:bCs/>
              <w:noProof/>
            </w:rPr>
            <w:fldChar w:fldCharType="end"/>
          </w:r>
        </w:p>
      </w:sdtContent>
    </w:sdt>
    <w:p w:rsidR="00FE3F04" w:rsidRDefault="00FE3F04">
      <w:pPr>
        <w:rPr>
          <w:rFonts w:ascii="Arial" w:eastAsiaTheme="majorEastAsia" w:hAnsi="Arial" w:cs="Arial"/>
          <w:b/>
          <w:bCs/>
          <w:color w:val="2F5496" w:themeColor="accent1" w:themeShade="BF"/>
          <w:sz w:val="32"/>
          <w:szCs w:val="32"/>
        </w:rPr>
      </w:pPr>
      <w:r>
        <w:br w:type="page"/>
      </w:r>
    </w:p>
    <w:p w:rsidR="00CD3578" w:rsidRPr="0086256E" w:rsidRDefault="00CD3578" w:rsidP="0086256E">
      <w:pPr>
        <w:pStyle w:val="Heading1"/>
      </w:pPr>
      <w:bookmarkStart w:id="0" w:name="_Toc213176483"/>
      <w:bookmarkStart w:id="1" w:name="_Toc213176524"/>
      <w:r w:rsidRPr="0086256E">
        <w:lastRenderedPageBreak/>
        <w:t>Introduction</w:t>
      </w:r>
      <w:bookmarkEnd w:id="0"/>
      <w:bookmarkEnd w:id="1"/>
      <w:r w:rsidRPr="0086256E">
        <w:t xml:space="preserve"> </w:t>
      </w:r>
    </w:p>
    <w:p w:rsidR="00CD3578" w:rsidRPr="0086256E" w:rsidRDefault="00CD3578" w:rsidP="0086256E">
      <w:pPr>
        <w:spacing w:line="360" w:lineRule="auto"/>
        <w:jc w:val="both"/>
        <w:rPr>
          <w:rFonts w:ascii="Arial" w:hAnsi="Arial" w:cs="Arial"/>
        </w:rPr>
      </w:pPr>
      <w:r w:rsidRPr="0086256E">
        <w:rPr>
          <w:rFonts w:ascii="Arial" w:hAnsi="Arial" w:cs="Arial"/>
        </w:rPr>
        <w:t>Green Haven Florists is a small independent and eco-friendly floral enterprise located in Norwich, England. The firm was founded in 2016 and its position was based on customi</w:t>
      </w:r>
      <w:r w:rsidR="00AD2401">
        <w:rPr>
          <w:rFonts w:ascii="Arial" w:hAnsi="Arial" w:cs="Arial"/>
        </w:rPr>
        <w:t>s</w:t>
      </w:r>
      <w:r w:rsidRPr="0086256E">
        <w:rPr>
          <w:rFonts w:ascii="Arial" w:hAnsi="Arial" w:cs="Arial"/>
        </w:rPr>
        <w:t xml:space="preserve">ed floral compositions and environmentally friendly packaging as the consumers of the UK were becoming increasingly environmentally aware. Nevertheless, the business has been recording a significant reduction over the last twelve months, of about 30 per cent in in-store sales. This recession has been accompanied by increasing operational expenses, the growing competition posed by online florists, as well as customer behaviour towards the digital shopping platforms.  Rahman (2019) defines problem-solving in the twenty-first century as an important managerial skill that entails critical, creative, and adaptive thinking to generate viable solutions in dynamic situations. The 5W2H framework offered a systematic exploration of the what, why, who, where, when, how, and how much (Brosnan, 2025) was used to perform a structured diagnosis with the help of the 5 Whys framework used to trace the underlying causes (Hancock, 2022). </w:t>
      </w:r>
    </w:p>
    <w:p w:rsidR="00CD3578" w:rsidRPr="0086256E" w:rsidRDefault="00CD3578" w:rsidP="0086256E">
      <w:pPr>
        <w:pStyle w:val="Heading1"/>
      </w:pPr>
      <w:bookmarkStart w:id="2" w:name="_Toc213176484"/>
      <w:bookmarkStart w:id="3" w:name="_Toc213176525"/>
      <w:r w:rsidRPr="0086256E">
        <w:t>Suggested Two Alternative Solutions</w:t>
      </w:r>
      <w:bookmarkEnd w:id="2"/>
      <w:bookmarkEnd w:id="3"/>
    </w:p>
    <w:p w:rsidR="00CD3578" w:rsidRPr="00FE3F04" w:rsidRDefault="00CD3578" w:rsidP="00FE3F04">
      <w:pPr>
        <w:pStyle w:val="Heading2"/>
      </w:pPr>
      <w:bookmarkStart w:id="4" w:name="_Toc213176485"/>
      <w:bookmarkStart w:id="5" w:name="_Toc213176526"/>
      <w:r w:rsidRPr="00FE3F04">
        <w:t>Solution A – Digital Transformation and E-Commerce Upgrade</w:t>
      </w:r>
      <w:bookmarkEnd w:id="4"/>
      <w:bookmarkEnd w:id="5"/>
    </w:p>
    <w:p w:rsidR="00CD3578" w:rsidRPr="0086256E" w:rsidRDefault="00CD3578" w:rsidP="0086256E">
      <w:pPr>
        <w:spacing w:line="360" w:lineRule="auto"/>
        <w:jc w:val="both"/>
        <w:rPr>
          <w:rFonts w:ascii="Arial" w:hAnsi="Arial" w:cs="Arial"/>
        </w:rPr>
      </w:pPr>
      <w:r w:rsidRPr="0086256E">
        <w:rPr>
          <w:rFonts w:ascii="Arial" w:hAnsi="Arial" w:cs="Arial"/>
        </w:rPr>
        <w:t>The proposed solution the first one is a thorough digital transformation that aims at creating an interactive online shopping site and online presence. This would involve search-engine optimisation, mobile compatibility, and easy online ordering and a delivery scheduling locally. An overlapping investment into social-media marketing and paid advertising like Google Ads would make the shop visible to more customers and especially younger audience who do their purchases online. The utili</w:t>
      </w:r>
      <w:r w:rsidR="00AD2401">
        <w:rPr>
          <w:rFonts w:ascii="Arial" w:hAnsi="Arial" w:cs="Arial"/>
        </w:rPr>
        <w:t>s</w:t>
      </w:r>
      <w:r w:rsidRPr="0086256E">
        <w:rPr>
          <w:rFonts w:ascii="Arial" w:hAnsi="Arial" w:cs="Arial"/>
        </w:rPr>
        <w:t xml:space="preserve">ation of the digital analytics and the new machine-learning resources can aid in identifying the customer trends and predictive demand modelling (Shethiya, 2024). The initiative fits the technological and social aspects of the PESTLE framework, indicating the need to keep up with the dynamic consumer technology and preferences (Hayden, 2025). Digitisation of the digital infrastructure of Green Haven would contribute to better accessibility of operations, competitiveness and minimising reliance on footfall. </w:t>
      </w:r>
    </w:p>
    <w:p w:rsidR="00CD3578" w:rsidRPr="0086256E" w:rsidRDefault="00CD3578" w:rsidP="00FE3F04">
      <w:pPr>
        <w:pStyle w:val="Heading2"/>
      </w:pPr>
      <w:bookmarkStart w:id="6" w:name="_Toc213176486"/>
      <w:bookmarkStart w:id="7" w:name="_Toc213176527"/>
      <w:r w:rsidRPr="0086256E">
        <w:lastRenderedPageBreak/>
        <w:t>Solution B – Customer Retention and Local Engagement Strategy</w:t>
      </w:r>
      <w:bookmarkEnd w:id="6"/>
      <w:bookmarkEnd w:id="7"/>
    </w:p>
    <w:p w:rsidR="00CD3578" w:rsidRPr="0086256E" w:rsidRDefault="00CD3578" w:rsidP="0086256E">
      <w:pPr>
        <w:spacing w:line="360" w:lineRule="auto"/>
        <w:jc w:val="both"/>
        <w:rPr>
          <w:rFonts w:ascii="Arial" w:hAnsi="Arial" w:cs="Arial"/>
        </w:rPr>
      </w:pPr>
      <w:r w:rsidRPr="0086256E">
        <w:rPr>
          <w:rFonts w:ascii="Arial" w:hAnsi="Arial" w:cs="Arial"/>
        </w:rPr>
        <w:t xml:space="preserve">The second alternative revolves around enhancing customer loyalty and relations with the society via subscription and reward programmes, eco-consciousness and local sponsorships with other sustainable companies. Subsidiary plans (monthly bouquet subscriptions), corporate offers, and training sessions might further strengthen the interest of the customers as well as leverage the green nature of the firm. Using the principles of Total Quality Management (TQM), the business would focus on the regularity of the service quality, the integration of customer feedback and continuous improvement (Oakland, 2014). TQM builds a trust and follows the brand image of giving personal attention in the long term. </w:t>
      </w:r>
    </w:p>
    <w:p w:rsidR="00CD3578" w:rsidRPr="0086256E" w:rsidRDefault="00CD3578" w:rsidP="0086256E">
      <w:pPr>
        <w:pStyle w:val="Heading1"/>
      </w:pPr>
      <w:bookmarkStart w:id="8" w:name="_Toc213176487"/>
      <w:bookmarkStart w:id="9" w:name="_Toc213176528"/>
      <w:r w:rsidRPr="0086256E">
        <w:t>Justification for Selected Solution (via Grid Analysis)</w:t>
      </w:r>
      <w:bookmarkEnd w:id="8"/>
      <w:bookmarkEnd w:id="9"/>
    </w:p>
    <w:p w:rsidR="00CD3578" w:rsidRPr="0086256E" w:rsidRDefault="00CD3578" w:rsidP="00FE3F04">
      <w:pPr>
        <w:pStyle w:val="Heading2"/>
      </w:pPr>
      <w:bookmarkStart w:id="10" w:name="_Toc213176488"/>
      <w:bookmarkStart w:id="11" w:name="_Toc213176529"/>
      <w:r w:rsidRPr="0086256E">
        <w:t>Grid Analysis Overview</w:t>
      </w:r>
      <w:bookmarkEnd w:id="10"/>
      <w:bookmarkEnd w:id="11"/>
    </w:p>
    <w:p w:rsidR="00CD3578" w:rsidRDefault="00CD3578" w:rsidP="0086256E">
      <w:pPr>
        <w:spacing w:line="360" w:lineRule="auto"/>
        <w:jc w:val="both"/>
        <w:rPr>
          <w:rFonts w:ascii="Arial" w:hAnsi="Arial" w:cs="Arial"/>
        </w:rPr>
      </w:pPr>
      <w:r w:rsidRPr="0086256E">
        <w:rPr>
          <w:rFonts w:ascii="Arial" w:hAnsi="Arial" w:cs="Arial"/>
        </w:rPr>
        <w:t>It was based on a Quantitative comparison of the two alternatives, which was done using a Grid Analysis or decision matrix. The tool offers a logical system to assess complicated alternatives by giving preference of weighted criteria and grading every solution in terms of it (Saugel et al., 2018). Such systematic comparison minimi</w:t>
      </w:r>
      <w:r w:rsidR="00AD2401">
        <w:rPr>
          <w:rFonts w:ascii="Arial" w:hAnsi="Arial" w:cs="Arial"/>
        </w:rPr>
        <w:t>s</w:t>
      </w:r>
      <w:r w:rsidRPr="0086256E">
        <w:rPr>
          <w:rFonts w:ascii="Arial" w:hAnsi="Arial" w:cs="Arial"/>
        </w:rPr>
        <w:t>es subjectivity in business decision-making and allows making evidence-based judgement (Pennings and Hollenstein, 2020).</w:t>
      </w:r>
    </w:p>
    <w:p w:rsidR="00FE3F04" w:rsidRDefault="00FE3F04" w:rsidP="00FE3F04">
      <w:pPr>
        <w:keepNext/>
        <w:spacing w:line="360" w:lineRule="auto"/>
        <w:jc w:val="both"/>
      </w:pPr>
      <w:r>
        <w:rPr>
          <w:noProof/>
        </w:rPr>
        <w:drawing>
          <wp:inline distT="0" distB="0" distL="0" distR="0">
            <wp:extent cx="5943600" cy="2616200"/>
            <wp:effectExtent l="0" t="0" r="0" b="0"/>
            <wp:docPr id="118192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616200"/>
                    </a:xfrm>
                    <a:prstGeom prst="rect">
                      <a:avLst/>
                    </a:prstGeom>
                    <a:noFill/>
                    <a:ln>
                      <a:noFill/>
                    </a:ln>
                  </pic:spPr>
                </pic:pic>
              </a:graphicData>
            </a:graphic>
          </wp:inline>
        </w:drawing>
      </w:r>
    </w:p>
    <w:p w:rsidR="00FE3F04" w:rsidRPr="00FE3F04" w:rsidRDefault="00FE3F04" w:rsidP="00FE3F04">
      <w:pPr>
        <w:pStyle w:val="Caption"/>
        <w:jc w:val="center"/>
        <w:rPr>
          <w:rFonts w:ascii="Arial" w:hAnsi="Arial" w:cs="Arial"/>
          <w:sz w:val="24"/>
          <w:szCs w:val="24"/>
        </w:rPr>
      </w:pPr>
      <w:r w:rsidRPr="00FE3F04">
        <w:rPr>
          <w:rFonts w:ascii="Arial" w:hAnsi="Arial" w:cs="Arial"/>
        </w:rPr>
        <w:t xml:space="preserve">Figure </w:t>
      </w:r>
      <w:r w:rsidRPr="00FE3F04">
        <w:rPr>
          <w:rFonts w:ascii="Arial" w:hAnsi="Arial" w:cs="Arial"/>
        </w:rPr>
        <w:fldChar w:fldCharType="begin"/>
      </w:r>
      <w:r w:rsidRPr="00FE3F04">
        <w:rPr>
          <w:rFonts w:ascii="Arial" w:hAnsi="Arial" w:cs="Arial"/>
        </w:rPr>
        <w:instrText xml:space="preserve"> SEQ Figure \* ARABIC </w:instrText>
      </w:r>
      <w:r w:rsidRPr="00FE3F04">
        <w:rPr>
          <w:rFonts w:ascii="Arial" w:hAnsi="Arial" w:cs="Arial"/>
        </w:rPr>
        <w:fldChar w:fldCharType="separate"/>
      </w:r>
      <w:r w:rsidRPr="00FE3F04">
        <w:rPr>
          <w:rFonts w:ascii="Arial" w:hAnsi="Arial" w:cs="Arial"/>
          <w:noProof/>
        </w:rPr>
        <w:t>1</w:t>
      </w:r>
      <w:r w:rsidRPr="00FE3F04">
        <w:rPr>
          <w:rFonts w:ascii="Arial" w:hAnsi="Arial" w:cs="Arial"/>
        </w:rPr>
        <w:fldChar w:fldCharType="end"/>
      </w:r>
      <w:r w:rsidRPr="00FE3F04">
        <w:rPr>
          <w:rFonts w:ascii="Arial" w:hAnsi="Arial" w:cs="Arial"/>
        </w:rPr>
        <w:t>: Grid Matrix (Saugel et al., 2018).</w:t>
      </w:r>
    </w:p>
    <w:p w:rsidR="00CD3578" w:rsidRPr="0086256E" w:rsidRDefault="00CD3578" w:rsidP="0086256E">
      <w:pPr>
        <w:spacing w:line="360" w:lineRule="auto"/>
        <w:jc w:val="both"/>
        <w:rPr>
          <w:rFonts w:ascii="Arial" w:hAnsi="Arial" w:cs="Arial"/>
        </w:rPr>
      </w:pPr>
      <w:r w:rsidRPr="0086256E">
        <w:rPr>
          <w:rFonts w:ascii="Arial" w:hAnsi="Arial" w:cs="Arial"/>
        </w:rPr>
        <w:lastRenderedPageBreak/>
        <w:t>The main assessment criteria were: cost effectiveness, ease of implementation, access to customers, potential of innovation and long-term sustainability. All the criteria were rated based on strategic significance and graded out of 1-5. The elaborate grid can be found in Appendix 1.</w:t>
      </w:r>
    </w:p>
    <w:p w:rsidR="00CD3578" w:rsidRPr="0086256E" w:rsidRDefault="00CD3578" w:rsidP="00FE3F04">
      <w:pPr>
        <w:pStyle w:val="Heading2"/>
      </w:pPr>
      <w:bookmarkStart w:id="12" w:name="_Toc213176489"/>
      <w:bookmarkStart w:id="13" w:name="_Toc213176530"/>
      <w:r w:rsidRPr="0086256E">
        <w:t>Evaluation Outcome and Justification</w:t>
      </w:r>
      <w:bookmarkEnd w:id="12"/>
      <w:bookmarkEnd w:id="13"/>
    </w:p>
    <w:p w:rsidR="00CD3578" w:rsidRPr="0086256E" w:rsidRDefault="00CD3578" w:rsidP="0086256E">
      <w:pPr>
        <w:spacing w:line="360" w:lineRule="auto"/>
        <w:jc w:val="both"/>
        <w:rPr>
          <w:rFonts w:ascii="Arial" w:hAnsi="Arial" w:cs="Arial"/>
        </w:rPr>
      </w:pPr>
      <w:r w:rsidRPr="0086256E">
        <w:rPr>
          <w:rFonts w:ascii="Arial" w:hAnsi="Arial" w:cs="Arial"/>
        </w:rPr>
        <w:t>It was revealed that Solution A - Digital Transformation scored significantly higher on the overall. It showed better growth, scalability and competitive placement in the digital retail environment. Solution B was incremental on loyalty and brand engagement, but it could not be considered a transformative solution that would turn around the drop in revenue.</w:t>
      </w:r>
    </w:p>
    <w:p w:rsidR="00CD3578" w:rsidRPr="0086256E" w:rsidRDefault="00CD3578" w:rsidP="0086256E">
      <w:pPr>
        <w:spacing w:line="360" w:lineRule="auto"/>
        <w:jc w:val="both"/>
        <w:rPr>
          <w:rFonts w:ascii="Arial" w:hAnsi="Arial" w:cs="Arial"/>
        </w:rPr>
      </w:pPr>
      <w:r w:rsidRPr="0086256E">
        <w:rPr>
          <w:rFonts w:ascii="Arial" w:hAnsi="Arial" w:cs="Arial"/>
        </w:rPr>
        <w:t>The choice consequently lays emphasis on long term adaptation as compared to short term stability. The systems that are being created with the aid of technology produce smarter and data-driven decisions that allow responding to changing market conditions swiftly, as Shethiya (2024) notes. Therefore, Solution A will be the best solution to the reali</w:t>
      </w:r>
      <w:r w:rsidR="00AD2401">
        <w:rPr>
          <w:rFonts w:ascii="Arial" w:hAnsi="Arial" w:cs="Arial"/>
        </w:rPr>
        <w:t>s</w:t>
      </w:r>
      <w:r w:rsidRPr="0086256E">
        <w:rPr>
          <w:rFonts w:ascii="Arial" w:hAnsi="Arial" w:cs="Arial"/>
        </w:rPr>
        <w:t>ation of sustainable performance and future-proofing Green Haven Florists in the changing UK economy.</w:t>
      </w:r>
    </w:p>
    <w:p w:rsidR="00CD3578" w:rsidRPr="0086256E" w:rsidRDefault="00CD3578" w:rsidP="0086256E">
      <w:pPr>
        <w:pStyle w:val="Heading1"/>
      </w:pPr>
      <w:bookmarkStart w:id="14" w:name="_Toc213176490"/>
      <w:bookmarkStart w:id="15" w:name="_Toc213176531"/>
      <w:r w:rsidRPr="0086256E">
        <w:t>Risk Analysis of the Selected Solution</w:t>
      </w:r>
      <w:bookmarkEnd w:id="14"/>
      <w:bookmarkEnd w:id="15"/>
    </w:p>
    <w:p w:rsidR="00CD3578" w:rsidRPr="0086256E" w:rsidRDefault="00CD3578" w:rsidP="00FE3F04">
      <w:pPr>
        <w:pStyle w:val="Heading2"/>
      </w:pPr>
      <w:bookmarkStart w:id="16" w:name="_Toc213176491"/>
      <w:bookmarkStart w:id="17" w:name="_Toc213176532"/>
      <w:r w:rsidRPr="0086256E">
        <w:t>Identified Risks</w:t>
      </w:r>
      <w:bookmarkEnd w:id="16"/>
      <w:bookmarkEnd w:id="17"/>
    </w:p>
    <w:p w:rsidR="00CD3578" w:rsidRPr="0086256E" w:rsidRDefault="00CD3578" w:rsidP="0086256E">
      <w:pPr>
        <w:spacing w:line="360" w:lineRule="auto"/>
        <w:jc w:val="both"/>
        <w:rPr>
          <w:rFonts w:ascii="Arial" w:hAnsi="Arial" w:cs="Arial"/>
        </w:rPr>
      </w:pPr>
      <w:r w:rsidRPr="0086256E">
        <w:rPr>
          <w:rFonts w:ascii="Arial" w:hAnsi="Arial" w:cs="Arial"/>
        </w:rPr>
        <w:t>A total process of digital transformation presents a number of risks. In the first place, technical issues might be encountered during the process of web resource development, such as integration, and possible unavailability. Second, it might be hindered by financial limits because of the costs of software and professional fees, as well as training. Third, the success of the project can be limited by the resistance of employees to the digital adoption, especially in case of the lack of technological skills. Lastly, online operations are exposed to cybersecurity threats that are very dangerous to customer information and reputation of business.</w:t>
      </w:r>
    </w:p>
    <w:p w:rsidR="00CD3578" w:rsidRPr="0086256E" w:rsidRDefault="00CD3578" w:rsidP="00FE3F04">
      <w:pPr>
        <w:pStyle w:val="Heading2"/>
      </w:pPr>
      <w:bookmarkStart w:id="18" w:name="_Toc213176492"/>
      <w:bookmarkStart w:id="19" w:name="_Toc213176533"/>
      <w:r w:rsidRPr="0086256E">
        <w:t>Risk Evaluation</w:t>
      </w:r>
      <w:bookmarkEnd w:id="18"/>
      <w:bookmarkEnd w:id="19"/>
    </w:p>
    <w:p w:rsidR="00CD3578" w:rsidRPr="0086256E" w:rsidRDefault="00CD3578" w:rsidP="0086256E">
      <w:pPr>
        <w:spacing w:line="360" w:lineRule="auto"/>
        <w:jc w:val="both"/>
        <w:rPr>
          <w:rFonts w:ascii="Arial" w:hAnsi="Arial" w:cs="Arial"/>
        </w:rPr>
      </w:pPr>
      <w:r w:rsidRPr="0086256E">
        <w:rPr>
          <w:rFonts w:ascii="Arial" w:hAnsi="Arial" w:cs="Arial"/>
        </w:rPr>
        <w:t xml:space="preserve">The likelihood-impact matrix (Appendix 2) was created with the aim of allocating a score (1-5) to the risks in terms of probability and impact. Financial exposure (5 × 4 = 20) and </w:t>
      </w:r>
      <w:r w:rsidRPr="0086256E">
        <w:rPr>
          <w:rFonts w:ascii="Arial" w:hAnsi="Arial" w:cs="Arial"/>
        </w:rPr>
        <w:lastRenderedPageBreak/>
        <w:t>technical disruption (4 × 4 = 16) were found to be the most critical risks. The mitigation strategies involve stage by stage implementation, outsourcing of IT consultancy and installment payments. Resistance would be minimi</w:t>
      </w:r>
      <w:r w:rsidR="00AD2401">
        <w:rPr>
          <w:rFonts w:ascii="Arial" w:hAnsi="Arial" w:cs="Arial"/>
        </w:rPr>
        <w:t>s</w:t>
      </w:r>
      <w:r w:rsidRPr="0086256E">
        <w:rPr>
          <w:rFonts w:ascii="Arial" w:hAnsi="Arial" w:cs="Arial"/>
        </w:rPr>
        <w:t>ed through staff training programmes as it would increase confidence in new systems.</w:t>
      </w:r>
    </w:p>
    <w:p w:rsidR="00CD3578" w:rsidRPr="0086256E" w:rsidRDefault="00CD3578" w:rsidP="0086256E">
      <w:pPr>
        <w:spacing w:line="360" w:lineRule="auto"/>
        <w:jc w:val="both"/>
        <w:rPr>
          <w:rFonts w:ascii="Arial" w:hAnsi="Arial" w:cs="Arial"/>
        </w:rPr>
      </w:pPr>
      <w:r w:rsidRPr="0086256E">
        <w:rPr>
          <w:rFonts w:ascii="Arial" w:hAnsi="Arial" w:cs="Arial"/>
        </w:rPr>
        <w:t>Oakland (2014) argues that operational risks can be prevented and controlled by using structured quality management practices whereby proactive monitoring and corrective action are implemented. Furthermore, Rahman (2019) concludes that problem-solving requires constant review and adjustment to allow organisations to use challenges as a chance. Continuing with mixed in-store and online operation throughout rollout would further reduce the possible business disruption.</w:t>
      </w:r>
    </w:p>
    <w:p w:rsidR="00CD3578" w:rsidRPr="0086256E" w:rsidRDefault="00CD3578" w:rsidP="0086256E">
      <w:pPr>
        <w:pStyle w:val="Heading1"/>
      </w:pPr>
      <w:bookmarkStart w:id="20" w:name="_Toc213176493"/>
      <w:bookmarkStart w:id="21" w:name="_Toc213176534"/>
      <w:r w:rsidRPr="0086256E">
        <w:t>Plan to Implement the Selected Solution</w:t>
      </w:r>
      <w:bookmarkEnd w:id="20"/>
      <w:bookmarkEnd w:id="21"/>
    </w:p>
    <w:p w:rsidR="00CD3578" w:rsidRPr="0086256E" w:rsidRDefault="00CD3578" w:rsidP="00FE3F04">
      <w:pPr>
        <w:pStyle w:val="Heading2"/>
      </w:pPr>
      <w:bookmarkStart w:id="22" w:name="_Toc213176494"/>
      <w:bookmarkStart w:id="23" w:name="_Toc213176535"/>
      <w:r w:rsidRPr="0086256E">
        <w:t>Implementation Phases</w:t>
      </w:r>
      <w:bookmarkEnd w:id="22"/>
      <w:bookmarkEnd w:id="23"/>
    </w:p>
    <w:p w:rsidR="00CD3578" w:rsidRPr="0086256E" w:rsidRDefault="00CD3578" w:rsidP="0086256E">
      <w:pPr>
        <w:spacing w:line="360" w:lineRule="auto"/>
        <w:jc w:val="both"/>
        <w:rPr>
          <w:rFonts w:ascii="Arial" w:hAnsi="Arial" w:cs="Arial"/>
        </w:rPr>
      </w:pPr>
      <w:r w:rsidRPr="0086256E">
        <w:rPr>
          <w:rFonts w:ascii="Arial" w:hAnsi="Arial" w:cs="Arial"/>
        </w:rPr>
        <w:t>Solution A implementation would be carried out in several stages to make sure it is systematic. The first step is a needs assessment, which aims at defining particular digital needs and finding a reliable web-development partner. The second step will require about three months and will involve the design, testing, and the launch of a responsive e-commerce platform that has secure payment and customer-tracking features.</w:t>
      </w:r>
    </w:p>
    <w:p w:rsidR="00CD3578" w:rsidRPr="0086256E" w:rsidRDefault="00CD3578" w:rsidP="0086256E">
      <w:pPr>
        <w:spacing w:line="360" w:lineRule="auto"/>
        <w:jc w:val="both"/>
        <w:rPr>
          <w:rFonts w:ascii="Arial" w:hAnsi="Arial" w:cs="Arial"/>
        </w:rPr>
      </w:pPr>
      <w:r w:rsidRPr="0086256E">
        <w:rPr>
          <w:rFonts w:ascii="Arial" w:hAnsi="Arial" w:cs="Arial"/>
        </w:rPr>
        <w:t>Then, the employees will receive digital-skills training, which will involve online customer-service procedures, order processing, and data protection. The fourth step will be about the implementation of social-media marketing and performance-tracking tools to achieve brand awareness and customer acquisition. Lastly, feedback comments by customers will be tracked in the course of time so that they can be improved in real time. The owners are in charge of oversight and external experts of technical implementation.</w:t>
      </w:r>
    </w:p>
    <w:p w:rsidR="00CD3578" w:rsidRPr="0086256E" w:rsidRDefault="00CD3578" w:rsidP="00FE3F04">
      <w:pPr>
        <w:pStyle w:val="Heading2"/>
      </w:pPr>
      <w:bookmarkStart w:id="24" w:name="_Toc213176495"/>
      <w:bookmarkStart w:id="25" w:name="_Toc213176536"/>
      <w:r w:rsidRPr="0086256E">
        <w:t>Change Management and Monitoring</w:t>
      </w:r>
      <w:bookmarkEnd w:id="24"/>
      <w:bookmarkEnd w:id="25"/>
    </w:p>
    <w:p w:rsidR="00CD3578" w:rsidRPr="0086256E" w:rsidRDefault="00CD3578" w:rsidP="0086256E">
      <w:pPr>
        <w:spacing w:line="360" w:lineRule="auto"/>
        <w:jc w:val="both"/>
        <w:rPr>
          <w:rFonts w:ascii="Arial" w:hAnsi="Arial" w:cs="Arial"/>
        </w:rPr>
      </w:pPr>
      <w:r w:rsidRPr="0086256E">
        <w:rPr>
          <w:rFonts w:ascii="Arial" w:hAnsi="Arial" w:cs="Arial"/>
        </w:rPr>
        <w:t>To continue with service excellence and brand reliability, the Total Quality Management ideas will be introduced into the process of change (Oakland, 2014). Periodical check-ups will monitor their progress towards set standards of the Grid Analysis, including access to customers and managing cost (Saugel et al., 2018).</w:t>
      </w:r>
    </w:p>
    <w:p w:rsidR="00CD3578" w:rsidRPr="0086256E" w:rsidRDefault="00CD3578" w:rsidP="0086256E">
      <w:pPr>
        <w:spacing w:line="360" w:lineRule="auto"/>
        <w:jc w:val="both"/>
        <w:rPr>
          <w:rFonts w:ascii="Arial" w:hAnsi="Arial" w:cs="Arial"/>
        </w:rPr>
      </w:pPr>
      <w:r w:rsidRPr="0086256E">
        <w:rPr>
          <w:rFonts w:ascii="Arial" w:hAnsi="Arial" w:cs="Arial"/>
        </w:rPr>
        <w:lastRenderedPageBreak/>
        <w:t>All marketing strategies, in line with the UK legislation of data-protection and consumer-rights, should be done in a way that will guarantee a clear line of communication and accountable data management (Hayden, 2025). Development of employee engagement and appreciation of small successes will bring about enthusiasm and slow down resistance. The quality of constant improvement, which is the focus of both TQM and problem-solving theory (Rahman, 2019) will ensure Green Haven Florists is kept in the changing digital economy.</w:t>
      </w:r>
    </w:p>
    <w:p w:rsidR="00CD3578" w:rsidRPr="0086256E" w:rsidRDefault="00CD3578" w:rsidP="0086256E">
      <w:pPr>
        <w:pStyle w:val="Heading1"/>
      </w:pPr>
      <w:bookmarkStart w:id="26" w:name="_Toc213176496"/>
      <w:bookmarkStart w:id="27" w:name="_Toc213176537"/>
      <w:r w:rsidRPr="0086256E">
        <w:t>Means of Measuring Effectiveness of Implementation</w:t>
      </w:r>
      <w:bookmarkEnd w:id="26"/>
      <w:bookmarkEnd w:id="27"/>
    </w:p>
    <w:p w:rsidR="00522BC5" w:rsidRPr="0086256E" w:rsidRDefault="00CD3578" w:rsidP="0086256E">
      <w:pPr>
        <w:spacing w:line="360" w:lineRule="auto"/>
        <w:jc w:val="both"/>
        <w:rPr>
          <w:rFonts w:ascii="Arial" w:hAnsi="Arial" w:cs="Arial"/>
        </w:rPr>
      </w:pPr>
      <w:r w:rsidRPr="0086256E">
        <w:rPr>
          <w:rFonts w:ascii="Arial" w:hAnsi="Arial" w:cs="Arial"/>
        </w:rPr>
        <w:t>The digital transformation is crucial in evaluating success in order to know whether the transformation attains its aims. The most important Key Performance Indicators (KPIs) will be the growth of the site traffic, the online conversion rate, the customer satisfaction levels, the recovery of the revenues, and the retention rates. As an example, a minimum of 50 per cent growth in traffic is likely to occur in six months, and a 5 per cent conversion level by the third quarter of 2026 will indicate a high level of digital adoption. Financial recovery will be signaled by customer satisfaction goal of 85 per cent and 30 per cent increase in revenue by the end of the fiscal year.</w:t>
      </w:r>
      <w:r w:rsidR="00522BC5" w:rsidRPr="0086256E">
        <w:rPr>
          <w:rFonts w:ascii="Arial" w:hAnsi="Arial" w:cs="Arial"/>
        </w:rPr>
        <w:t xml:space="preserve"> </w:t>
      </w:r>
    </w:p>
    <w:p w:rsidR="00CD3578" w:rsidRDefault="00CD3578" w:rsidP="0086256E">
      <w:pPr>
        <w:spacing w:line="360" w:lineRule="auto"/>
        <w:jc w:val="both"/>
        <w:rPr>
          <w:rFonts w:ascii="Arial" w:hAnsi="Arial" w:cs="Arial"/>
        </w:rPr>
      </w:pPr>
      <w:r w:rsidRPr="0086256E">
        <w:rPr>
          <w:rFonts w:ascii="Arial" w:hAnsi="Arial" w:cs="Arial"/>
        </w:rPr>
        <w:t>These metrics will have to be modeled to facilitate each measure and the SMART framework will be used to frame each measure (Specific, Measurable, Attainable, Relevant and Time-Bound) to guide each objective (Doran, 1981). This makes sure that the goals are attainable and well linked to the performance of the business. The main goal of the project is to make online orders via the e-commerce system, and the revenues should grow within a year.</w:t>
      </w:r>
    </w:p>
    <w:p w:rsidR="00FE3F04" w:rsidRDefault="00FE3F04" w:rsidP="00FE3F04">
      <w:pPr>
        <w:keepNext/>
        <w:spacing w:line="360" w:lineRule="auto"/>
        <w:jc w:val="both"/>
      </w:pPr>
      <w:r>
        <w:rPr>
          <w:noProof/>
        </w:rPr>
        <w:lastRenderedPageBreak/>
        <w:drawing>
          <wp:inline distT="0" distB="0" distL="0" distR="0">
            <wp:extent cx="5918200" cy="3321439"/>
            <wp:effectExtent l="0" t="0" r="0" b="0"/>
            <wp:docPr id="1376187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8747" cy="3332970"/>
                    </a:xfrm>
                    <a:prstGeom prst="rect">
                      <a:avLst/>
                    </a:prstGeom>
                    <a:noFill/>
                    <a:ln>
                      <a:noFill/>
                    </a:ln>
                  </pic:spPr>
                </pic:pic>
              </a:graphicData>
            </a:graphic>
          </wp:inline>
        </w:drawing>
      </w:r>
    </w:p>
    <w:p w:rsidR="00FE3F04" w:rsidRPr="00FE3F04" w:rsidRDefault="00FE3F04" w:rsidP="00FE3F04">
      <w:pPr>
        <w:pStyle w:val="Caption"/>
        <w:jc w:val="center"/>
        <w:rPr>
          <w:rFonts w:ascii="Arial" w:hAnsi="Arial" w:cs="Arial"/>
        </w:rPr>
      </w:pPr>
      <w:r w:rsidRPr="00FE3F04">
        <w:rPr>
          <w:rFonts w:ascii="Arial" w:hAnsi="Arial" w:cs="Arial"/>
        </w:rPr>
        <w:t xml:space="preserve">Figure </w:t>
      </w:r>
      <w:r w:rsidRPr="00FE3F04">
        <w:rPr>
          <w:rFonts w:ascii="Arial" w:hAnsi="Arial" w:cs="Arial"/>
        </w:rPr>
        <w:fldChar w:fldCharType="begin"/>
      </w:r>
      <w:r w:rsidRPr="00FE3F04">
        <w:rPr>
          <w:rFonts w:ascii="Arial" w:hAnsi="Arial" w:cs="Arial"/>
        </w:rPr>
        <w:instrText xml:space="preserve"> SEQ Figure \* ARABIC </w:instrText>
      </w:r>
      <w:r w:rsidRPr="00FE3F04">
        <w:rPr>
          <w:rFonts w:ascii="Arial" w:hAnsi="Arial" w:cs="Arial"/>
        </w:rPr>
        <w:fldChar w:fldCharType="separate"/>
      </w:r>
      <w:r w:rsidRPr="00FE3F04">
        <w:rPr>
          <w:rFonts w:ascii="Arial" w:hAnsi="Arial" w:cs="Arial"/>
          <w:noProof/>
        </w:rPr>
        <w:t>2</w:t>
      </w:r>
      <w:r w:rsidRPr="00FE3F04">
        <w:rPr>
          <w:rFonts w:ascii="Arial" w:hAnsi="Arial" w:cs="Arial"/>
        </w:rPr>
        <w:fldChar w:fldCharType="end"/>
      </w:r>
      <w:r w:rsidRPr="00FE3F04">
        <w:rPr>
          <w:rFonts w:ascii="Arial" w:hAnsi="Arial" w:cs="Arial"/>
        </w:rPr>
        <w:t>: SMART framework (Rahman, 2019)</w:t>
      </w:r>
    </w:p>
    <w:p w:rsidR="00CD3578" w:rsidRPr="0086256E" w:rsidRDefault="00CD3578" w:rsidP="0086256E">
      <w:pPr>
        <w:pStyle w:val="Heading1"/>
      </w:pPr>
      <w:bookmarkStart w:id="28" w:name="_Toc213176497"/>
      <w:bookmarkStart w:id="29" w:name="_Toc213176538"/>
      <w:r w:rsidRPr="0086256E">
        <w:t>Key Findings</w:t>
      </w:r>
      <w:bookmarkEnd w:id="28"/>
      <w:bookmarkEnd w:id="29"/>
    </w:p>
    <w:p w:rsidR="00522BC5" w:rsidRPr="0086256E" w:rsidRDefault="00CD3578" w:rsidP="0086256E">
      <w:pPr>
        <w:spacing w:line="360" w:lineRule="auto"/>
        <w:jc w:val="both"/>
        <w:rPr>
          <w:rFonts w:ascii="Arial" w:hAnsi="Arial" w:cs="Arial"/>
        </w:rPr>
      </w:pPr>
      <w:r w:rsidRPr="0086256E">
        <w:rPr>
          <w:rFonts w:ascii="Arial" w:hAnsi="Arial" w:cs="Arial"/>
        </w:rPr>
        <w:t>It is concluded that the recent deterioration of the performance of Green Haven Florists can be achieved mainly due to the technological and strategic gap, which is intensified by the pressure of inflation and the alteration of the consumer behaviour in the UK. The digital transformation is among the suggested strategies that can offer the most efficient and sustainable approach to the reversal of revenue loss and competitiveness in the long term.</w:t>
      </w:r>
      <w:r w:rsidR="00522BC5" w:rsidRPr="0086256E">
        <w:rPr>
          <w:rFonts w:ascii="Arial" w:hAnsi="Arial" w:cs="Arial"/>
        </w:rPr>
        <w:t xml:space="preserve"> </w:t>
      </w:r>
      <w:r w:rsidRPr="0086256E">
        <w:rPr>
          <w:rFonts w:ascii="Arial" w:hAnsi="Arial" w:cs="Arial"/>
        </w:rPr>
        <w:t>The Grid Analysis proved the excellence of this strategy regarding the potential of innovation and reaching customers, whereas the Risk Analysis revealed that significant challenges can be addressed with the help of the gradual implementation and the quality-management systems. This initiative will be based on the commitment of leadership, training of the staff and the systematic performance evaluation to success. The current problem solving is based on adaptive decision-making and environmental consciousness. With the help of the idea of continuous improvement, green Haven Florists can reorient its work to the demands of the modern UK market.</w:t>
      </w:r>
    </w:p>
    <w:p w:rsidR="00FE3F04" w:rsidRDefault="00FE3F04">
      <w:pPr>
        <w:rPr>
          <w:rFonts w:ascii="Arial" w:eastAsiaTheme="majorEastAsia" w:hAnsi="Arial" w:cs="Arial"/>
          <w:b/>
          <w:bCs/>
          <w:color w:val="2F5496" w:themeColor="accent1" w:themeShade="BF"/>
          <w:sz w:val="32"/>
          <w:szCs w:val="32"/>
        </w:rPr>
      </w:pPr>
      <w:r>
        <w:br w:type="page"/>
      </w:r>
    </w:p>
    <w:p w:rsidR="001B3E44" w:rsidRPr="0086256E" w:rsidRDefault="00522BC5" w:rsidP="0086256E">
      <w:pPr>
        <w:pStyle w:val="Heading1"/>
      </w:pPr>
      <w:bookmarkStart w:id="30" w:name="_Toc213176498"/>
      <w:bookmarkStart w:id="31" w:name="_Toc213176539"/>
      <w:r w:rsidRPr="0086256E">
        <w:lastRenderedPageBreak/>
        <w:t>References</w:t>
      </w:r>
      <w:bookmarkEnd w:id="30"/>
      <w:bookmarkEnd w:id="31"/>
    </w:p>
    <w:p w:rsidR="001B3E44" w:rsidRPr="0086256E" w:rsidRDefault="001B3E44" w:rsidP="0086256E">
      <w:pPr>
        <w:spacing w:line="360" w:lineRule="auto"/>
        <w:jc w:val="both"/>
        <w:rPr>
          <w:rFonts w:ascii="Arial" w:hAnsi="Arial" w:cs="Arial"/>
        </w:rPr>
      </w:pPr>
      <w:r w:rsidRPr="0086256E">
        <w:rPr>
          <w:rFonts w:ascii="Arial" w:hAnsi="Arial" w:cs="Arial"/>
        </w:rPr>
        <w:t>Brosnan, K. (2025) What is 5W2H and Why It Matters in Manufacturing Excellence -</w:t>
      </w:r>
    </w:p>
    <w:p w:rsidR="001B3E44" w:rsidRPr="0086256E" w:rsidRDefault="001B3E44" w:rsidP="0086256E">
      <w:pPr>
        <w:spacing w:line="360" w:lineRule="auto"/>
        <w:jc w:val="both"/>
        <w:rPr>
          <w:rFonts w:ascii="Arial" w:hAnsi="Arial" w:cs="Arial"/>
        </w:rPr>
      </w:pPr>
      <w:r w:rsidRPr="0086256E">
        <w:rPr>
          <w:rFonts w:ascii="Arial" w:hAnsi="Arial" w:cs="Arial"/>
        </w:rPr>
        <w:t xml:space="preserve">David Hayden (2025) PESTLE analysis, CIPD. Available at: </w:t>
      </w:r>
      <w:hyperlink r:id="rId9" w:history="1">
        <w:r w:rsidRPr="0086256E">
          <w:rPr>
            <w:rStyle w:val="Hyperlink"/>
            <w:rFonts w:ascii="Arial" w:hAnsi="Arial" w:cs="Arial"/>
          </w:rPr>
          <w:t>https://www.cipd.org/en/knowledge/factsheets/pestle-analysis-factsheet/</w:t>
        </w:r>
      </w:hyperlink>
      <w:r w:rsidRPr="0086256E">
        <w:rPr>
          <w:rFonts w:ascii="Arial" w:hAnsi="Arial" w:cs="Arial"/>
        </w:rPr>
        <w:t xml:space="preserve"> (Accessed: 4</w:t>
      </w:r>
      <w:r w:rsidRPr="0086256E">
        <w:rPr>
          <w:rFonts w:ascii="Arial" w:hAnsi="Arial" w:cs="Arial"/>
          <w:vertAlign w:val="superscript"/>
        </w:rPr>
        <w:t>th</w:t>
      </w:r>
      <w:r w:rsidRPr="0086256E">
        <w:rPr>
          <w:rFonts w:ascii="Arial" w:hAnsi="Arial" w:cs="Arial"/>
        </w:rPr>
        <w:t xml:space="preserve"> November 2025).</w:t>
      </w:r>
    </w:p>
    <w:p w:rsidR="001B3E44" w:rsidRPr="0086256E" w:rsidRDefault="001B3E44" w:rsidP="0086256E">
      <w:pPr>
        <w:spacing w:line="360" w:lineRule="auto"/>
        <w:jc w:val="both"/>
        <w:rPr>
          <w:rFonts w:ascii="Arial" w:hAnsi="Arial" w:cs="Arial"/>
        </w:rPr>
      </w:pPr>
      <w:r w:rsidRPr="0086256E">
        <w:rPr>
          <w:rFonts w:ascii="Arial" w:hAnsi="Arial" w:cs="Arial"/>
        </w:rPr>
        <w:t xml:space="preserve">Fabriq, Fabriq. Available at: </w:t>
      </w:r>
      <w:hyperlink r:id="rId10" w:history="1">
        <w:r w:rsidRPr="0086256E">
          <w:rPr>
            <w:rStyle w:val="Hyperlink"/>
            <w:rFonts w:ascii="Arial" w:hAnsi="Arial" w:cs="Arial"/>
          </w:rPr>
          <w:t>https://fabriq.tech/en/2025/07/30/what-is-5w2h-and-why-it-matters-in-manufacturing-excellence/</w:t>
        </w:r>
      </w:hyperlink>
      <w:r w:rsidRPr="0086256E">
        <w:rPr>
          <w:rFonts w:ascii="Arial" w:hAnsi="Arial" w:cs="Arial"/>
        </w:rPr>
        <w:t xml:space="preserve"> (Accessed: 4</w:t>
      </w:r>
      <w:r w:rsidRPr="0086256E">
        <w:rPr>
          <w:rFonts w:ascii="Arial" w:hAnsi="Arial" w:cs="Arial"/>
          <w:vertAlign w:val="superscript"/>
        </w:rPr>
        <w:t>th</w:t>
      </w:r>
      <w:r w:rsidRPr="0086256E">
        <w:rPr>
          <w:rFonts w:ascii="Arial" w:hAnsi="Arial" w:cs="Arial"/>
        </w:rPr>
        <w:t xml:space="preserve"> November 2025).</w:t>
      </w:r>
    </w:p>
    <w:p w:rsidR="001B3E44" w:rsidRPr="0086256E" w:rsidRDefault="001B3E44" w:rsidP="0086256E">
      <w:pPr>
        <w:spacing w:line="360" w:lineRule="auto"/>
        <w:jc w:val="both"/>
        <w:rPr>
          <w:rFonts w:ascii="Arial" w:hAnsi="Arial" w:cs="Arial"/>
        </w:rPr>
      </w:pPr>
      <w:r w:rsidRPr="0086256E">
        <w:rPr>
          <w:rFonts w:ascii="Arial" w:hAnsi="Arial" w:cs="Arial"/>
        </w:rPr>
        <w:t>Heath, C. and Heath, D. (2014) Decisive: how to make better decisions in life and work. London: Rh Books.</w:t>
      </w:r>
    </w:p>
    <w:p w:rsidR="001B3E44" w:rsidRPr="0086256E" w:rsidRDefault="001B3E44" w:rsidP="0086256E">
      <w:pPr>
        <w:spacing w:line="360" w:lineRule="auto"/>
        <w:jc w:val="both"/>
        <w:rPr>
          <w:rFonts w:ascii="Arial" w:hAnsi="Arial" w:cs="Arial"/>
        </w:rPr>
      </w:pPr>
      <w:r w:rsidRPr="0086256E">
        <w:rPr>
          <w:rFonts w:ascii="Arial" w:hAnsi="Arial" w:cs="Arial"/>
        </w:rPr>
        <w:t xml:space="preserve">Jonathan Hancock (2022) 5 Whys, www.mindtools.com. Available at: </w:t>
      </w:r>
      <w:hyperlink r:id="rId11" w:history="1">
        <w:r w:rsidRPr="0086256E">
          <w:rPr>
            <w:rStyle w:val="Hyperlink"/>
            <w:rFonts w:ascii="Arial" w:hAnsi="Arial" w:cs="Arial"/>
          </w:rPr>
          <w:t>https://www.mindtools.com/a3mi00v/5-whys</w:t>
        </w:r>
      </w:hyperlink>
      <w:r w:rsidRPr="0086256E">
        <w:rPr>
          <w:rFonts w:ascii="Arial" w:hAnsi="Arial" w:cs="Arial"/>
        </w:rPr>
        <w:t xml:space="preserve"> (Accessed: 4</w:t>
      </w:r>
      <w:r w:rsidRPr="0086256E">
        <w:rPr>
          <w:rFonts w:ascii="Arial" w:hAnsi="Arial" w:cs="Arial"/>
          <w:vertAlign w:val="superscript"/>
        </w:rPr>
        <w:t>th</w:t>
      </w:r>
      <w:r w:rsidRPr="0086256E">
        <w:rPr>
          <w:rFonts w:ascii="Arial" w:hAnsi="Arial" w:cs="Arial"/>
        </w:rPr>
        <w:t xml:space="preserve"> November 2025).</w:t>
      </w:r>
    </w:p>
    <w:p w:rsidR="001B3E44" w:rsidRPr="0086256E" w:rsidRDefault="001B3E44" w:rsidP="0086256E">
      <w:pPr>
        <w:spacing w:line="360" w:lineRule="auto"/>
        <w:jc w:val="both"/>
        <w:rPr>
          <w:rFonts w:ascii="Arial" w:hAnsi="Arial" w:cs="Arial"/>
        </w:rPr>
      </w:pPr>
      <w:r w:rsidRPr="0086256E">
        <w:rPr>
          <w:rFonts w:ascii="Arial" w:hAnsi="Arial" w:cs="Arial"/>
        </w:rPr>
        <w:t>Oakland, J.S. (2014) Total quality management and operational excellence: text with cases. New York: Routledge.</w:t>
      </w:r>
    </w:p>
    <w:p w:rsidR="0086256E" w:rsidRDefault="001B3E44" w:rsidP="0086256E">
      <w:pPr>
        <w:spacing w:line="360" w:lineRule="auto"/>
        <w:jc w:val="both"/>
        <w:rPr>
          <w:rFonts w:ascii="Arial" w:hAnsi="Arial" w:cs="Arial"/>
        </w:rPr>
      </w:pPr>
      <w:r w:rsidRPr="0086256E">
        <w:rPr>
          <w:rFonts w:ascii="Arial" w:hAnsi="Arial" w:cs="Arial"/>
        </w:rPr>
        <w:t>Pennings, H.J. and Hollenstein, T., 2020. Teacher-student interactions and teacher interpersonal styles: A state space grid analysis. The Journal of Experimental Education, 88(3), pp.382-406.</w:t>
      </w:r>
    </w:p>
    <w:p w:rsidR="001B3E44" w:rsidRPr="0086256E" w:rsidRDefault="001B3E44" w:rsidP="0086256E">
      <w:pPr>
        <w:spacing w:line="360" w:lineRule="auto"/>
        <w:jc w:val="both"/>
        <w:rPr>
          <w:rFonts w:ascii="Arial" w:hAnsi="Arial" w:cs="Arial"/>
        </w:rPr>
      </w:pPr>
      <w:r w:rsidRPr="0086256E">
        <w:rPr>
          <w:rFonts w:ascii="Arial" w:hAnsi="Arial" w:cs="Arial"/>
        </w:rPr>
        <w:t>Rahman, M.M., 2019. 21st century skill'problem solving': Defining the concept. Rahman, MM (2019). 21st Century Skill “Problem Solving”: Defining the Concept. Asian Journal of Interdisciplinary Research, 2(1), pp.64-74.</w:t>
      </w:r>
    </w:p>
    <w:p w:rsidR="001B3E44" w:rsidRPr="0086256E" w:rsidRDefault="001B3E44" w:rsidP="0086256E">
      <w:pPr>
        <w:spacing w:line="360" w:lineRule="auto"/>
        <w:jc w:val="both"/>
        <w:rPr>
          <w:rFonts w:ascii="Arial" w:hAnsi="Arial" w:cs="Arial"/>
        </w:rPr>
      </w:pPr>
      <w:r w:rsidRPr="0086256E">
        <w:rPr>
          <w:rFonts w:ascii="Arial" w:hAnsi="Arial" w:cs="Arial"/>
        </w:rPr>
        <w:t xml:space="preserve">Saugel, B., Grothe, O. and Nicklas, J.Y., 2018. Error grid analysis for arterial pressure method comparison studies. Anesthesia &amp; Analgesia, 126(4), pp.1177-1185. </w:t>
      </w:r>
    </w:p>
    <w:p w:rsidR="001B3E44" w:rsidRPr="0086256E" w:rsidRDefault="001B3E44" w:rsidP="0086256E">
      <w:pPr>
        <w:spacing w:line="360" w:lineRule="auto"/>
        <w:jc w:val="both"/>
        <w:rPr>
          <w:rFonts w:ascii="Arial" w:hAnsi="Arial" w:cs="Arial"/>
        </w:rPr>
      </w:pPr>
      <w:r w:rsidRPr="0086256E">
        <w:rPr>
          <w:rFonts w:ascii="Arial" w:hAnsi="Arial" w:cs="Arial"/>
        </w:rPr>
        <w:t>Shethiya, A.S., 2024. Smarter Systems: Applying Machine Learning to Complex, Real-Time Problem Solving. Integrated Journal of Science and Technology, 1(1).</w:t>
      </w:r>
    </w:p>
    <w:p w:rsidR="001B3E44" w:rsidRPr="0086256E" w:rsidRDefault="001B3E44" w:rsidP="0086256E">
      <w:pPr>
        <w:spacing w:line="360" w:lineRule="auto"/>
        <w:jc w:val="both"/>
        <w:rPr>
          <w:rFonts w:ascii="Arial" w:hAnsi="Arial" w:cs="Arial"/>
        </w:rPr>
      </w:pPr>
      <w:r w:rsidRPr="0086256E">
        <w:rPr>
          <w:rFonts w:ascii="Arial" w:hAnsi="Arial" w:cs="Arial"/>
        </w:rPr>
        <w:t>Stankevich, A., 2017. Explaining the consumer decision-making process: Critical literature review. Journal of international business research and marketing, 2(6).</w:t>
      </w:r>
    </w:p>
    <w:p w:rsidR="001B3E44" w:rsidRPr="0086256E" w:rsidRDefault="001B3E44" w:rsidP="0086256E">
      <w:pPr>
        <w:spacing w:line="360" w:lineRule="auto"/>
        <w:jc w:val="both"/>
        <w:rPr>
          <w:rFonts w:ascii="Arial" w:hAnsi="Arial" w:cs="Arial"/>
        </w:rPr>
      </w:pPr>
      <w:r w:rsidRPr="0086256E">
        <w:rPr>
          <w:rFonts w:ascii="Arial" w:hAnsi="Arial" w:cs="Arial"/>
        </w:rPr>
        <w:br w:type="page"/>
      </w:r>
    </w:p>
    <w:p w:rsidR="00CB0A3D" w:rsidRDefault="0086256E" w:rsidP="00CB0A3D">
      <w:pPr>
        <w:pStyle w:val="Heading1"/>
        <w:rPr>
          <w:sz w:val="48"/>
          <w:szCs w:val="48"/>
        </w:rPr>
      </w:pPr>
      <w:bookmarkStart w:id="32" w:name="_Toc213176499"/>
      <w:bookmarkStart w:id="33" w:name="_Toc213176540"/>
      <w:r w:rsidRPr="00F90FAA">
        <w:rPr>
          <w:sz w:val="48"/>
          <w:szCs w:val="48"/>
        </w:rPr>
        <w:lastRenderedPageBreak/>
        <w:t>Appendix</w:t>
      </w:r>
      <w:bookmarkEnd w:id="32"/>
      <w:bookmarkEnd w:id="33"/>
      <w:r w:rsidRPr="00F90FAA">
        <w:rPr>
          <w:sz w:val="48"/>
          <w:szCs w:val="48"/>
        </w:rPr>
        <w:t xml:space="preserve"> </w:t>
      </w:r>
    </w:p>
    <w:p w:rsidR="001B3E44" w:rsidRPr="00F90FAA" w:rsidRDefault="001B3E44" w:rsidP="00FE3F04">
      <w:pPr>
        <w:pStyle w:val="Heading2"/>
      </w:pPr>
      <w:bookmarkStart w:id="34" w:name="_Toc213176500"/>
      <w:bookmarkStart w:id="35" w:name="_Toc213176541"/>
      <w:r w:rsidRPr="00F90FAA">
        <w:t>Appendix 1: Grid Analysis Table</w:t>
      </w:r>
      <w:bookmarkEnd w:id="34"/>
      <w:bookmarkEnd w:id="35"/>
    </w:p>
    <w:tbl>
      <w:tblPr>
        <w:tblStyle w:val="GridTable5Dark-Accent3"/>
        <w:tblW w:w="0" w:type="auto"/>
        <w:tblLook w:val="04A0" w:firstRow="1" w:lastRow="0" w:firstColumn="1" w:lastColumn="0" w:noHBand="0" w:noVBand="1"/>
      </w:tblPr>
      <w:tblGrid>
        <w:gridCol w:w="2003"/>
        <w:gridCol w:w="1380"/>
        <w:gridCol w:w="1990"/>
        <w:gridCol w:w="1304"/>
        <w:gridCol w:w="1369"/>
        <w:gridCol w:w="1304"/>
      </w:tblGrid>
      <w:tr w:rsidR="001B3E44" w:rsidRPr="001B3E44" w:rsidTr="00F90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B3E44" w:rsidRPr="001B3E44" w:rsidRDefault="001B3E44" w:rsidP="00F90FAA">
            <w:pPr>
              <w:spacing w:after="160" w:line="360" w:lineRule="auto"/>
              <w:rPr>
                <w:rFonts w:ascii="Arial" w:hAnsi="Arial" w:cs="Arial"/>
                <w:color w:val="000000" w:themeColor="text1"/>
              </w:rPr>
            </w:pPr>
            <w:r w:rsidRPr="001B3E44">
              <w:rPr>
                <w:rFonts w:ascii="Arial" w:hAnsi="Arial" w:cs="Arial"/>
                <w:color w:val="000000" w:themeColor="text1"/>
              </w:rPr>
              <w:t>Criteria</w:t>
            </w:r>
          </w:p>
        </w:tc>
        <w:tc>
          <w:tcPr>
            <w:tcW w:w="0" w:type="auto"/>
            <w:hideMark/>
          </w:tcPr>
          <w:p w:rsidR="001B3E44" w:rsidRPr="001B3E44" w:rsidRDefault="001B3E44"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Weighting (1–5)</w:t>
            </w:r>
          </w:p>
        </w:tc>
        <w:tc>
          <w:tcPr>
            <w:tcW w:w="0" w:type="auto"/>
            <w:hideMark/>
          </w:tcPr>
          <w:p w:rsidR="001B3E44" w:rsidRPr="001B3E44" w:rsidRDefault="001B3E44"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Solution A: Digital Transformation</w:t>
            </w:r>
          </w:p>
        </w:tc>
        <w:tc>
          <w:tcPr>
            <w:tcW w:w="0" w:type="auto"/>
            <w:hideMark/>
          </w:tcPr>
          <w:p w:rsidR="001B3E44" w:rsidRPr="001B3E44" w:rsidRDefault="001B3E44"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Weighted Score A</w:t>
            </w:r>
          </w:p>
        </w:tc>
        <w:tc>
          <w:tcPr>
            <w:tcW w:w="0" w:type="auto"/>
            <w:hideMark/>
          </w:tcPr>
          <w:p w:rsidR="001B3E44" w:rsidRPr="001B3E44" w:rsidRDefault="001B3E44"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Solution B: Customer Retention</w:t>
            </w:r>
          </w:p>
        </w:tc>
        <w:tc>
          <w:tcPr>
            <w:tcW w:w="0" w:type="auto"/>
            <w:hideMark/>
          </w:tcPr>
          <w:p w:rsidR="001B3E44" w:rsidRPr="001B3E44" w:rsidRDefault="001B3E44"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Weighted Score B</w:t>
            </w:r>
          </w:p>
        </w:tc>
      </w:tr>
      <w:tr w:rsidR="001B3E44" w:rsidRPr="001B3E44" w:rsidTr="00F90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B3E44" w:rsidRPr="001B3E44" w:rsidRDefault="001B3E44" w:rsidP="00F90FAA">
            <w:pPr>
              <w:spacing w:after="160" w:line="360" w:lineRule="auto"/>
              <w:rPr>
                <w:rFonts w:ascii="Arial" w:hAnsi="Arial" w:cs="Arial"/>
                <w:color w:val="000000" w:themeColor="text1"/>
              </w:rPr>
            </w:pPr>
            <w:r w:rsidRPr="001B3E44">
              <w:rPr>
                <w:rFonts w:ascii="Arial" w:hAnsi="Arial" w:cs="Arial"/>
                <w:color w:val="000000" w:themeColor="text1"/>
              </w:rPr>
              <w:t>Cost Effectiveness</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3</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4</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12</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3</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9</w:t>
            </w:r>
          </w:p>
        </w:tc>
      </w:tr>
      <w:tr w:rsidR="001B3E44" w:rsidRPr="001B3E44" w:rsidTr="00F90FAA">
        <w:tc>
          <w:tcPr>
            <w:cnfStyle w:val="001000000000" w:firstRow="0" w:lastRow="0" w:firstColumn="1" w:lastColumn="0" w:oddVBand="0" w:evenVBand="0" w:oddHBand="0" w:evenHBand="0" w:firstRowFirstColumn="0" w:firstRowLastColumn="0" w:lastRowFirstColumn="0" w:lastRowLastColumn="0"/>
            <w:tcW w:w="0" w:type="auto"/>
            <w:hideMark/>
          </w:tcPr>
          <w:p w:rsidR="001B3E44" w:rsidRPr="001B3E44" w:rsidRDefault="001B3E44" w:rsidP="00F90FAA">
            <w:pPr>
              <w:spacing w:after="160" w:line="360" w:lineRule="auto"/>
              <w:rPr>
                <w:rFonts w:ascii="Arial" w:hAnsi="Arial" w:cs="Arial"/>
                <w:color w:val="000000" w:themeColor="text1"/>
              </w:rPr>
            </w:pPr>
            <w:r w:rsidRPr="001B3E44">
              <w:rPr>
                <w:rFonts w:ascii="Arial" w:hAnsi="Arial" w:cs="Arial"/>
                <w:color w:val="000000" w:themeColor="text1"/>
              </w:rPr>
              <w:t>Implementation Ease</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2</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3</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6</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4</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8</w:t>
            </w:r>
          </w:p>
        </w:tc>
      </w:tr>
      <w:tr w:rsidR="001B3E44" w:rsidRPr="001B3E44" w:rsidTr="00F90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B3E44" w:rsidRPr="001B3E44" w:rsidRDefault="001B3E44" w:rsidP="00F90FAA">
            <w:pPr>
              <w:spacing w:after="160" w:line="360" w:lineRule="auto"/>
              <w:rPr>
                <w:rFonts w:ascii="Arial" w:hAnsi="Arial" w:cs="Arial"/>
                <w:color w:val="000000" w:themeColor="text1"/>
              </w:rPr>
            </w:pPr>
            <w:r w:rsidRPr="001B3E44">
              <w:rPr>
                <w:rFonts w:ascii="Arial" w:hAnsi="Arial" w:cs="Arial"/>
                <w:color w:val="000000" w:themeColor="text1"/>
              </w:rPr>
              <w:t>Customer Reach</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4</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5</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20</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3</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12</w:t>
            </w:r>
          </w:p>
        </w:tc>
      </w:tr>
      <w:tr w:rsidR="001B3E44" w:rsidRPr="001B3E44" w:rsidTr="00F90FAA">
        <w:tc>
          <w:tcPr>
            <w:cnfStyle w:val="001000000000" w:firstRow="0" w:lastRow="0" w:firstColumn="1" w:lastColumn="0" w:oddVBand="0" w:evenVBand="0" w:oddHBand="0" w:evenHBand="0" w:firstRowFirstColumn="0" w:firstRowLastColumn="0" w:lastRowFirstColumn="0" w:lastRowLastColumn="0"/>
            <w:tcW w:w="0" w:type="auto"/>
            <w:hideMark/>
          </w:tcPr>
          <w:p w:rsidR="001B3E44" w:rsidRPr="001B3E44" w:rsidRDefault="001B3E44" w:rsidP="00F90FAA">
            <w:pPr>
              <w:spacing w:after="160" w:line="360" w:lineRule="auto"/>
              <w:rPr>
                <w:rFonts w:ascii="Arial" w:hAnsi="Arial" w:cs="Arial"/>
                <w:color w:val="000000" w:themeColor="text1"/>
              </w:rPr>
            </w:pPr>
            <w:r w:rsidRPr="001B3E44">
              <w:rPr>
                <w:rFonts w:ascii="Arial" w:hAnsi="Arial" w:cs="Arial"/>
                <w:color w:val="000000" w:themeColor="text1"/>
              </w:rPr>
              <w:t>Innovation Potential</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3</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5</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15</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3</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9</w:t>
            </w:r>
          </w:p>
        </w:tc>
      </w:tr>
      <w:tr w:rsidR="001B3E44" w:rsidRPr="001B3E44" w:rsidTr="00F90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1B3E44" w:rsidRPr="001B3E44" w:rsidRDefault="001B3E44" w:rsidP="00F90FAA">
            <w:pPr>
              <w:spacing w:after="160" w:line="360" w:lineRule="auto"/>
              <w:rPr>
                <w:rFonts w:ascii="Arial" w:hAnsi="Arial" w:cs="Arial"/>
                <w:color w:val="000000" w:themeColor="text1"/>
              </w:rPr>
            </w:pPr>
            <w:r w:rsidRPr="001B3E44">
              <w:rPr>
                <w:rFonts w:ascii="Arial" w:hAnsi="Arial" w:cs="Arial"/>
                <w:color w:val="000000" w:themeColor="text1"/>
              </w:rPr>
              <w:t>Long-Term Sustainability</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4</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5</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20</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4</w:t>
            </w:r>
          </w:p>
        </w:tc>
        <w:tc>
          <w:tcPr>
            <w:tcW w:w="0" w:type="auto"/>
            <w:hideMark/>
          </w:tcPr>
          <w:p w:rsidR="001B3E44" w:rsidRPr="001B3E44" w:rsidRDefault="001B3E44"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B3E44">
              <w:rPr>
                <w:rFonts w:ascii="Arial" w:hAnsi="Arial" w:cs="Arial"/>
                <w:color w:val="000000" w:themeColor="text1"/>
              </w:rPr>
              <w:t>16</w:t>
            </w:r>
          </w:p>
        </w:tc>
      </w:tr>
      <w:tr w:rsidR="001B3E44" w:rsidRPr="001B3E44" w:rsidTr="00F90FAA">
        <w:tc>
          <w:tcPr>
            <w:cnfStyle w:val="001000000000" w:firstRow="0" w:lastRow="0" w:firstColumn="1" w:lastColumn="0" w:oddVBand="0" w:evenVBand="0" w:oddHBand="0" w:evenHBand="0" w:firstRowFirstColumn="0" w:firstRowLastColumn="0" w:lastRowFirstColumn="0" w:lastRowLastColumn="0"/>
            <w:tcW w:w="0" w:type="auto"/>
            <w:hideMark/>
          </w:tcPr>
          <w:p w:rsidR="001B3E44" w:rsidRPr="001B3E44" w:rsidRDefault="001B3E44" w:rsidP="00F90FAA">
            <w:pPr>
              <w:spacing w:after="160" w:line="360" w:lineRule="auto"/>
              <w:rPr>
                <w:rFonts w:ascii="Arial" w:hAnsi="Arial" w:cs="Arial"/>
                <w:color w:val="000000" w:themeColor="text1"/>
              </w:rPr>
            </w:pPr>
            <w:r w:rsidRPr="001B3E44">
              <w:rPr>
                <w:rFonts w:ascii="Arial" w:hAnsi="Arial" w:cs="Arial"/>
                <w:color w:val="000000" w:themeColor="text1"/>
              </w:rPr>
              <w:t>Total Weighted Score</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b/>
                <w:bCs/>
                <w:color w:val="000000" w:themeColor="text1"/>
              </w:rPr>
              <w:t>73</w:t>
            </w: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p>
        </w:tc>
        <w:tc>
          <w:tcPr>
            <w:tcW w:w="0" w:type="auto"/>
            <w:hideMark/>
          </w:tcPr>
          <w:p w:rsidR="001B3E44" w:rsidRPr="001B3E44" w:rsidRDefault="001B3E44"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B3E44">
              <w:rPr>
                <w:rFonts w:ascii="Arial" w:hAnsi="Arial" w:cs="Arial"/>
                <w:b/>
                <w:bCs/>
                <w:color w:val="000000" w:themeColor="text1"/>
              </w:rPr>
              <w:t>54</w:t>
            </w:r>
          </w:p>
        </w:tc>
      </w:tr>
    </w:tbl>
    <w:p w:rsidR="001B3E44" w:rsidRPr="0086256E" w:rsidRDefault="001B3E44" w:rsidP="0086256E">
      <w:pPr>
        <w:spacing w:line="360" w:lineRule="auto"/>
        <w:jc w:val="both"/>
        <w:rPr>
          <w:rFonts w:ascii="Arial" w:hAnsi="Arial" w:cs="Arial"/>
        </w:rPr>
      </w:pPr>
    </w:p>
    <w:p w:rsidR="001B3E44" w:rsidRPr="0086256E" w:rsidRDefault="001B3E44" w:rsidP="0086256E">
      <w:pPr>
        <w:spacing w:line="360" w:lineRule="auto"/>
        <w:jc w:val="both"/>
        <w:rPr>
          <w:rFonts w:ascii="Arial" w:hAnsi="Arial" w:cs="Arial"/>
        </w:rPr>
      </w:pPr>
      <w:r w:rsidRPr="0086256E">
        <w:rPr>
          <w:rFonts w:ascii="Arial" w:hAnsi="Arial" w:cs="Arial"/>
        </w:rPr>
        <w:br w:type="page"/>
      </w:r>
    </w:p>
    <w:p w:rsidR="001B3E44" w:rsidRPr="00F90FAA" w:rsidRDefault="0086256E" w:rsidP="00FE3F04">
      <w:pPr>
        <w:pStyle w:val="Heading2"/>
      </w:pPr>
      <w:bookmarkStart w:id="36" w:name="_Toc213176501"/>
      <w:bookmarkStart w:id="37" w:name="_Toc213176542"/>
      <w:r w:rsidRPr="00F90FAA">
        <w:lastRenderedPageBreak/>
        <w:t>Appendix 2: Risk Analysis Table</w:t>
      </w:r>
      <w:bookmarkEnd w:id="36"/>
      <w:bookmarkEnd w:id="37"/>
    </w:p>
    <w:tbl>
      <w:tblPr>
        <w:tblStyle w:val="GridTable5Dark-Accent3"/>
        <w:tblW w:w="0" w:type="auto"/>
        <w:tblLook w:val="04A0" w:firstRow="1" w:lastRow="0" w:firstColumn="1" w:lastColumn="0" w:noHBand="0" w:noVBand="1"/>
      </w:tblPr>
      <w:tblGrid>
        <w:gridCol w:w="2089"/>
        <w:gridCol w:w="1406"/>
        <w:gridCol w:w="984"/>
        <w:gridCol w:w="1080"/>
        <w:gridCol w:w="1943"/>
        <w:gridCol w:w="1848"/>
      </w:tblGrid>
      <w:tr w:rsidR="00F90FAA" w:rsidRPr="0086256E" w:rsidTr="00F90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6" w:type="dxa"/>
            <w:hideMark/>
          </w:tcPr>
          <w:p w:rsidR="0086256E" w:rsidRPr="0086256E" w:rsidRDefault="0086256E" w:rsidP="00F90FAA">
            <w:pPr>
              <w:spacing w:after="160" w:line="360" w:lineRule="auto"/>
              <w:rPr>
                <w:rFonts w:ascii="Arial" w:hAnsi="Arial" w:cs="Arial"/>
                <w:color w:val="000000" w:themeColor="text1"/>
                <w:sz w:val="23"/>
                <w:szCs w:val="23"/>
              </w:rPr>
            </w:pPr>
            <w:r w:rsidRPr="0086256E">
              <w:rPr>
                <w:rFonts w:ascii="Arial" w:hAnsi="Arial" w:cs="Arial"/>
                <w:color w:val="000000" w:themeColor="text1"/>
                <w:sz w:val="23"/>
                <w:szCs w:val="23"/>
              </w:rPr>
              <w:t>What Could Cause a Risk?</w:t>
            </w:r>
          </w:p>
        </w:tc>
        <w:tc>
          <w:tcPr>
            <w:tcW w:w="1416" w:type="dxa"/>
            <w:hideMark/>
          </w:tcPr>
          <w:p w:rsidR="0086256E" w:rsidRPr="0086256E" w:rsidRDefault="0086256E"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Likelihood (1–5)</w:t>
            </w:r>
          </w:p>
        </w:tc>
        <w:tc>
          <w:tcPr>
            <w:tcW w:w="990" w:type="dxa"/>
            <w:hideMark/>
          </w:tcPr>
          <w:p w:rsidR="0086256E" w:rsidRPr="0086256E" w:rsidRDefault="0086256E"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Impact (1–5)</w:t>
            </w:r>
          </w:p>
        </w:tc>
        <w:tc>
          <w:tcPr>
            <w:tcW w:w="1121" w:type="dxa"/>
            <w:hideMark/>
          </w:tcPr>
          <w:p w:rsidR="0086256E" w:rsidRPr="0086256E" w:rsidRDefault="0086256E"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Risk Factor (L × I)</w:t>
            </w:r>
          </w:p>
        </w:tc>
        <w:tc>
          <w:tcPr>
            <w:tcW w:w="1985" w:type="dxa"/>
            <w:hideMark/>
          </w:tcPr>
          <w:p w:rsidR="0086256E" w:rsidRPr="0086256E" w:rsidRDefault="0086256E"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Preventive / Mitigation Actions</w:t>
            </w:r>
          </w:p>
        </w:tc>
        <w:tc>
          <w:tcPr>
            <w:tcW w:w="1908" w:type="dxa"/>
            <w:hideMark/>
          </w:tcPr>
          <w:p w:rsidR="0086256E" w:rsidRPr="0086256E" w:rsidRDefault="0086256E"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Contingency / Corrective Actions</w:t>
            </w:r>
          </w:p>
        </w:tc>
      </w:tr>
      <w:tr w:rsidR="00F90FAA" w:rsidRPr="0086256E" w:rsidTr="00F90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6" w:type="dxa"/>
            <w:hideMark/>
          </w:tcPr>
          <w:p w:rsidR="0086256E" w:rsidRPr="0086256E" w:rsidRDefault="0086256E" w:rsidP="00F90FAA">
            <w:pPr>
              <w:spacing w:after="160" w:line="360" w:lineRule="auto"/>
              <w:rPr>
                <w:rFonts w:ascii="Arial" w:hAnsi="Arial" w:cs="Arial"/>
                <w:color w:val="000000" w:themeColor="text1"/>
                <w:sz w:val="23"/>
                <w:szCs w:val="23"/>
              </w:rPr>
            </w:pPr>
            <w:r w:rsidRPr="0086256E">
              <w:rPr>
                <w:rFonts w:ascii="Arial" w:hAnsi="Arial" w:cs="Arial"/>
                <w:color w:val="000000" w:themeColor="text1"/>
                <w:sz w:val="23"/>
                <w:szCs w:val="23"/>
              </w:rPr>
              <w:t>1. Website development issues (technical errors or downtime).</w:t>
            </w:r>
          </w:p>
        </w:tc>
        <w:tc>
          <w:tcPr>
            <w:tcW w:w="1416"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4</w:t>
            </w:r>
          </w:p>
        </w:tc>
        <w:tc>
          <w:tcPr>
            <w:tcW w:w="990"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4</w:t>
            </w:r>
          </w:p>
        </w:tc>
        <w:tc>
          <w:tcPr>
            <w:tcW w:w="1121"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16</w:t>
            </w:r>
          </w:p>
        </w:tc>
        <w:tc>
          <w:tcPr>
            <w:tcW w:w="1985"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Conduct phased testing and engage experienced web developers.</w:t>
            </w:r>
          </w:p>
        </w:tc>
        <w:tc>
          <w:tcPr>
            <w:tcW w:w="1908"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Maintain hybrid operations until full system stability achieved.</w:t>
            </w:r>
          </w:p>
        </w:tc>
      </w:tr>
      <w:tr w:rsidR="00F90FAA" w:rsidRPr="0086256E" w:rsidTr="00F90FAA">
        <w:tc>
          <w:tcPr>
            <w:cnfStyle w:val="001000000000" w:firstRow="0" w:lastRow="0" w:firstColumn="1" w:lastColumn="0" w:oddVBand="0" w:evenVBand="0" w:oddHBand="0" w:evenHBand="0" w:firstRowFirstColumn="0" w:firstRowLastColumn="0" w:lastRowFirstColumn="0" w:lastRowLastColumn="0"/>
            <w:tcW w:w="2156" w:type="dxa"/>
            <w:hideMark/>
          </w:tcPr>
          <w:p w:rsidR="0086256E" w:rsidRPr="0086256E" w:rsidRDefault="0086256E" w:rsidP="00F90FAA">
            <w:pPr>
              <w:spacing w:after="160" w:line="360" w:lineRule="auto"/>
              <w:rPr>
                <w:rFonts w:ascii="Arial" w:hAnsi="Arial" w:cs="Arial"/>
                <w:color w:val="000000" w:themeColor="text1"/>
                <w:sz w:val="23"/>
                <w:szCs w:val="23"/>
              </w:rPr>
            </w:pPr>
            <w:r w:rsidRPr="0086256E">
              <w:rPr>
                <w:rFonts w:ascii="Arial" w:hAnsi="Arial" w:cs="Arial"/>
                <w:color w:val="000000" w:themeColor="text1"/>
                <w:sz w:val="23"/>
                <w:szCs w:val="23"/>
              </w:rPr>
              <w:t>2. Budget overruns due to unexpected technology costs.</w:t>
            </w:r>
          </w:p>
        </w:tc>
        <w:tc>
          <w:tcPr>
            <w:tcW w:w="1416" w:type="dxa"/>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5</w:t>
            </w:r>
          </w:p>
        </w:tc>
        <w:tc>
          <w:tcPr>
            <w:tcW w:w="990" w:type="dxa"/>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4</w:t>
            </w:r>
          </w:p>
        </w:tc>
        <w:tc>
          <w:tcPr>
            <w:tcW w:w="1121" w:type="dxa"/>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20</w:t>
            </w:r>
          </w:p>
        </w:tc>
        <w:tc>
          <w:tcPr>
            <w:tcW w:w="1985" w:type="dxa"/>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Secure fixed-price contracts and phased payment milestones.</w:t>
            </w:r>
          </w:p>
        </w:tc>
        <w:tc>
          <w:tcPr>
            <w:tcW w:w="1908" w:type="dxa"/>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Reallocate short-term reserves; defer secondary features.</w:t>
            </w:r>
          </w:p>
        </w:tc>
      </w:tr>
      <w:tr w:rsidR="00F90FAA" w:rsidRPr="0086256E" w:rsidTr="00F90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6" w:type="dxa"/>
            <w:hideMark/>
          </w:tcPr>
          <w:p w:rsidR="0086256E" w:rsidRPr="0086256E" w:rsidRDefault="0086256E" w:rsidP="00F90FAA">
            <w:pPr>
              <w:spacing w:after="160" w:line="360" w:lineRule="auto"/>
              <w:rPr>
                <w:rFonts w:ascii="Arial" w:hAnsi="Arial" w:cs="Arial"/>
                <w:color w:val="000000" w:themeColor="text1"/>
                <w:sz w:val="23"/>
                <w:szCs w:val="23"/>
              </w:rPr>
            </w:pPr>
            <w:r w:rsidRPr="0086256E">
              <w:rPr>
                <w:rFonts w:ascii="Arial" w:hAnsi="Arial" w:cs="Arial"/>
                <w:color w:val="000000" w:themeColor="text1"/>
                <w:sz w:val="23"/>
                <w:szCs w:val="23"/>
              </w:rPr>
              <w:t>3. Staff resistance or skill gaps in using digital tools.</w:t>
            </w:r>
          </w:p>
        </w:tc>
        <w:tc>
          <w:tcPr>
            <w:tcW w:w="1416"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3</w:t>
            </w:r>
          </w:p>
        </w:tc>
        <w:tc>
          <w:tcPr>
            <w:tcW w:w="990"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3</w:t>
            </w:r>
          </w:p>
        </w:tc>
        <w:tc>
          <w:tcPr>
            <w:tcW w:w="1121"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9</w:t>
            </w:r>
          </w:p>
        </w:tc>
        <w:tc>
          <w:tcPr>
            <w:tcW w:w="1985"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Provide comprehensive staff training and incentives.</w:t>
            </w:r>
          </w:p>
        </w:tc>
        <w:tc>
          <w:tcPr>
            <w:tcW w:w="1908"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Recruit temporary support staff for transition period.</w:t>
            </w:r>
          </w:p>
        </w:tc>
      </w:tr>
      <w:tr w:rsidR="00F90FAA" w:rsidRPr="0086256E" w:rsidTr="00F90FAA">
        <w:tc>
          <w:tcPr>
            <w:cnfStyle w:val="001000000000" w:firstRow="0" w:lastRow="0" w:firstColumn="1" w:lastColumn="0" w:oddVBand="0" w:evenVBand="0" w:oddHBand="0" w:evenHBand="0" w:firstRowFirstColumn="0" w:firstRowLastColumn="0" w:lastRowFirstColumn="0" w:lastRowLastColumn="0"/>
            <w:tcW w:w="2156" w:type="dxa"/>
            <w:hideMark/>
          </w:tcPr>
          <w:p w:rsidR="0086256E" w:rsidRPr="0086256E" w:rsidRDefault="0086256E" w:rsidP="00F90FAA">
            <w:pPr>
              <w:spacing w:after="160" w:line="360" w:lineRule="auto"/>
              <w:rPr>
                <w:rFonts w:ascii="Arial" w:hAnsi="Arial" w:cs="Arial"/>
                <w:color w:val="000000" w:themeColor="text1"/>
                <w:sz w:val="23"/>
                <w:szCs w:val="23"/>
              </w:rPr>
            </w:pPr>
            <w:r w:rsidRPr="0086256E">
              <w:rPr>
                <w:rFonts w:ascii="Arial" w:hAnsi="Arial" w:cs="Arial"/>
                <w:color w:val="000000" w:themeColor="text1"/>
                <w:sz w:val="23"/>
                <w:szCs w:val="23"/>
              </w:rPr>
              <w:t>4. Cybersecurity threats or data breaches.</w:t>
            </w:r>
          </w:p>
        </w:tc>
        <w:tc>
          <w:tcPr>
            <w:tcW w:w="1416" w:type="dxa"/>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3</w:t>
            </w:r>
          </w:p>
        </w:tc>
        <w:tc>
          <w:tcPr>
            <w:tcW w:w="990" w:type="dxa"/>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5</w:t>
            </w:r>
          </w:p>
        </w:tc>
        <w:tc>
          <w:tcPr>
            <w:tcW w:w="1121" w:type="dxa"/>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15</w:t>
            </w:r>
          </w:p>
        </w:tc>
        <w:tc>
          <w:tcPr>
            <w:tcW w:w="1985" w:type="dxa"/>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Install secure SSL encryption, antivirus, and regular audits.</w:t>
            </w:r>
          </w:p>
        </w:tc>
        <w:tc>
          <w:tcPr>
            <w:tcW w:w="1908" w:type="dxa"/>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Implement data recovery plan and notify customers promptly.</w:t>
            </w:r>
          </w:p>
        </w:tc>
      </w:tr>
      <w:tr w:rsidR="00F90FAA" w:rsidRPr="0086256E" w:rsidTr="00F90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6" w:type="dxa"/>
            <w:hideMark/>
          </w:tcPr>
          <w:p w:rsidR="0086256E" w:rsidRPr="0086256E" w:rsidRDefault="0086256E" w:rsidP="00F90FAA">
            <w:pPr>
              <w:spacing w:after="160" w:line="360" w:lineRule="auto"/>
              <w:rPr>
                <w:rFonts w:ascii="Arial" w:hAnsi="Arial" w:cs="Arial"/>
                <w:color w:val="000000" w:themeColor="text1"/>
                <w:sz w:val="23"/>
                <w:szCs w:val="23"/>
              </w:rPr>
            </w:pPr>
            <w:r w:rsidRPr="0086256E">
              <w:rPr>
                <w:rFonts w:ascii="Arial" w:hAnsi="Arial" w:cs="Arial"/>
                <w:color w:val="000000" w:themeColor="text1"/>
                <w:sz w:val="23"/>
                <w:szCs w:val="23"/>
              </w:rPr>
              <w:t>5. Customer dissatisfaction during transition period.</w:t>
            </w:r>
          </w:p>
        </w:tc>
        <w:tc>
          <w:tcPr>
            <w:tcW w:w="1416"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2</w:t>
            </w:r>
          </w:p>
        </w:tc>
        <w:tc>
          <w:tcPr>
            <w:tcW w:w="990"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4</w:t>
            </w:r>
          </w:p>
        </w:tc>
        <w:tc>
          <w:tcPr>
            <w:tcW w:w="1121"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8</w:t>
            </w:r>
          </w:p>
        </w:tc>
        <w:tc>
          <w:tcPr>
            <w:tcW w:w="1985"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Communicate transparently about service upgrades.</w:t>
            </w:r>
          </w:p>
        </w:tc>
        <w:tc>
          <w:tcPr>
            <w:tcW w:w="1908" w:type="dxa"/>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3"/>
                <w:szCs w:val="23"/>
              </w:rPr>
            </w:pPr>
            <w:r w:rsidRPr="0086256E">
              <w:rPr>
                <w:rFonts w:ascii="Arial" w:hAnsi="Arial" w:cs="Arial"/>
                <w:color w:val="000000" w:themeColor="text1"/>
                <w:sz w:val="23"/>
                <w:szCs w:val="23"/>
              </w:rPr>
              <w:t>Offer goodwill discounts or loyalty rewards to affected customers.</w:t>
            </w:r>
          </w:p>
        </w:tc>
      </w:tr>
    </w:tbl>
    <w:p w:rsidR="0086256E" w:rsidRPr="0086256E" w:rsidRDefault="0086256E" w:rsidP="0086256E">
      <w:pPr>
        <w:spacing w:line="360" w:lineRule="auto"/>
        <w:jc w:val="both"/>
        <w:rPr>
          <w:rFonts w:ascii="Arial" w:hAnsi="Arial" w:cs="Arial"/>
        </w:rPr>
      </w:pPr>
    </w:p>
    <w:p w:rsidR="0086256E" w:rsidRPr="0086256E" w:rsidRDefault="0086256E" w:rsidP="001D796A">
      <w:pPr>
        <w:pStyle w:val="Heading2"/>
      </w:pPr>
      <w:bookmarkStart w:id="38" w:name="_Toc213176502"/>
      <w:bookmarkStart w:id="39" w:name="_Toc213176543"/>
      <w:r w:rsidRPr="00F90FAA">
        <w:lastRenderedPageBreak/>
        <w:t>Appendix 3: Implementation Plan</w:t>
      </w:r>
      <w:bookmarkEnd w:id="38"/>
      <w:bookmarkEnd w:id="39"/>
    </w:p>
    <w:tbl>
      <w:tblPr>
        <w:tblStyle w:val="GridTable5Dark-Accent3"/>
        <w:tblW w:w="0" w:type="auto"/>
        <w:tblLook w:val="04A0" w:firstRow="1" w:lastRow="0" w:firstColumn="1" w:lastColumn="0" w:noHBand="0" w:noVBand="1"/>
      </w:tblPr>
      <w:tblGrid>
        <w:gridCol w:w="4365"/>
        <w:gridCol w:w="1828"/>
        <w:gridCol w:w="1718"/>
        <w:gridCol w:w="1439"/>
      </w:tblGrid>
      <w:tr w:rsidR="00FE1DDE" w:rsidRPr="00FE1DDE" w:rsidTr="00FE1D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E1DDE" w:rsidRPr="00FE1DDE" w:rsidRDefault="00FE1DDE" w:rsidP="00FE1DDE">
            <w:pPr>
              <w:spacing w:after="160" w:line="360" w:lineRule="auto"/>
              <w:jc w:val="both"/>
              <w:rPr>
                <w:rFonts w:ascii="Arial" w:hAnsi="Arial" w:cs="Arial"/>
                <w:color w:val="auto"/>
              </w:rPr>
            </w:pPr>
            <w:r w:rsidRPr="00FE1DDE">
              <w:rPr>
                <w:rFonts w:ascii="Arial" w:hAnsi="Arial" w:cs="Arial"/>
                <w:color w:val="auto"/>
              </w:rPr>
              <w:t>Initiative (What)</w:t>
            </w:r>
          </w:p>
        </w:tc>
        <w:tc>
          <w:tcPr>
            <w:tcW w:w="0" w:type="auto"/>
            <w:hideMark/>
          </w:tcPr>
          <w:p w:rsidR="00FE1DDE" w:rsidRPr="00FE1DDE" w:rsidRDefault="00FE1DDE" w:rsidP="00FE1DD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FE1DDE">
              <w:rPr>
                <w:rFonts w:ascii="Arial" w:hAnsi="Arial" w:cs="Arial"/>
                <w:color w:val="auto"/>
              </w:rPr>
              <w:t>Timeframe (When)</w:t>
            </w:r>
          </w:p>
        </w:tc>
        <w:tc>
          <w:tcPr>
            <w:tcW w:w="0" w:type="auto"/>
            <w:hideMark/>
          </w:tcPr>
          <w:p w:rsidR="00FE1DDE" w:rsidRPr="00FE1DDE" w:rsidRDefault="00FE1DDE" w:rsidP="00FE1DD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FE1DDE">
              <w:rPr>
                <w:rFonts w:ascii="Arial" w:hAnsi="Arial" w:cs="Arial"/>
                <w:color w:val="auto"/>
              </w:rPr>
              <w:t>Lead Role (Who)</w:t>
            </w:r>
          </w:p>
        </w:tc>
        <w:tc>
          <w:tcPr>
            <w:tcW w:w="0" w:type="auto"/>
            <w:hideMark/>
          </w:tcPr>
          <w:p w:rsidR="00FE1DDE" w:rsidRPr="00FE1DDE" w:rsidRDefault="00FE1DDE" w:rsidP="00FE1DDE">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FE1DDE">
              <w:rPr>
                <w:rFonts w:ascii="Arial" w:hAnsi="Arial" w:cs="Arial"/>
                <w:color w:val="auto"/>
              </w:rPr>
              <w:t>Status</w:t>
            </w:r>
          </w:p>
        </w:tc>
      </w:tr>
      <w:tr w:rsidR="00FE1DDE" w:rsidRPr="00FE1DDE" w:rsidTr="00FE1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E1DDE" w:rsidRPr="00FE1DDE" w:rsidRDefault="00FE1DDE" w:rsidP="00FE1DDE">
            <w:pPr>
              <w:spacing w:after="160" w:line="360" w:lineRule="auto"/>
              <w:jc w:val="both"/>
              <w:rPr>
                <w:rFonts w:ascii="Arial" w:hAnsi="Arial" w:cs="Arial"/>
                <w:color w:val="auto"/>
              </w:rPr>
            </w:pPr>
            <w:r w:rsidRPr="00FE1DDE">
              <w:rPr>
                <w:rFonts w:ascii="Arial" w:hAnsi="Arial" w:cs="Arial"/>
                <w:color w:val="auto"/>
              </w:rPr>
              <w:t>1. Run a digital capability audit and choose a website build partner.</w:t>
            </w:r>
          </w:p>
        </w:tc>
        <w:tc>
          <w:tcPr>
            <w:tcW w:w="0" w:type="auto"/>
            <w:hideMark/>
          </w:tcPr>
          <w:p w:rsidR="00FE1DDE" w:rsidRPr="00FE1DDE" w:rsidRDefault="00FE1DDE" w:rsidP="00FE1DD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E1DDE">
              <w:rPr>
                <w:rFonts w:ascii="Arial" w:hAnsi="Arial" w:cs="Arial"/>
              </w:rPr>
              <w:t>Month 1</w:t>
            </w:r>
          </w:p>
        </w:tc>
        <w:tc>
          <w:tcPr>
            <w:tcW w:w="0" w:type="auto"/>
            <w:hideMark/>
          </w:tcPr>
          <w:p w:rsidR="00FE1DDE" w:rsidRPr="00FE1DDE" w:rsidRDefault="00FE1DDE" w:rsidP="00FE1DD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E1DDE">
              <w:rPr>
                <w:rFonts w:ascii="Arial" w:hAnsi="Arial" w:cs="Arial"/>
              </w:rPr>
              <w:t>Owners (Liam &amp; Priya)</w:t>
            </w:r>
          </w:p>
        </w:tc>
        <w:tc>
          <w:tcPr>
            <w:tcW w:w="0" w:type="auto"/>
            <w:hideMark/>
          </w:tcPr>
          <w:p w:rsidR="00FE1DDE" w:rsidRPr="00FE1DDE" w:rsidRDefault="00FE1DDE" w:rsidP="00FE1DD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E1DDE">
              <w:rPr>
                <w:rFonts w:ascii="Arial" w:hAnsi="Arial" w:cs="Arial"/>
              </w:rPr>
              <w:t>Not yet begun</w:t>
            </w:r>
          </w:p>
        </w:tc>
      </w:tr>
      <w:tr w:rsidR="00FE1DDE" w:rsidRPr="00FE1DDE" w:rsidTr="00FE1DDE">
        <w:tc>
          <w:tcPr>
            <w:cnfStyle w:val="001000000000" w:firstRow="0" w:lastRow="0" w:firstColumn="1" w:lastColumn="0" w:oddVBand="0" w:evenVBand="0" w:oddHBand="0" w:evenHBand="0" w:firstRowFirstColumn="0" w:firstRowLastColumn="0" w:lastRowFirstColumn="0" w:lastRowLastColumn="0"/>
            <w:tcW w:w="0" w:type="auto"/>
            <w:hideMark/>
          </w:tcPr>
          <w:p w:rsidR="00FE1DDE" w:rsidRPr="00FE1DDE" w:rsidRDefault="00FE1DDE" w:rsidP="00FE1DDE">
            <w:pPr>
              <w:spacing w:after="160" w:line="360" w:lineRule="auto"/>
              <w:jc w:val="both"/>
              <w:rPr>
                <w:rFonts w:ascii="Arial" w:hAnsi="Arial" w:cs="Arial"/>
                <w:color w:val="auto"/>
              </w:rPr>
            </w:pPr>
            <w:r w:rsidRPr="00FE1DDE">
              <w:rPr>
                <w:rFonts w:ascii="Arial" w:hAnsi="Arial" w:cs="Arial"/>
                <w:color w:val="auto"/>
              </w:rPr>
              <w:t xml:space="preserve">2. Architect, implement, and QA </w:t>
            </w:r>
            <w:r w:rsidR="001D796A" w:rsidRPr="00FE1DDE">
              <w:rPr>
                <w:rFonts w:ascii="Arial" w:hAnsi="Arial" w:cs="Arial"/>
                <w:color w:val="auto"/>
              </w:rPr>
              <w:t>a</w:t>
            </w:r>
            <w:r w:rsidRPr="00FE1DDE">
              <w:rPr>
                <w:rFonts w:ascii="Arial" w:hAnsi="Arial" w:cs="Arial"/>
                <w:color w:val="auto"/>
              </w:rPr>
              <w:t xml:space="preserve"> </w:t>
            </w:r>
            <w:r w:rsidR="009E2FB7" w:rsidRPr="009E2FB7">
              <w:rPr>
                <w:rFonts w:ascii="Arial" w:hAnsi="Arial" w:cs="Arial"/>
                <w:color w:val="auto"/>
              </w:rPr>
              <w:t>responsive design online store. and a secure checkout flow.</w:t>
            </w:r>
          </w:p>
        </w:tc>
        <w:tc>
          <w:tcPr>
            <w:tcW w:w="0" w:type="auto"/>
            <w:hideMark/>
          </w:tcPr>
          <w:p w:rsidR="00FE1DDE" w:rsidRPr="00FE1DDE" w:rsidRDefault="00FE1DDE" w:rsidP="00FE1DD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E1DDE">
              <w:rPr>
                <w:rFonts w:ascii="Arial" w:hAnsi="Arial" w:cs="Arial"/>
              </w:rPr>
              <w:t>Months 2–4</w:t>
            </w:r>
          </w:p>
        </w:tc>
        <w:tc>
          <w:tcPr>
            <w:tcW w:w="0" w:type="auto"/>
            <w:hideMark/>
          </w:tcPr>
          <w:p w:rsidR="00FE1DDE" w:rsidRPr="00FE1DDE" w:rsidRDefault="00FE1DDE" w:rsidP="00FE1DD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E1DDE">
              <w:rPr>
                <w:rFonts w:ascii="Arial" w:hAnsi="Arial" w:cs="Arial"/>
              </w:rPr>
              <w:t>External Web Developer</w:t>
            </w:r>
          </w:p>
        </w:tc>
        <w:tc>
          <w:tcPr>
            <w:tcW w:w="0" w:type="auto"/>
            <w:hideMark/>
          </w:tcPr>
          <w:p w:rsidR="00FE1DDE" w:rsidRPr="00FE1DDE" w:rsidRDefault="00FE1DDE" w:rsidP="00FE1DD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E1DDE">
              <w:rPr>
                <w:rFonts w:ascii="Arial" w:hAnsi="Arial" w:cs="Arial"/>
              </w:rPr>
              <w:t>Queued</w:t>
            </w:r>
          </w:p>
        </w:tc>
      </w:tr>
      <w:tr w:rsidR="00FE1DDE" w:rsidRPr="00FE1DDE" w:rsidTr="00FE1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E1DDE" w:rsidRPr="00FE1DDE" w:rsidRDefault="00FE1DDE" w:rsidP="00FE1DDE">
            <w:pPr>
              <w:spacing w:after="160" w:line="360" w:lineRule="auto"/>
              <w:jc w:val="both"/>
              <w:rPr>
                <w:rFonts w:ascii="Arial" w:hAnsi="Arial" w:cs="Arial"/>
                <w:color w:val="auto"/>
              </w:rPr>
            </w:pPr>
            <w:r w:rsidRPr="00FE1DDE">
              <w:rPr>
                <w:rFonts w:ascii="Arial" w:hAnsi="Arial" w:cs="Arial"/>
                <w:color w:val="auto"/>
              </w:rPr>
              <w:t>3. Upskill staff on digital customer care, order-tracking workflows, and core data-security practices.</w:t>
            </w:r>
          </w:p>
        </w:tc>
        <w:tc>
          <w:tcPr>
            <w:tcW w:w="0" w:type="auto"/>
            <w:hideMark/>
          </w:tcPr>
          <w:p w:rsidR="00FE1DDE" w:rsidRPr="00FE1DDE" w:rsidRDefault="00FE1DDE" w:rsidP="00FE1DD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E1DDE">
              <w:rPr>
                <w:rFonts w:ascii="Arial" w:hAnsi="Arial" w:cs="Arial"/>
              </w:rPr>
              <w:t>Months 3–5</w:t>
            </w:r>
          </w:p>
        </w:tc>
        <w:tc>
          <w:tcPr>
            <w:tcW w:w="0" w:type="auto"/>
            <w:hideMark/>
          </w:tcPr>
          <w:p w:rsidR="00FE1DDE" w:rsidRPr="00FE1DDE" w:rsidRDefault="00FE1DDE" w:rsidP="00FE1DD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E1DDE">
              <w:rPr>
                <w:rFonts w:ascii="Arial" w:hAnsi="Arial" w:cs="Arial"/>
              </w:rPr>
              <w:t>Owners &amp; IT Trainer</w:t>
            </w:r>
          </w:p>
        </w:tc>
        <w:tc>
          <w:tcPr>
            <w:tcW w:w="0" w:type="auto"/>
            <w:hideMark/>
          </w:tcPr>
          <w:p w:rsidR="00FE1DDE" w:rsidRPr="00FE1DDE" w:rsidRDefault="00FE1DDE" w:rsidP="00FE1DD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E1DDE">
              <w:rPr>
                <w:rFonts w:ascii="Arial" w:hAnsi="Arial" w:cs="Arial"/>
              </w:rPr>
              <w:t>In progress</w:t>
            </w:r>
          </w:p>
        </w:tc>
      </w:tr>
      <w:tr w:rsidR="00FE1DDE" w:rsidRPr="00FE1DDE" w:rsidTr="00FE1DDE">
        <w:tc>
          <w:tcPr>
            <w:cnfStyle w:val="001000000000" w:firstRow="0" w:lastRow="0" w:firstColumn="1" w:lastColumn="0" w:oddVBand="0" w:evenVBand="0" w:oddHBand="0" w:evenHBand="0" w:firstRowFirstColumn="0" w:firstRowLastColumn="0" w:lastRowFirstColumn="0" w:lastRowLastColumn="0"/>
            <w:tcW w:w="0" w:type="auto"/>
            <w:hideMark/>
          </w:tcPr>
          <w:p w:rsidR="00FE1DDE" w:rsidRPr="00FE1DDE" w:rsidRDefault="00FE1DDE" w:rsidP="00FE1DDE">
            <w:pPr>
              <w:spacing w:after="160" w:line="360" w:lineRule="auto"/>
              <w:jc w:val="both"/>
              <w:rPr>
                <w:rFonts w:ascii="Arial" w:hAnsi="Arial" w:cs="Arial"/>
                <w:color w:val="auto"/>
              </w:rPr>
            </w:pPr>
            <w:r w:rsidRPr="00FE1DDE">
              <w:rPr>
                <w:rFonts w:ascii="Arial" w:hAnsi="Arial" w:cs="Arial"/>
                <w:color w:val="auto"/>
              </w:rPr>
              <w:t xml:space="preserve">4. </w:t>
            </w:r>
            <w:r w:rsidR="009E2FB7" w:rsidRPr="009E2FB7">
              <w:rPr>
                <w:rFonts w:ascii="Arial" w:hAnsi="Arial" w:cs="Arial"/>
                <w:color w:val="auto"/>
              </w:rPr>
              <w:t>Launch the site and activate co-ordinated social campaigns. (Instagram, Facebook) and Google. Ads.</w:t>
            </w:r>
          </w:p>
        </w:tc>
        <w:tc>
          <w:tcPr>
            <w:tcW w:w="0" w:type="auto"/>
            <w:hideMark/>
          </w:tcPr>
          <w:p w:rsidR="00FE1DDE" w:rsidRPr="00FE1DDE" w:rsidRDefault="00FE1DDE" w:rsidP="00FE1DD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E1DDE">
              <w:rPr>
                <w:rFonts w:ascii="Arial" w:hAnsi="Arial" w:cs="Arial"/>
              </w:rPr>
              <w:t>Month 5</w:t>
            </w:r>
          </w:p>
        </w:tc>
        <w:tc>
          <w:tcPr>
            <w:tcW w:w="0" w:type="auto"/>
            <w:hideMark/>
          </w:tcPr>
          <w:p w:rsidR="00FE1DDE" w:rsidRPr="00FE1DDE" w:rsidRDefault="00FE1DDE" w:rsidP="00FE1DD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E1DDE">
              <w:rPr>
                <w:rFonts w:ascii="Arial" w:hAnsi="Arial" w:cs="Arial"/>
              </w:rPr>
              <w:t>Marketing Consultant</w:t>
            </w:r>
          </w:p>
        </w:tc>
        <w:tc>
          <w:tcPr>
            <w:tcW w:w="0" w:type="auto"/>
            <w:hideMark/>
          </w:tcPr>
          <w:p w:rsidR="00FE1DDE" w:rsidRPr="00FE1DDE" w:rsidRDefault="00FE1DDE" w:rsidP="00FE1DDE">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E1DDE">
              <w:rPr>
                <w:rFonts w:ascii="Arial" w:hAnsi="Arial" w:cs="Arial"/>
              </w:rPr>
              <w:t>Scheduled</w:t>
            </w:r>
          </w:p>
        </w:tc>
      </w:tr>
      <w:tr w:rsidR="00FE1DDE" w:rsidRPr="00FE1DDE" w:rsidTr="00FE1D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FE1DDE" w:rsidRPr="00FE1DDE" w:rsidRDefault="00FE1DDE" w:rsidP="00FE1DDE">
            <w:pPr>
              <w:spacing w:after="160" w:line="360" w:lineRule="auto"/>
              <w:jc w:val="both"/>
              <w:rPr>
                <w:rFonts w:ascii="Arial" w:hAnsi="Arial" w:cs="Arial"/>
                <w:color w:val="auto"/>
              </w:rPr>
            </w:pPr>
            <w:r w:rsidRPr="00FE1DDE">
              <w:rPr>
                <w:rFonts w:ascii="Arial" w:hAnsi="Arial" w:cs="Arial"/>
                <w:color w:val="auto"/>
              </w:rPr>
              <w:t>5.</w:t>
            </w:r>
            <w:r>
              <w:rPr>
                <w:rFonts w:ascii="Arial" w:hAnsi="Arial" w:cs="Arial"/>
                <w:color w:val="auto"/>
              </w:rPr>
              <w:t xml:space="preserve"> </w:t>
            </w:r>
            <w:r w:rsidR="009E2FB7" w:rsidRPr="009E2FB7">
              <w:rPr>
                <w:rFonts w:ascii="Arial" w:hAnsi="Arial" w:cs="Arial"/>
                <w:color w:val="auto"/>
              </w:rPr>
              <w:t>Gather user feedback analyze performance continuously. Measures, and improve procedures. iteratively.</w:t>
            </w:r>
          </w:p>
        </w:tc>
        <w:tc>
          <w:tcPr>
            <w:tcW w:w="0" w:type="auto"/>
            <w:hideMark/>
          </w:tcPr>
          <w:p w:rsidR="00FE1DDE" w:rsidRPr="00FE1DDE" w:rsidRDefault="00FE1DDE" w:rsidP="00FE1DD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E1DDE">
              <w:rPr>
                <w:rFonts w:ascii="Arial" w:hAnsi="Arial" w:cs="Arial"/>
              </w:rPr>
              <w:t>Ongoing (Month 6 onward)</w:t>
            </w:r>
          </w:p>
        </w:tc>
        <w:tc>
          <w:tcPr>
            <w:tcW w:w="0" w:type="auto"/>
            <w:hideMark/>
          </w:tcPr>
          <w:p w:rsidR="00FE1DDE" w:rsidRPr="00FE1DDE" w:rsidRDefault="00FE1DDE" w:rsidP="00FE1DD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E1DDE">
              <w:rPr>
                <w:rFonts w:ascii="Arial" w:hAnsi="Arial" w:cs="Arial"/>
              </w:rPr>
              <w:t>Owners &amp; Staff</w:t>
            </w:r>
          </w:p>
        </w:tc>
        <w:tc>
          <w:tcPr>
            <w:tcW w:w="0" w:type="auto"/>
            <w:hideMark/>
          </w:tcPr>
          <w:p w:rsidR="00FE1DDE" w:rsidRPr="00FE1DDE" w:rsidRDefault="00FE1DDE" w:rsidP="00FE1DDE">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E1DDE">
              <w:rPr>
                <w:rFonts w:ascii="Arial" w:hAnsi="Arial" w:cs="Arial"/>
              </w:rPr>
              <w:t>In progress</w:t>
            </w:r>
          </w:p>
        </w:tc>
      </w:tr>
    </w:tbl>
    <w:p w:rsidR="0086256E" w:rsidRPr="0086256E" w:rsidRDefault="0086256E" w:rsidP="0086256E">
      <w:pPr>
        <w:spacing w:line="360" w:lineRule="auto"/>
        <w:jc w:val="both"/>
        <w:rPr>
          <w:rFonts w:ascii="Arial" w:hAnsi="Arial" w:cs="Arial"/>
        </w:rPr>
      </w:pPr>
    </w:p>
    <w:p w:rsidR="0086256E" w:rsidRPr="0086256E" w:rsidRDefault="0086256E" w:rsidP="0086256E">
      <w:pPr>
        <w:spacing w:line="360" w:lineRule="auto"/>
        <w:jc w:val="both"/>
        <w:rPr>
          <w:rFonts w:ascii="Arial" w:hAnsi="Arial" w:cs="Arial"/>
        </w:rPr>
      </w:pPr>
      <w:r w:rsidRPr="0086256E">
        <w:rPr>
          <w:rFonts w:ascii="Arial" w:hAnsi="Arial" w:cs="Arial"/>
        </w:rPr>
        <w:br w:type="page"/>
      </w:r>
    </w:p>
    <w:p w:rsidR="0086256E" w:rsidRPr="00F90FAA" w:rsidRDefault="0086256E" w:rsidP="00FE3F04">
      <w:pPr>
        <w:pStyle w:val="Heading2"/>
      </w:pPr>
      <w:bookmarkStart w:id="40" w:name="_Toc213176503"/>
      <w:bookmarkStart w:id="41" w:name="_Toc213176544"/>
      <w:r w:rsidRPr="00F90FAA">
        <w:lastRenderedPageBreak/>
        <w:t>Appendix 4: The Key Performance Indicator (KPI)</w:t>
      </w:r>
      <w:bookmarkEnd w:id="40"/>
      <w:bookmarkEnd w:id="41"/>
    </w:p>
    <w:p w:rsidR="0086256E" w:rsidRPr="0086256E" w:rsidRDefault="0086256E" w:rsidP="0086256E">
      <w:pPr>
        <w:spacing w:line="360" w:lineRule="auto"/>
        <w:jc w:val="both"/>
        <w:rPr>
          <w:rFonts w:ascii="Arial" w:hAnsi="Arial" w:cs="Arial"/>
        </w:rPr>
      </w:pPr>
      <w:r w:rsidRPr="0086256E">
        <w:rPr>
          <w:rFonts w:ascii="Arial" w:hAnsi="Arial" w:cs="Arial"/>
          <w:b/>
          <w:bCs/>
        </w:rPr>
        <w:t>Purpose:</w:t>
      </w:r>
      <w:r w:rsidRPr="0086256E">
        <w:rPr>
          <w:rFonts w:ascii="Arial" w:hAnsi="Arial" w:cs="Arial"/>
        </w:rPr>
        <w:br/>
        <w:t xml:space="preserve">To define the main performance measure and demonstrate how it meets the </w:t>
      </w:r>
      <w:r w:rsidRPr="0086256E">
        <w:rPr>
          <w:rFonts w:ascii="Arial" w:hAnsi="Arial" w:cs="Arial"/>
          <w:b/>
          <w:bCs/>
        </w:rPr>
        <w:t>SMART</w:t>
      </w:r>
      <w:r w:rsidRPr="0086256E">
        <w:rPr>
          <w:rFonts w:ascii="Arial" w:hAnsi="Arial" w:cs="Arial"/>
        </w:rPr>
        <w:t xml:space="preserve"> (Specific, Measurable, Attainable, Relevant, Time-Bound) criteria.</w:t>
      </w:r>
    </w:p>
    <w:p w:rsidR="00F90FAA" w:rsidRDefault="0086256E" w:rsidP="0086256E">
      <w:pPr>
        <w:spacing w:line="360" w:lineRule="auto"/>
        <w:jc w:val="both"/>
        <w:rPr>
          <w:rFonts w:ascii="Arial" w:hAnsi="Arial" w:cs="Arial"/>
          <w:b/>
          <w:bCs/>
        </w:rPr>
      </w:pPr>
      <w:r w:rsidRPr="0086256E">
        <w:rPr>
          <w:rFonts w:ascii="Arial" w:hAnsi="Arial" w:cs="Arial"/>
          <w:b/>
          <w:bCs/>
        </w:rPr>
        <w:t>The Key Performance Indicator is:</w:t>
      </w:r>
    </w:p>
    <w:p w:rsidR="0086256E" w:rsidRPr="0086256E" w:rsidRDefault="0086256E" w:rsidP="0086256E">
      <w:pPr>
        <w:spacing w:line="360" w:lineRule="auto"/>
        <w:jc w:val="both"/>
        <w:rPr>
          <w:rFonts w:ascii="Arial" w:hAnsi="Arial" w:cs="Arial"/>
        </w:rPr>
      </w:pPr>
      <w:r w:rsidRPr="0086256E">
        <w:rPr>
          <w:rFonts w:ascii="Arial" w:hAnsi="Arial" w:cs="Arial"/>
          <w:b/>
          <w:bCs/>
        </w:rPr>
        <w:t>“Increase online sales revenue by 30% within twelve months of implementing the new e-commerce platform.”</w:t>
      </w:r>
    </w:p>
    <w:tbl>
      <w:tblPr>
        <w:tblStyle w:val="GridTable5Dark-Accent3"/>
        <w:tblW w:w="0" w:type="auto"/>
        <w:tblLook w:val="04A0" w:firstRow="1" w:lastRow="0" w:firstColumn="1" w:lastColumn="0" w:noHBand="0" w:noVBand="1"/>
      </w:tblPr>
      <w:tblGrid>
        <w:gridCol w:w="1593"/>
        <w:gridCol w:w="7757"/>
      </w:tblGrid>
      <w:tr w:rsidR="0086256E" w:rsidRPr="0086256E" w:rsidTr="00F90F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6256E" w:rsidRPr="0086256E" w:rsidRDefault="0086256E" w:rsidP="00F90FAA">
            <w:pPr>
              <w:spacing w:after="160" w:line="360" w:lineRule="auto"/>
              <w:rPr>
                <w:rFonts w:ascii="Arial" w:hAnsi="Arial" w:cs="Arial"/>
                <w:color w:val="000000" w:themeColor="text1"/>
              </w:rPr>
            </w:pPr>
            <w:r w:rsidRPr="0086256E">
              <w:rPr>
                <w:rFonts w:ascii="Arial" w:hAnsi="Arial" w:cs="Arial"/>
                <w:color w:val="000000" w:themeColor="text1"/>
              </w:rPr>
              <w:t>Criterion</w:t>
            </w:r>
          </w:p>
        </w:tc>
        <w:tc>
          <w:tcPr>
            <w:tcW w:w="0" w:type="auto"/>
            <w:hideMark/>
          </w:tcPr>
          <w:p w:rsidR="0086256E" w:rsidRPr="0086256E" w:rsidRDefault="0086256E" w:rsidP="00F90FA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86256E">
              <w:rPr>
                <w:rFonts w:ascii="Arial" w:hAnsi="Arial" w:cs="Arial"/>
                <w:color w:val="000000" w:themeColor="text1"/>
              </w:rPr>
              <w:t>Explanation</w:t>
            </w:r>
          </w:p>
        </w:tc>
      </w:tr>
      <w:tr w:rsidR="0086256E" w:rsidRPr="0086256E" w:rsidTr="00F90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6256E" w:rsidRPr="0086256E" w:rsidRDefault="0086256E" w:rsidP="00F90FAA">
            <w:pPr>
              <w:spacing w:after="160" w:line="360" w:lineRule="auto"/>
              <w:rPr>
                <w:rFonts w:ascii="Arial" w:hAnsi="Arial" w:cs="Arial"/>
                <w:color w:val="000000" w:themeColor="text1"/>
              </w:rPr>
            </w:pPr>
            <w:r w:rsidRPr="0086256E">
              <w:rPr>
                <w:rFonts w:ascii="Arial" w:hAnsi="Arial" w:cs="Arial"/>
                <w:color w:val="000000" w:themeColor="text1"/>
              </w:rPr>
              <w:t>Specific</w:t>
            </w:r>
          </w:p>
        </w:tc>
        <w:tc>
          <w:tcPr>
            <w:tcW w:w="0" w:type="auto"/>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6256E">
              <w:rPr>
                <w:rFonts w:ascii="Arial" w:hAnsi="Arial" w:cs="Arial"/>
                <w:color w:val="000000" w:themeColor="text1"/>
              </w:rPr>
              <w:t>Focuses on online sales through the newly launched e-commerce website.</w:t>
            </w:r>
          </w:p>
        </w:tc>
      </w:tr>
      <w:tr w:rsidR="0086256E" w:rsidRPr="0086256E" w:rsidTr="00F90FAA">
        <w:tc>
          <w:tcPr>
            <w:cnfStyle w:val="001000000000" w:firstRow="0" w:lastRow="0" w:firstColumn="1" w:lastColumn="0" w:oddVBand="0" w:evenVBand="0" w:oddHBand="0" w:evenHBand="0" w:firstRowFirstColumn="0" w:firstRowLastColumn="0" w:lastRowFirstColumn="0" w:lastRowLastColumn="0"/>
            <w:tcW w:w="0" w:type="auto"/>
            <w:hideMark/>
          </w:tcPr>
          <w:p w:rsidR="0086256E" w:rsidRPr="0086256E" w:rsidRDefault="0086256E" w:rsidP="00F90FAA">
            <w:pPr>
              <w:spacing w:after="160" w:line="360" w:lineRule="auto"/>
              <w:rPr>
                <w:rFonts w:ascii="Arial" w:hAnsi="Arial" w:cs="Arial"/>
                <w:color w:val="000000" w:themeColor="text1"/>
              </w:rPr>
            </w:pPr>
            <w:r w:rsidRPr="0086256E">
              <w:rPr>
                <w:rFonts w:ascii="Arial" w:hAnsi="Arial" w:cs="Arial"/>
                <w:color w:val="000000" w:themeColor="text1"/>
              </w:rPr>
              <w:t>Measurable</w:t>
            </w:r>
          </w:p>
        </w:tc>
        <w:tc>
          <w:tcPr>
            <w:tcW w:w="0" w:type="auto"/>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6256E">
              <w:rPr>
                <w:rFonts w:ascii="Arial" w:hAnsi="Arial" w:cs="Arial"/>
                <w:color w:val="000000" w:themeColor="text1"/>
              </w:rPr>
              <w:t>Tracked through monthly digital analytics and sales reports showing percentage increase.</w:t>
            </w:r>
          </w:p>
        </w:tc>
      </w:tr>
      <w:tr w:rsidR="0086256E" w:rsidRPr="0086256E" w:rsidTr="00F90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6256E" w:rsidRPr="0086256E" w:rsidRDefault="0086256E" w:rsidP="00F90FAA">
            <w:pPr>
              <w:spacing w:after="160" w:line="360" w:lineRule="auto"/>
              <w:rPr>
                <w:rFonts w:ascii="Arial" w:hAnsi="Arial" w:cs="Arial"/>
                <w:color w:val="000000" w:themeColor="text1"/>
              </w:rPr>
            </w:pPr>
            <w:r w:rsidRPr="0086256E">
              <w:rPr>
                <w:rFonts w:ascii="Arial" w:hAnsi="Arial" w:cs="Arial"/>
                <w:color w:val="000000" w:themeColor="text1"/>
              </w:rPr>
              <w:t>Attainable</w:t>
            </w:r>
          </w:p>
        </w:tc>
        <w:tc>
          <w:tcPr>
            <w:tcW w:w="0" w:type="auto"/>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6256E">
              <w:rPr>
                <w:rFonts w:ascii="Arial" w:hAnsi="Arial" w:cs="Arial"/>
                <w:color w:val="000000" w:themeColor="text1"/>
              </w:rPr>
              <w:t>Target is realistic given increased market reach via SEO and online marketing campaigns.</w:t>
            </w:r>
          </w:p>
        </w:tc>
      </w:tr>
      <w:tr w:rsidR="0086256E" w:rsidRPr="0086256E" w:rsidTr="00F90FAA">
        <w:tc>
          <w:tcPr>
            <w:cnfStyle w:val="001000000000" w:firstRow="0" w:lastRow="0" w:firstColumn="1" w:lastColumn="0" w:oddVBand="0" w:evenVBand="0" w:oddHBand="0" w:evenHBand="0" w:firstRowFirstColumn="0" w:firstRowLastColumn="0" w:lastRowFirstColumn="0" w:lastRowLastColumn="0"/>
            <w:tcW w:w="0" w:type="auto"/>
            <w:hideMark/>
          </w:tcPr>
          <w:p w:rsidR="0086256E" w:rsidRPr="0086256E" w:rsidRDefault="0086256E" w:rsidP="00F90FAA">
            <w:pPr>
              <w:spacing w:after="160" w:line="360" w:lineRule="auto"/>
              <w:rPr>
                <w:rFonts w:ascii="Arial" w:hAnsi="Arial" w:cs="Arial"/>
                <w:color w:val="000000" w:themeColor="text1"/>
              </w:rPr>
            </w:pPr>
            <w:r w:rsidRPr="0086256E">
              <w:rPr>
                <w:rFonts w:ascii="Arial" w:hAnsi="Arial" w:cs="Arial"/>
                <w:color w:val="000000" w:themeColor="text1"/>
              </w:rPr>
              <w:t>Relevant</w:t>
            </w:r>
          </w:p>
        </w:tc>
        <w:tc>
          <w:tcPr>
            <w:tcW w:w="0" w:type="auto"/>
            <w:hideMark/>
          </w:tcPr>
          <w:p w:rsidR="0086256E" w:rsidRPr="0086256E" w:rsidRDefault="0086256E" w:rsidP="00F90FA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86256E">
              <w:rPr>
                <w:rFonts w:ascii="Arial" w:hAnsi="Arial" w:cs="Arial"/>
                <w:color w:val="000000" w:themeColor="text1"/>
              </w:rPr>
              <w:t>Directly addresses the business’s main challenge of declining in-store sales.</w:t>
            </w:r>
          </w:p>
        </w:tc>
      </w:tr>
      <w:tr w:rsidR="0086256E" w:rsidRPr="0086256E" w:rsidTr="00F90F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86256E" w:rsidRPr="0086256E" w:rsidRDefault="0086256E" w:rsidP="00F90FAA">
            <w:pPr>
              <w:spacing w:after="160" w:line="360" w:lineRule="auto"/>
              <w:rPr>
                <w:rFonts w:ascii="Arial" w:hAnsi="Arial" w:cs="Arial"/>
                <w:color w:val="000000" w:themeColor="text1"/>
              </w:rPr>
            </w:pPr>
            <w:r w:rsidRPr="0086256E">
              <w:rPr>
                <w:rFonts w:ascii="Arial" w:hAnsi="Arial" w:cs="Arial"/>
                <w:color w:val="000000" w:themeColor="text1"/>
              </w:rPr>
              <w:t>Time-Bound</w:t>
            </w:r>
          </w:p>
        </w:tc>
        <w:tc>
          <w:tcPr>
            <w:tcW w:w="0" w:type="auto"/>
            <w:hideMark/>
          </w:tcPr>
          <w:p w:rsidR="0086256E" w:rsidRPr="0086256E" w:rsidRDefault="0086256E" w:rsidP="00F90FA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86256E">
              <w:rPr>
                <w:rFonts w:ascii="Arial" w:hAnsi="Arial" w:cs="Arial"/>
                <w:color w:val="000000" w:themeColor="text1"/>
              </w:rPr>
              <w:t>To be achieved within twelve months post-implementation.</w:t>
            </w:r>
          </w:p>
        </w:tc>
      </w:tr>
    </w:tbl>
    <w:p w:rsidR="0086256E" w:rsidRPr="0086256E" w:rsidRDefault="0086256E" w:rsidP="0086256E">
      <w:pPr>
        <w:spacing w:line="360" w:lineRule="auto"/>
        <w:jc w:val="both"/>
        <w:rPr>
          <w:rFonts w:ascii="Arial" w:hAnsi="Arial" w:cs="Arial"/>
        </w:rPr>
      </w:pPr>
    </w:p>
    <w:sectPr w:rsidR="0086256E" w:rsidRPr="0086256E" w:rsidSect="00FE3F04">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7261" w:rsidRDefault="00647261" w:rsidP="00F90FAA">
      <w:pPr>
        <w:spacing w:after="0" w:line="240" w:lineRule="auto"/>
      </w:pPr>
      <w:r>
        <w:separator/>
      </w:r>
    </w:p>
  </w:endnote>
  <w:endnote w:type="continuationSeparator" w:id="0">
    <w:p w:rsidR="00647261" w:rsidRDefault="00647261" w:rsidP="00F90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109557"/>
      <w:docPartObj>
        <w:docPartGallery w:val="Page Numbers (Bottom of Page)"/>
        <w:docPartUnique/>
      </w:docPartObj>
    </w:sdtPr>
    <w:sdtEndPr>
      <w:rPr>
        <w:rFonts w:ascii="Arial" w:hAnsi="Arial" w:cs="Arial"/>
        <w:noProof/>
      </w:rPr>
    </w:sdtEndPr>
    <w:sdtContent>
      <w:p w:rsidR="006E55BB" w:rsidRPr="006E55BB" w:rsidRDefault="006E55BB">
        <w:pPr>
          <w:pStyle w:val="Footer"/>
          <w:jc w:val="right"/>
          <w:rPr>
            <w:rFonts w:ascii="Arial" w:hAnsi="Arial" w:cs="Arial"/>
          </w:rPr>
        </w:pPr>
        <w:r w:rsidRPr="006E55BB">
          <w:rPr>
            <w:rFonts w:ascii="Arial" w:hAnsi="Arial" w:cs="Arial"/>
          </w:rPr>
          <w:fldChar w:fldCharType="begin"/>
        </w:r>
        <w:r w:rsidRPr="006E55BB">
          <w:rPr>
            <w:rFonts w:ascii="Arial" w:hAnsi="Arial" w:cs="Arial"/>
          </w:rPr>
          <w:instrText xml:space="preserve"> PAGE   \* MERGEFORMAT </w:instrText>
        </w:r>
        <w:r w:rsidRPr="006E55BB">
          <w:rPr>
            <w:rFonts w:ascii="Arial" w:hAnsi="Arial" w:cs="Arial"/>
          </w:rPr>
          <w:fldChar w:fldCharType="separate"/>
        </w:r>
        <w:r w:rsidRPr="006E55BB">
          <w:rPr>
            <w:rFonts w:ascii="Arial" w:hAnsi="Arial" w:cs="Arial"/>
            <w:noProof/>
          </w:rPr>
          <w:t>2</w:t>
        </w:r>
        <w:r w:rsidRPr="006E55BB">
          <w:rPr>
            <w:rFonts w:ascii="Arial" w:hAnsi="Arial" w:cs="Arial"/>
            <w:noProof/>
          </w:rPr>
          <w:fldChar w:fldCharType="end"/>
        </w:r>
      </w:p>
    </w:sdtContent>
  </w:sdt>
  <w:p w:rsidR="006E55BB" w:rsidRDefault="006E5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7261" w:rsidRDefault="00647261" w:rsidP="00F90FAA">
      <w:pPr>
        <w:spacing w:after="0" w:line="240" w:lineRule="auto"/>
      </w:pPr>
      <w:r>
        <w:separator/>
      </w:r>
    </w:p>
  </w:footnote>
  <w:footnote w:type="continuationSeparator" w:id="0">
    <w:p w:rsidR="00647261" w:rsidRDefault="00647261" w:rsidP="00F90F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578"/>
    <w:rsid w:val="0001733B"/>
    <w:rsid w:val="001540DB"/>
    <w:rsid w:val="00184779"/>
    <w:rsid w:val="001B3E44"/>
    <w:rsid w:val="001D796A"/>
    <w:rsid w:val="00243E8A"/>
    <w:rsid w:val="002B4005"/>
    <w:rsid w:val="00326726"/>
    <w:rsid w:val="003D03A3"/>
    <w:rsid w:val="003F0464"/>
    <w:rsid w:val="00495D8D"/>
    <w:rsid w:val="00522BC5"/>
    <w:rsid w:val="005B0258"/>
    <w:rsid w:val="005E6470"/>
    <w:rsid w:val="00647261"/>
    <w:rsid w:val="006A5C92"/>
    <w:rsid w:val="006E55BB"/>
    <w:rsid w:val="007000F7"/>
    <w:rsid w:val="0086256E"/>
    <w:rsid w:val="008B0499"/>
    <w:rsid w:val="008B1BD2"/>
    <w:rsid w:val="00950B50"/>
    <w:rsid w:val="009949EB"/>
    <w:rsid w:val="009A0E3B"/>
    <w:rsid w:val="009E2FB7"/>
    <w:rsid w:val="00A30F7E"/>
    <w:rsid w:val="00AD2401"/>
    <w:rsid w:val="00C37496"/>
    <w:rsid w:val="00CB0A3D"/>
    <w:rsid w:val="00CC7150"/>
    <w:rsid w:val="00CD3578"/>
    <w:rsid w:val="00D04A03"/>
    <w:rsid w:val="00D053C8"/>
    <w:rsid w:val="00E22668"/>
    <w:rsid w:val="00E67F05"/>
    <w:rsid w:val="00F219A6"/>
    <w:rsid w:val="00F90FAA"/>
    <w:rsid w:val="00FE1DDE"/>
    <w:rsid w:val="00FE3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155EB"/>
  <w15:chartTrackingRefBased/>
  <w15:docId w15:val="{7FF837E0-13EC-49E4-9CCD-26E16A608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56E"/>
    <w:pPr>
      <w:keepNext/>
      <w:keepLines/>
      <w:spacing w:before="360" w:after="80"/>
      <w:outlineLvl w:val="0"/>
    </w:pPr>
    <w:rPr>
      <w:rFonts w:ascii="Arial" w:eastAsiaTheme="majorEastAsia" w:hAnsi="Arial" w:cs="Arial"/>
      <w:b/>
      <w:bCs/>
      <w:color w:val="2F5496" w:themeColor="accent1" w:themeShade="BF"/>
      <w:sz w:val="32"/>
      <w:szCs w:val="32"/>
    </w:rPr>
  </w:style>
  <w:style w:type="paragraph" w:styleId="Heading2">
    <w:name w:val="heading 2"/>
    <w:basedOn w:val="Normal"/>
    <w:next w:val="Normal"/>
    <w:link w:val="Heading2Char"/>
    <w:uiPriority w:val="9"/>
    <w:unhideWhenUsed/>
    <w:qFormat/>
    <w:rsid w:val="00FE3F04"/>
    <w:pPr>
      <w:keepNext/>
      <w:keepLines/>
      <w:spacing w:before="160" w:after="80"/>
      <w:outlineLvl w:val="1"/>
    </w:pPr>
    <w:rPr>
      <w:rFonts w:ascii="Arial" w:eastAsiaTheme="majorEastAsia" w:hAnsi="Arial" w:cs="Arial"/>
      <w:color w:val="2F5496" w:themeColor="accent1" w:themeShade="BF"/>
      <w:sz w:val="28"/>
      <w:szCs w:val="28"/>
    </w:rPr>
  </w:style>
  <w:style w:type="paragraph" w:styleId="Heading3">
    <w:name w:val="heading 3"/>
    <w:basedOn w:val="Normal"/>
    <w:next w:val="Normal"/>
    <w:link w:val="Heading3Char"/>
    <w:uiPriority w:val="9"/>
    <w:semiHidden/>
    <w:unhideWhenUsed/>
    <w:qFormat/>
    <w:rsid w:val="00CD35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35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35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35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5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5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5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56E"/>
    <w:rPr>
      <w:rFonts w:ascii="Arial" w:eastAsiaTheme="majorEastAsia" w:hAnsi="Arial" w:cs="Arial"/>
      <w:b/>
      <w:bCs/>
      <w:color w:val="2F5496" w:themeColor="accent1" w:themeShade="BF"/>
      <w:sz w:val="32"/>
      <w:szCs w:val="32"/>
    </w:rPr>
  </w:style>
  <w:style w:type="character" w:customStyle="1" w:styleId="Heading2Char">
    <w:name w:val="Heading 2 Char"/>
    <w:basedOn w:val="DefaultParagraphFont"/>
    <w:link w:val="Heading2"/>
    <w:uiPriority w:val="9"/>
    <w:rsid w:val="00FE3F04"/>
    <w:rPr>
      <w:rFonts w:ascii="Arial" w:eastAsiaTheme="majorEastAsia" w:hAnsi="Arial" w:cs="Arial"/>
      <w:color w:val="2F5496" w:themeColor="accent1" w:themeShade="BF"/>
      <w:sz w:val="28"/>
      <w:szCs w:val="28"/>
    </w:rPr>
  </w:style>
  <w:style w:type="character" w:customStyle="1" w:styleId="Heading3Char">
    <w:name w:val="Heading 3 Char"/>
    <w:basedOn w:val="DefaultParagraphFont"/>
    <w:link w:val="Heading3"/>
    <w:uiPriority w:val="9"/>
    <w:semiHidden/>
    <w:rsid w:val="00CD35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35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35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35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5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5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578"/>
    <w:rPr>
      <w:rFonts w:eastAsiaTheme="majorEastAsia" w:cstheme="majorBidi"/>
      <w:color w:val="272727" w:themeColor="text1" w:themeTint="D8"/>
    </w:rPr>
  </w:style>
  <w:style w:type="paragraph" w:styleId="Title">
    <w:name w:val="Title"/>
    <w:basedOn w:val="Normal"/>
    <w:next w:val="Normal"/>
    <w:link w:val="TitleChar"/>
    <w:uiPriority w:val="10"/>
    <w:qFormat/>
    <w:rsid w:val="00CD35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5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5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5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578"/>
    <w:pPr>
      <w:spacing w:before="160"/>
      <w:jc w:val="center"/>
    </w:pPr>
    <w:rPr>
      <w:i/>
      <w:iCs/>
      <w:color w:val="404040" w:themeColor="text1" w:themeTint="BF"/>
    </w:rPr>
  </w:style>
  <w:style w:type="character" w:customStyle="1" w:styleId="QuoteChar">
    <w:name w:val="Quote Char"/>
    <w:basedOn w:val="DefaultParagraphFont"/>
    <w:link w:val="Quote"/>
    <w:uiPriority w:val="29"/>
    <w:rsid w:val="00CD3578"/>
    <w:rPr>
      <w:i/>
      <w:iCs/>
      <w:color w:val="404040" w:themeColor="text1" w:themeTint="BF"/>
    </w:rPr>
  </w:style>
  <w:style w:type="paragraph" w:styleId="ListParagraph">
    <w:name w:val="List Paragraph"/>
    <w:basedOn w:val="Normal"/>
    <w:uiPriority w:val="34"/>
    <w:qFormat/>
    <w:rsid w:val="00CD3578"/>
    <w:pPr>
      <w:ind w:left="720"/>
      <w:contextualSpacing/>
    </w:pPr>
  </w:style>
  <w:style w:type="character" w:styleId="IntenseEmphasis">
    <w:name w:val="Intense Emphasis"/>
    <w:basedOn w:val="DefaultParagraphFont"/>
    <w:uiPriority w:val="21"/>
    <w:qFormat/>
    <w:rsid w:val="00CD3578"/>
    <w:rPr>
      <w:i/>
      <w:iCs/>
      <w:color w:val="2F5496" w:themeColor="accent1" w:themeShade="BF"/>
    </w:rPr>
  </w:style>
  <w:style w:type="paragraph" w:styleId="IntenseQuote">
    <w:name w:val="Intense Quote"/>
    <w:basedOn w:val="Normal"/>
    <w:next w:val="Normal"/>
    <w:link w:val="IntenseQuoteChar"/>
    <w:uiPriority w:val="30"/>
    <w:qFormat/>
    <w:rsid w:val="00CD35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3578"/>
    <w:rPr>
      <w:i/>
      <w:iCs/>
      <w:color w:val="2F5496" w:themeColor="accent1" w:themeShade="BF"/>
    </w:rPr>
  </w:style>
  <w:style w:type="character" w:styleId="IntenseReference">
    <w:name w:val="Intense Reference"/>
    <w:basedOn w:val="DefaultParagraphFont"/>
    <w:uiPriority w:val="32"/>
    <w:qFormat/>
    <w:rsid w:val="00CD3578"/>
    <w:rPr>
      <w:b/>
      <w:bCs/>
      <w:smallCaps/>
      <w:color w:val="2F5496" w:themeColor="accent1" w:themeShade="BF"/>
      <w:spacing w:val="5"/>
    </w:rPr>
  </w:style>
  <w:style w:type="character" w:styleId="Hyperlink">
    <w:name w:val="Hyperlink"/>
    <w:basedOn w:val="DefaultParagraphFont"/>
    <w:uiPriority w:val="99"/>
    <w:unhideWhenUsed/>
    <w:rsid w:val="001B3E44"/>
    <w:rPr>
      <w:color w:val="0563C1" w:themeColor="hyperlink"/>
      <w:u w:val="single"/>
    </w:rPr>
  </w:style>
  <w:style w:type="character" w:styleId="UnresolvedMention">
    <w:name w:val="Unresolved Mention"/>
    <w:basedOn w:val="DefaultParagraphFont"/>
    <w:uiPriority w:val="99"/>
    <w:semiHidden/>
    <w:unhideWhenUsed/>
    <w:rsid w:val="001B3E44"/>
    <w:rPr>
      <w:color w:val="605E5C"/>
      <w:shd w:val="clear" w:color="auto" w:fill="E1DFDD"/>
    </w:rPr>
  </w:style>
  <w:style w:type="paragraph" w:styleId="Header">
    <w:name w:val="header"/>
    <w:basedOn w:val="Normal"/>
    <w:link w:val="HeaderChar"/>
    <w:uiPriority w:val="99"/>
    <w:unhideWhenUsed/>
    <w:rsid w:val="00F90F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FAA"/>
  </w:style>
  <w:style w:type="paragraph" w:styleId="Footer">
    <w:name w:val="footer"/>
    <w:basedOn w:val="Normal"/>
    <w:link w:val="FooterChar"/>
    <w:uiPriority w:val="99"/>
    <w:unhideWhenUsed/>
    <w:rsid w:val="00F90F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FAA"/>
  </w:style>
  <w:style w:type="table" w:styleId="GridTable5Dark-Accent3">
    <w:name w:val="Grid Table 5 Dark Accent 3"/>
    <w:basedOn w:val="TableNormal"/>
    <w:uiPriority w:val="50"/>
    <w:rsid w:val="00F90FA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FE3F04"/>
    <w:pPr>
      <w:spacing w:after="200" w:line="240" w:lineRule="auto"/>
    </w:pPr>
    <w:rPr>
      <w:i/>
      <w:iCs/>
      <w:color w:val="44546A" w:themeColor="text2"/>
      <w:sz w:val="18"/>
      <w:szCs w:val="18"/>
    </w:rPr>
  </w:style>
  <w:style w:type="paragraph" w:styleId="NoSpacing">
    <w:name w:val="No Spacing"/>
    <w:link w:val="NoSpacingChar"/>
    <w:uiPriority w:val="1"/>
    <w:qFormat/>
    <w:rsid w:val="00FE3F04"/>
    <w:pPr>
      <w:spacing w:after="0" w:line="240" w:lineRule="auto"/>
    </w:pPr>
    <w:rPr>
      <w:rFonts w:eastAsiaTheme="minorEastAsia"/>
      <w:kern w:val="0"/>
      <w:sz w:val="22"/>
      <w:szCs w:val="22"/>
    </w:rPr>
  </w:style>
  <w:style w:type="character" w:customStyle="1" w:styleId="NoSpacingChar">
    <w:name w:val="No Spacing Char"/>
    <w:basedOn w:val="DefaultParagraphFont"/>
    <w:link w:val="NoSpacing"/>
    <w:uiPriority w:val="1"/>
    <w:rsid w:val="00FE3F04"/>
    <w:rPr>
      <w:rFonts w:eastAsiaTheme="minorEastAsia"/>
      <w:kern w:val="0"/>
      <w:sz w:val="22"/>
      <w:szCs w:val="22"/>
    </w:rPr>
  </w:style>
  <w:style w:type="paragraph" w:styleId="TOCHeading">
    <w:name w:val="TOC Heading"/>
    <w:basedOn w:val="Heading1"/>
    <w:next w:val="Normal"/>
    <w:uiPriority w:val="39"/>
    <w:unhideWhenUsed/>
    <w:qFormat/>
    <w:rsid w:val="00FE3F04"/>
    <w:pPr>
      <w:spacing w:before="240" w:after="0" w:line="259" w:lineRule="auto"/>
      <w:outlineLvl w:val="9"/>
    </w:pPr>
    <w:rPr>
      <w:rFonts w:asciiTheme="majorHAnsi" w:hAnsiTheme="majorHAnsi" w:cstheme="majorBidi"/>
      <w:b w:val="0"/>
      <w:bCs w:val="0"/>
      <w:kern w:val="0"/>
    </w:rPr>
  </w:style>
  <w:style w:type="paragraph" w:styleId="TOC1">
    <w:name w:val="toc 1"/>
    <w:basedOn w:val="Normal"/>
    <w:next w:val="Normal"/>
    <w:autoRedefine/>
    <w:uiPriority w:val="39"/>
    <w:unhideWhenUsed/>
    <w:rsid w:val="00FE3F04"/>
    <w:pPr>
      <w:spacing w:after="100"/>
    </w:pPr>
  </w:style>
  <w:style w:type="paragraph" w:styleId="TOC2">
    <w:name w:val="toc 2"/>
    <w:basedOn w:val="Normal"/>
    <w:next w:val="Normal"/>
    <w:autoRedefine/>
    <w:uiPriority w:val="39"/>
    <w:unhideWhenUsed/>
    <w:rsid w:val="00FE3F0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indtools.com/a3mi00v/5-whys" TargetMode="External"/><Relationship Id="rId5" Type="http://schemas.openxmlformats.org/officeDocument/2006/relationships/footnotes" Target="footnotes.xml"/><Relationship Id="rId10" Type="http://schemas.openxmlformats.org/officeDocument/2006/relationships/hyperlink" Target="https://fabriq.tech/en/2025/07/30/what-is-5w2h-and-why-it-matters-in-manufacturing-excellence/" TargetMode="External"/><Relationship Id="rId4" Type="http://schemas.openxmlformats.org/officeDocument/2006/relationships/webSettings" Target="webSettings.xml"/><Relationship Id="rId9" Type="http://schemas.openxmlformats.org/officeDocument/2006/relationships/hyperlink" Target="https://www.cipd.org/en/knowledge/factsheets/pestle-analysis-factshe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E057E-A14D-4C8F-9928-F47AE923D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2652</Words>
  <Characters>15121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2025-11-04T12:24:00Z</dcterms:created>
  <dcterms:modified xsi:type="dcterms:W3CDTF">2025-11-04T20:08:00Z</dcterms:modified>
</cp:coreProperties>
</file>