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4F17B7A8" w:rsidP="5B27F937" w:rsidRDefault="4F17B7A8" w14:paraId="72462457" w14:textId="593883B2">
      <w:pPr>
        <w:spacing w:before="0" w:beforeAutospacing="off" w:after="0" w:afterAutospacing="off"/>
        <w:jc w:val="center"/>
        <w:rPr>
          <w:rFonts w:ascii="Arial Nova" w:hAnsi="Arial Nova" w:eastAsia="Arial Nova" w:cs="Arial Nova"/>
          <w:noProof w:val="0"/>
          <w:sz w:val="28"/>
          <w:szCs w:val="28"/>
          <w:lang w:val="en-GB"/>
        </w:rPr>
      </w:pPr>
      <w:r w:rsidRPr="5B27F937" w:rsidR="735FBA37">
        <w:rPr>
          <w:rFonts w:ascii="Arial Nova" w:hAnsi="Arial Nova" w:eastAsia="Arial Nova" w:cs="Arial Nova"/>
          <w:noProof w:val="0"/>
          <w:sz w:val="28"/>
          <w:szCs w:val="28"/>
          <w:lang w:val="en-GB"/>
        </w:rPr>
        <w:t xml:space="preserve"> </w:t>
      </w:r>
      <w:r>
        <w:tab/>
      </w:r>
      <w:r>
        <w:tab/>
      </w:r>
    </w:p>
    <w:p w:rsidR="4F17B7A8" w:rsidP="5B27F937" w:rsidRDefault="4F17B7A8" w14:paraId="1B9A69FC" w14:textId="727D57FA">
      <w:pPr>
        <w:pStyle w:val="Normal"/>
        <w:spacing w:before="0" w:beforeAutospacing="off" w:after="0" w:afterAutospacing="off"/>
        <w:jc w:val="center"/>
        <w:rPr>
          <w:rFonts w:ascii="Calibri" w:hAnsi="Calibri" w:eastAsia="Calibri" w:cs="Calibri"/>
          <w:noProof w:val="0"/>
          <w:sz w:val="24"/>
          <w:szCs w:val="24"/>
          <w:lang w:val="en-GB"/>
        </w:rPr>
      </w:pPr>
      <w:r w:rsidRPr="5B27F937" w:rsidR="5E4B50EF">
        <w:rPr>
          <w:rFonts w:ascii="Calibri" w:hAnsi="Calibri" w:eastAsia="Calibri" w:cs="Calibri"/>
          <w:noProof w:val="0"/>
          <w:sz w:val="24"/>
          <w:szCs w:val="24"/>
          <w:lang w:val="en-GB"/>
        </w:rPr>
        <w:t xml:space="preserve"> </w:t>
      </w:r>
      <w:r>
        <w:tab/>
      </w:r>
      <w:r>
        <w:tab/>
      </w:r>
    </w:p>
    <w:p w:rsidR="4F17B7A8" w:rsidP="5B27F937" w:rsidRDefault="4F17B7A8" w14:paraId="3DBA0DBD" w14:textId="27C5173C">
      <w:pPr>
        <w:spacing w:before="0" w:beforeAutospacing="off" w:after="0" w:afterAutospacing="off"/>
        <w:jc w:val="center"/>
        <w:rPr>
          <w:rFonts w:ascii="Calibri" w:hAnsi="Calibri" w:eastAsia="Calibri" w:cs="Calibri"/>
          <w:noProof w:val="0"/>
          <w:sz w:val="24"/>
          <w:szCs w:val="24"/>
          <w:lang w:val="en-GB"/>
        </w:rPr>
      </w:pPr>
      <w:r w:rsidRPr="6D89EFEE" w:rsidR="38B2523D">
        <w:rPr>
          <w:rFonts w:ascii="Calibri" w:hAnsi="Calibri" w:eastAsia="Calibri" w:cs="Calibri"/>
          <w:noProof w:val="0"/>
          <w:sz w:val="24"/>
          <w:szCs w:val="24"/>
          <w:lang w:val="en-GB"/>
        </w:rPr>
        <w:t xml:space="preserve"> </w:t>
      </w:r>
      <w:r>
        <w:tab/>
      </w:r>
      <w:r>
        <w:tab/>
      </w:r>
    </w:p>
    <w:p w:rsidR="4F17B7A8" w:rsidP="6D89EFEE" w:rsidRDefault="4F17B7A8" w14:paraId="1F6C207B" w14:textId="623504BD">
      <w:pPr>
        <w:pStyle w:val="Normal"/>
        <w:spacing w:beforeAutospacing="on" w:afterAutospacing="on"/>
        <w:jc w:val="left"/>
      </w:pPr>
      <w:r w:rsidR="32B3FC29">
        <w:drawing>
          <wp:inline wp14:editId="3D61BDFC" wp14:anchorId="231570A0">
            <wp:extent cx="3038475" cy="1220584"/>
            <wp:effectExtent l="0" t="0" r="0" b="0"/>
            <wp:docPr id="1706363600" name="drawing" title="UWTSD logo | Discover Dylan Thoma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6363600" name="Picture 1706363600"/>
                    <pic:cNvPicPr/>
                  </pic:nvPicPr>
                  <pic:blipFill>
                    <a:blip xmlns:r="http://schemas.openxmlformats.org/officeDocument/2006/relationships" r:embed="rId252635864">
                      <a:extLst>
                        <a:ext uri="{28A0092B-C50C-407E-A947-70E740481C1C}">
                          <a14:useLocalDpi xmlns:a14="http://schemas.microsoft.com/office/drawing/2010/main"/>
                        </a:ext>
                      </a:extLst>
                    </a:blip>
                    <a:stretch>
                      <a:fillRect/>
                    </a:stretch>
                  </pic:blipFill>
                  <pic:spPr>
                    <a:xfrm rot="0">
                      <a:off x="0" y="0"/>
                      <a:ext cx="3038475" cy="1220584"/>
                    </a:xfrm>
                    <a:prstGeom prst="rect">
                      <a:avLst/>
                    </a:prstGeom>
                  </pic:spPr>
                </pic:pic>
              </a:graphicData>
            </a:graphic>
          </wp:inline>
        </w:drawing>
      </w:r>
    </w:p>
    <w:p w:rsidR="6D89EFEE" w:rsidP="6D89EFEE" w:rsidRDefault="6D89EFEE" w14:paraId="711C1D18" w14:textId="39AB3872">
      <w:pPr>
        <w:pStyle w:val="Normal"/>
        <w:spacing w:beforeAutospacing="on" w:afterAutospacing="on"/>
        <w:jc w:val="left"/>
      </w:pPr>
    </w:p>
    <w:p w:rsidR="4F17B7A8" w:rsidP="4F17B7A8" w:rsidRDefault="4F17B7A8" w14:paraId="3C692366" w14:textId="6AAC607D">
      <w:pPr>
        <w:spacing w:beforeAutospacing="on" w:afterAutospacing="on"/>
        <w:jc w:val="center"/>
        <w:outlineLvl w:val="0"/>
        <w:rPr>
          <w:rFonts w:ascii="Arial Nova" w:hAnsi="Arial Nova" w:eastAsia="Arial Nova" w:cs="Arial Nova"/>
          <w:b w:val="1"/>
          <w:bCs w:val="1"/>
          <w:color w:val="000000" w:themeColor="text1" w:themeTint="FF" w:themeShade="FF"/>
          <w:sz w:val="28"/>
          <w:szCs w:val="28"/>
          <w:lang w:eastAsia="en-GB"/>
        </w:rPr>
      </w:pPr>
    </w:p>
    <w:p w:rsidR="4F17B7A8" w:rsidP="4F17B7A8" w:rsidRDefault="4F17B7A8" w14:paraId="0B6CF313" w14:textId="038A476D">
      <w:pPr>
        <w:spacing w:beforeAutospacing="on" w:afterAutospacing="on"/>
        <w:jc w:val="center"/>
        <w:outlineLvl w:val="0"/>
        <w:rPr>
          <w:rFonts w:ascii="Arial Nova" w:hAnsi="Arial Nova" w:eastAsia="Arial Nova" w:cs="Arial Nova"/>
          <w:b w:val="1"/>
          <w:bCs w:val="1"/>
          <w:color w:val="000000" w:themeColor="text1" w:themeTint="FF" w:themeShade="FF"/>
          <w:sz w:val="28"/>
          <w:szCs w:val="28"/>
          <w:lang w:eastAsia="en-GB"/>
        </w:rPr>
      </w:pPr>
    </w:p>
    <w:p w:rsidR="4F17B7A8" w:rsidP="4F17B7A8" w:rsidRDefault="4F17B7A8" w14:paraId="4CC91D56" w14:textId="133C85C3">
      <w:pPr>
        <w:spacing w:beforeAutospacing="on" w:afterAutospacing="on"/>
        <w:jc w:val="center"/>
        <w:outlineLvl w:val="0"/>
        <w:rPr>
          <w:rFonts w:ascii="Arial Nova" w:hAnsi="Arial Nova" w:eastAsia="Arial Nova" w:cs="Arial Nova"/>
          <w:b w:val="1"/>
          <w:bCs w:val="1"/>
          <w:color w:val="000000" w:themeColor="text1" w:themeTint="FF" w:themeShade="FF"/>
          <w:sz w:val="28"/>
          <w:szCs w:val="28"/>
          <w:lang w:eastAsia="en-GB"/>
        </w:rPr>
      </w:pPr>
    </w:p>
    <w:p w:rsidR="4F17B7A8" w:rsidP="4D91E648" w:rsidRDefault="4F17B7A8" w14:paraId="1AFC5C2B" w14:textId="60A0BD6B">
      <w:pPr>
        <w:pStyle w:val="Normal"/>
        <w:spacing w:beforeAutospacing="on" w:afterAutospacing="on"/>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4D91E648" w:rsidR="7D2D1BD5">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Student </w:t>
      </w:r>
      <w:r w:rsidRPr="4D91E648" w:rsidR="63F1AFFB">
        <w:rPr>
          <w:rFonts w:ascii="Arial Nova" w:hAnsi="Arial Nova" w:eastAsia="Arial Nova" w:cs="Arial Nova"/>
          <w:b w:val="1"/>
          <w:bCs w:val="1"/>
          <w:i w:val="0"/>
          <w:iCs w:val="0"/>
          <w:caps w:val="0"/>
          <w:smallCaps w:val="0"/>
          <w:noProof w:val="0"/>
          <w:color w:val="000000" w:themeColor="text1" w:themeTint="FF" w:themeShade="FF"/>
          <w:sz w:val="28"/>
          <w:szCs w:val="28"/>
          <w:lang w:val="en-GB"/>
        </w:rPr>
        <w:t>N</w:t>
      </w:r>
      <w:r w:rsidRPr="4D91E648" w:rsidR="7D2D1BD5">
        <w:rPr>
          <w:rFonts w:ascii="Arial Nova" w:hAnsi="Arial Nova" w:eastAsia="Arial Nova" w:cs="Arial Nova"/>
          <w:b w:val="1"/>
          <w:bCs w:val="1"/>
          <w:i w:val="0"/>
          <w:iCs w:val="0"/>
          <w:caps w:val="0"/>
          <w:smallCaps w:val="0"/>
          <w:noProof w:val="0"/>
          <w:color w:val="000000" w:themeColor="text1" w:themeTint="FF" w:themeShade="FF"/>
          <w:sz w:val="28"/>
          <w:szCs w:val="28"/>
          <w:lang w:val="en-GB"/>
        </w:rPr>
        <w:t>ame: Sima Pervin</w:t>
      </w:r>
    </w:p>
    <w:p w:rsidR="4F17B7A8" w:rsidP="4D91E648" w:rsidRDefault="4F17B7A8" w14:paraId="6CD1748F" w14:textId="5BCBCD6F">
      <w:pPr>
        <w:spacing w:beforeAutospacing="on" w:afterAutospacing="on"/>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4D91E648" w:rsidR="10003BED">
        <w:rPr>
          <w:rFonts w:ascii="Arial Nova" w:hAnsi="Arial Nova" w:eastAsia="Arial Nova" w:cs="Arial Nova"/>
          <w:b w:val="1"/>
          <w:bCs w:val="1"/>
          <w:i w:val="0"/>
          <w:iCs w:val="0"/>
          <w:caps w:val="0"/>
          <w:smallCaps w:val="0"/>
          <w:noProof w:val="0"/>
          <w:color w:val="000000" w:themeColor="text1" w:themeTint="FF" w:themeShade="FF"/>
          <w:sz w:val="28"/>
          <w:szCs w:val="28"/>
          <w:lang w:val="en-GB"/>
        </w:rPr>
        <w:t>Student ID</w:t>
      </w:r>
      <w:r w:rsidRPr="4D91E648" w:rsidR="10003BED">
        <w:rPr>
          <w:rFonts w:ascii="Arial Nova" w:hAnsi="Arial Nova" w:eastAsia="Arial Nova" w:cs="Arial Nova"/>
          <w:b w:val="1"/>
          <w:bCs w:val="1"/>
          <w:i w:val="0"/>
          <w:iCs w:val="0"/>
          <w:caps w:val="0"/>
          <w:smallCaps w:val="0"/>
          <w:noProof w:val="0"/>
          <w:color w:val="000000" w:themeColor="text1" w:themeTint="FF" w:themeShade="FF"/>
          <w:sz w:val="28"/>
          <w:szCs w:val="28"/>
          <w:lang w:val="en-GB"/>
        </w:rPr>
        <w:t>:242854</w:t>
      </w:r>
    </w:p>
    <w:p w:rsidR="4F17B7A8" w:rsidP="5B27F937" w:rsidRDefault="4F17B7A8" w14:paraId="0E2E7B0D" w14:textId="035BAF69">
      <w:pPr>
        <w:spacing w:beforeAutospacing="on" w:afterAutospacing="on"/>
      </w:pPr>
      <w:r w:rsidRPr="74D130E6" w:rsidR="438E75A6">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Module </w:t>
      </w:r>
      <w:r w:rsidRPr="74D130E6" w:rsidR="656D1110">
        <w:rPr>
          <w:rFonts w:ascii="Arial Nova" w:hAnsi="Arial Nova" w:eastAsia="Arial Nova" w:cs="Arial Nova"/>
          <w:b w:val="1"/>
          <w:bCs w:val="1"/>
          <w:i w:val="0"/>
          <w:iCs w:val="0"/>
          <w:caps w:val="0"/>
          <w:smallCaps w:val="0"/>
          <w:noProof w:val="0"/>
          <w:color w:val="000000" w:themeColor="text1" w:themeTint="FF" w:themeShade="FF"/>
          <w:sz w:val="28"/>
          <w:szCs w:val="28"/>
          <w:lang w:val="en-GB"/>
        </w:rPr>
        <w:t>C</w:t>
      </w:r>
      <w:r w:rsidRPr="74D130E6" w:rsidR="438E75A6">
        <w:rPr>
          <w:rFonts w:ascii="Arial Nova" w:hAnsi="Arial Nova" w:eastAsia="Arial Nova" w:cs="Arial Nova"/>
          <w:b w:val="1"/>
          <w:bCs w:val="1"/>
          <w:i w:val="0"/>
          <w:iCs w:val="0"/>
          <w:caps w:val="0"/>
          <w:smallCaps w:val="0"/>
          <w:noProof w:val="0"/>
          <w:color w:val="000000" w:themeColor="text1" w:themeTint="FF" w:themeShade="FF"/>
          <w:sz w:val="28"/>
          <w:szCs w:val="28"/>
          <w:lang w:val="en-GB"/>
        </w:rPr>
        <w:t>ode</w:t>
      </w:r>
      <w:r w:rsidRPr="74D130E6" w:rsidR="438E75A6">
        <w:rPr>
          <w:rFonts w:ascii="Arial Nova" w:hAnsi="Arial Nova" w:eastAsia="Arial Nova" w:cs="Arial Nova"/>
          <w:b w:val="1"/>
          <w:bCs w:val="1"/>
          <w:i w:val="0"/>
          <w:iCs w:val="0"/>
          <w:caps w:val="0"/>
          <w:smallCaps w:val="0"/>
          <w:noProof w:val="0"/>
          <w:color w:val="000000" w:themeColor="text1" w:themeTint="FF" w:themeShade="FF"/>
          <w:sz w:val="32"/>
          <w:szCs w:val="32"/>
          <w:lang w:val="en-GB"/>
        </w:rPr>
        <w:t>:</w:t>
      </w:r>
      <w:r w:rsidRPr="74D130E6" w:rsidR="438E75A6">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 </w:t>
      </w:r>
      <w:r w:rsidRPr="74D130E6" w:rsidR="438E75A6">
        <w:rPr>
          <w:rFonts w:ascii="Arial" w:hAnsi="Arial" w:eastAsia="Arial" w:cs="Arial"/>
          <w:b w:val="1"/>
          <w:bCs w:val="1"/>
          <w:i w:val="0"/>
          <w:iCs w:val="0"/>
          <w:caps w:val="0"/>
          <w:smallCaps w:val="0"/>
          <w:noProof w:val="0"/>
          <w:color w:val="000000" w:themeColor="text1" w:themeTint="FF" w:themeShade="FF"/>
          <w:sz w:val="28"/>
          <w:szCs w:val="28"/>
          <w:lang w:val="en-GB"/>
        </w:rPr>
        <w:t>BMHP5021</w:t>
      </w:r>
    </w:p>
    <w:p w:rsidR="4F17B7A8" w:rsidP="74D130E6" w:rsidRDefault="4F17B7A8" w14:paraId="6CEDA5F8" w14:textId="6A4B503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4D130E6" w:rsidR="018D4C07">
        <w:rPr>
          <w:rFonts w:ascii="Arial Nova" w:hAnsi="Arial Nova" w:eastAsia="Arial Nova" w:cs="Arial Nova"/>
          <w:b w:val="1"/>
          <w:bCs w:val="1"/>
          <w:i w:val="0"/>
          <w:iCs w:val="0"/>
          <w:caps w:val="0"/>
          <w:smallCaps w:val="0"/>
          <w:noProof w:val="0"/>
          <w:color w:val="000000" w:themeColor="text1" w:themeTint="FF" w:themeShade="FF"/>
          <w:sz w:val="28"/>
          <w:szCs w:val="28"/>
          <w:lang w:val="en-GB"/>
        </w:rPr>
        <w:t>Programme: BSc (Hons) Health and Social Care</w:t>
      </w:r>
    </w:p>
    <w:p w:rsidR="4F17B7A8" w:rsidP="74D130E6" w:rsidRDefault="4F17B7A8" w14:paraId="34D73A1D" w14:textId="33A8DD14">
      <w:pPr>
        <w:pStyle w:val="Normal"/>
        <w:spacing w:beforeAutospacing="on" w:afterAutospacing="on"/>
        <w:rPr>
          <w:rFonts w:ascii="Arial" w:hAnsi="Arial" w:eastAsia="Arial" w:cs="Arial"/>
          <w:b w:val="0"/>
          <w:bCs w:val="0"/>
          <w:i w:val="0"/>
          <w:iCs w:val="0"/>
          <w:caps w:val="0"/>
          <w:smallCaps w:val="0"/>
          <w:noProof w:val="0"/>
          <w:color w:val="000000" w:themeColor="text1" w:themeTint="FF" w:themeShade="FF"/>
          <w:sz w:val="28"/>
          <w:szCs w:val="28"/>
          <w:lang w:val="en-GB"/>
        </w:rPr>
      </w:pPr>
      <w:r w:rsidRPr="74D130E6" w:rsidR="438E75A6">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Module </w:t>
      </w:r>
      <w:r w:rsidRPr="74D130E6" w:rsidR="1F4C8390">
        <w:rPr>
          <w:rFonts w:ascii="Arial Nova" w:hAnsi="Arial Nova" w:eastAsia="Arial Nova" w:cs="Arial Nova"/>
          <w:b w:val="1"/>
          <w:bCs w:val="1"/>
          <w:i w:val="0"/>
          <w:iCs w:val="0"/>
          <w:caps w:val="0"/>
          <w:smallCaps w:val="0"/>
          <w:noProof w:val="0"/>
          <w:color w:val="000000" w:themeColor="text1" w:themeTint="FF" w:themeShade="FF"/>
          <w:sz w:val="28"/>
          <w:szCs w:val="28"/>
          <w:lang w:val="en-GB"/>
        </w:rPr>
        <w:t>N</w:t>
      </w:r>
      <w:r w:rsidRPr="74D130E6" w:rsidR="438E75A6">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ame: </w:t>
      </w:r>
      <w:r w:rsidRPr="74D130E6" w:rsidR="438E75A6">
        <w:rPr>
          <w:rFonts w:ascii="Arial" w:hAnsi="Arial" w:eastAsia="Arial" w:cs="Arial"/>
          <w:b w:val="1"/>
          <w:bCs w:val="1"/>
          <w:i w:val="0"/>
          <w:iCs w:val="0"/>
          <w:caps w:val="0"/>
          <w:smallCaps w:val="0"/>
          <w:noProof w:val="0"/>
          <w:color w:val="000000" w:themeColor="text1" w:themeTint="FF" w:themeShade="FF"/>
          <w:sz w:val="28"/>
          <w:szCs w:val="28"/>
          <w:lang w:val="en-GB"/>
        </w:rPr>
        <w:t>Protecting and Supporting Families in Health and     Care</w:t>
      </w:r>
    </w:p>
    <w:p w:rsidR="4F17B7A8" w:rsidP="4D91E648" w:rsidRDefault="4F17B7A8" w14:paraId="71EB8BC0" w14:textId="45F9B9A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4D91E648" w:rsidR="7D2D1BD5">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Lecturer </w:t>
      </w:r>
      <w:r w:rsidRPr="4D91E648" w:rsidR="04127FFB">
        <w:rPr>
          <w:rFonts w:ascii="Arial Nova" w:hAnsi="Arial Nova" w:eastAsia="Arial Nova" w:cs="Arial Nova"/>
          <w:b w:val="1"/>
          <w:bCs w:val="1"/>
          <w:i w:val="0"/>
          <w:iCs w:val="0"/>
          <w:caps w:val="0"/>
          <w:smallCaps w:val="0"/>
          <w:noProof w:val="0"/>
          <w:color w:val="000000" w:themeColor="text1" w:themeTint="FF" w:themeShade="FF"/>
          <w:sz w:val="28"/>
          <w:szCs w:val="28"/>
          <w:lang w:val="en-GB"/>
        </w:rPr>
        <w:t>N</w:t>
      </w:r>
      <w:r w:rsidRPr="4D91E648" w:rsidR="5E766770">
        <w:rPr>
          <w:rFonts w:ascii="Arial Nova" w:hAnsi="Arial Nova" w:eastAsia="Arial Nova" w:cs="Arial Nova"/>
          <w:b w:val="1"/>
          <w:bCs w:val="1"/>
          <w:i w:val="0"/>
          <w:iCs w:val="0"/>
          <w:caps w:val="0"/>
          <w:smallCaps w:val="0"/>
          <w:noProof w:val="0"/>
          <w:color w:val="000000" w:themeColor="text1" w:themeTint="FF" w:themeShade="FF"/>
          <w:sz w:val="28"/>
          <w:szCs w:val="28"/>
          <w:lang w:val="en-GB"/>
        </w:rPr>
        <w:t>ame: ￼</w:t>
      </w:r>
      <w:r w:rsidRPr="4D91E648" w:rsidR="7D2D1BD5">
        <w:rPr>
          <w:rFonts w:ascii="Arial" w:hAnsi="Arial" w:eastAsia="Arial" w:cs="Arial"/>
          <w:b w:val="1"/>
          <w:bCs w:val="1"/>
          <w:i w:val="0"/>
          <w:iCs w:val="0"/>
          <w:caps w:val="0"/>
          <w:smallCaps w:val="0"/>
          <w:noProof w:val="0"/>
          <w:color w:val="000000" w:themeColor="text1" w:themeTint="FF" w:themeShade="FF"/>
          <w:sz w:val="28"/>
          <w:szCs w:val="28"/>
          <w:lang w:val="en-GB"/>
        </w:rPr>
        <w:t xml:space="preserve">GW1 Shaila Hussain </w:t>
      </w:r>
    </w:p>
    <w:p w:rsidR="4F17B7A8" w:rsidP="74D130E6" w:rsidRDefault="4F17B7A8" w14:paraId="1AE2137E" w14:textId="22860256">
      <w:pPr>
        <w:spacing w:before="0" w:beforeAutospacing="off" w:after="0" w:afterAutospacing="off"/>
      </w:pPr>
      <w:r w:rsidRPr="3F8B10A4" w:rsidR="4C9B872E">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F8B10A4" w:rsidR="75175F8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F8B10A4" w:rsidR="4C9B872E">
        <w:rPr>
          <w:rFonts w:ascii="Arial" w:hAnsi="Arial" w:eastAsia="Arial" w:cs="Arial"/>
          <w:b w:val="1"/>
          <w:bCs w:val="1"/>
          <w:i w:val="0"/>
          <w:iCs w:val="0"/>
          <w:caps w:val="0"/>
          <w:smallCaps w:val="0"/>
          <w:noProof w:val="0"/>
          <w:color w:val="000000" w:themeColor="text1" w:themeTint="FF" w:themeShade="FF"/>
          <w:sz w:val="28"/>
          <w:szCs w:val="28"/>
          <w:lang w:val="en-GB"/>
        </w:rPr>
        <w:t>GW2 Umma Suleiman</w:t>
      </w:r>
    </w:p>
    <w:p w:rsidR="4F17B7A8" w:rsidP="74D130E6" w:rsidRDefault="4F17B7A8" w14:paraId="074448C5" w14:textId="1099319C">
      <w:pPr>
        <w:spacing w:before="0" w:beforeAutospacing="off" w:after="0" w:afterAutospacing="off"/>
        <w:rPr>
          <w:rFonts w:ascii="Arial Nova" w:hAnsi="Arial Nova" w:eastAsia="Arial Nova" w:cs="Arial Nova"/>
          <w:b w:val="1"/>
          <w:bCs w:val="1"/>
          <w:color w:val="000000" w:themeColor="text1" w:themeTint="FF" w:themeShade="FF"/>
          <w:sz w:val="28"/>
          <w:szCs w:val="28"/>
          <w:lang w:eastAsia="en-GB"/>
        </w:rPr>
      </w:pPr>
    </w:p>
    <w:p w:rsidR="4F17B7A8" w:rsidP="74D130E6" w:rsidRDefault="4F17B7A8" w14:paraId="71A1871C" w14:textId="510B3F4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74D130E6" w:rsidR="5641F3C9">
        <w:rPr>
          <w:rFonts w:ascii="Arial Nova" w:hAnsi="Arial Nova" w:eastAsia="Arial Nova" w:cs="Arial Nova"/>
          <w:b w:val="1"/>
          <w:bCs w:val="1"/>
          <w:color w:val="000000" w:themeColor="text1" w:themeTint="FF" w:themeShade="FF"/>
          <w:sz w:val="28"/>
          <w:szCs w:val="28"/>
          <w:lang w:eastAsia="en-GB"/>
        </w:rPr>
        <w:t>Assignment</w:t>
      </w:r>
      <w:r w:rsidRPr="74D130E6" w:rsidR="5641F3C9">
        <w:rPr>
          <w:rFonts w:ascii="Arial Nova" w:hAnsi="Arial Nova" w:eastAsia="Arial Nova" w:cs="Arial Nova"/>
          <w:b w:val="1"/>
          <w:bCs w:val="1"/>
          <w:color w:val="000000" w:themeColor="text1" w:themeTint="FF" w:themeShade="FF"/>
          <w:sz w:val="28"/>
          <w:szCs w:val="28"/>
          <w:lang w:eastAsia="en-GB"/>
        </w:rPr>
        <w:t xml:space="preserve"> Report:</w:t>
      </w:r>
      <w:r w:rsidRPr="74D130E6" w:rsidR="57483501">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 </w:t>
      </w:r>
      <w:r w:rsidRPr="74D130E6" w:rsidR="57483501">
        <w:rPr>
          <w:rFonts w:ascii="Arial Nova" w:hAnsi="Arial Nova" w:eastAsia="Arial Nova" w:cs="Arial Nova"/>
          <w:b w:val="1"/>
          <w:bCs w:val="1"/>
          <w:i w:val="0"/>
          <w:iCs w:val="0"/>
          <w:caps w:val="0"/>
          <w:smallCaps w:val="0"/>
          <w:noProof w:val="0"/>
          <w:color w:val="000000" w:themeColor="text1" w:themeTint="FF" w:themeShade="FF"/>
          <w:sz w:val="28"/>
          <w:szCs w:val="28"/>
          <w:lang w:val="en-GB"/>
        </w:rPr>
        <w:t>Component</w:t>
      </w:r>
      <w:r w:rsidRPr="74D130E6" w:rsidR="57483501">
        <w:rPr>
          <w:rFonts w:ascii="Arial" w:hAnsi="Arial" w:eastAsia="Arial" w:cs="Arial"/>
          <w:b w:val="1"/>
          <w:bCs w:val="1"/>
          <w:i w:val="0"/>
          <w:iCs w:val="0"/>
          <w:caps w:val="0"/>
          <w:smallCaps w:val="0"/>
          <w:noProof w:val="0"/>
          <w:color w:val="000000" w:themeColor="text1" w:themeTint="FF" w:themeShade="FF"/>
          <w:sz w:val="28"/>
          <w:szCs w:val="28"/>
          <w:lang w:val="en-GB"/>
        </w:rPr>
        <w:t xml:space="preserve"> 2</w:t>
      </w:r>
    </w:p>
    <w:p w:rsidR="4F17B7A8" w:rsidP="2825D14A" w:rsidRDefault="4F17B7A8" w14:paraId="34A4AF5A" w14:textId="41196AA2">
      <w:pPr>
        <w:spacing w:beforeAutospacing="on" w:afterAutospacing="on"/>
        <w:jc w:val="center"/>
        <w:outlineLvl w:val="0"/>
        <w:rPr>
          <w:rFonts w:ascii="Arial Nova" w:hAnsi="Arial Nova" w:eastAsia="Arial Nova" w:cs="Arial Nova"/>
          <w:b w:val="1"/>
          <w:bCs w:val="1"/>
          <w:color w:val="000000" w:themeColor="text1" w:themeTint="FF" w:themeShade="FF"/>
          <w:sz w:val="28"/>
          <w:szCs w:val="28"/>
          <w:lang w:eastAsia="en-GB"/>
        </w:rPr>
      </w:pPr>
    </w:p>
    <w:p w:rsidR="4F17B7A8" w:rsidP="6D89EFEE" w:rsidRDefault="4F17B7A8" w14:paraId="15883F18" w14:textId="2E3B11DF">
      <w:pPr>
        <w:spacing w:beforeAutospacing="on" w:afterAutospacing="on"/>
        <w:jc w:val="center"/>
        <w:outlineLvl w:val="0"/>
      </w:pPr>
      <w:r w:rsidRPr="2825D14A" w:rsidR="06F2D42B">
        <w:rPr>
          <w:rFonts w:ascii="Arial Nova" w:hAnsi="Arial Nova" w:eastAsia="Arial Nova" w:cs="Arial Nova"/>
          <w:b w:val="1"/>
          <w:bCs w:val="1"/>
          <w:color w:val="000000" w:themeColor="text1" w:themeTint="FF" w:themeShade="FF"/>
          <w:sz w:val="28"/>
          <w:szCs w:val="28"/>
          <w:lang w:eastAsia="en-GB"/>
        </w:rPr>
        <w:t xml:space="preserve"> </w:t>
      </w:r>
    </w:p>
    <w:p w:rsidR="4F17B7A8" w:rsidP="2825D14A" w:rsidRDefault="4F17B7A8" w14:paraId="4997ED3F" w14:textId="54C7173B">
      <w:pPr>
        <w:pStyle w:val="Normal"/>
        <w:spacing w:beforeAutospacing="on" w:afterAutospacing="on"/>
        <w:jc w:val="center"/>
        <w:outlineLvl w:val="0"/>
        <w:rPr>
          <w:rFonts w:ascii="Arial Nova" w:hAnsi="Arial Nova" w:eastAsia="Arial Nova" w:cs="Arial Nova"/>
          <w:b w:val="1"/>
          <w:bCs w:val="1"/>
          <w:color w:val="000000" w:themeColor="text1" w:themeTint="FF" w:themeShade="FF"/>
          <w:sz w:val="28"/>
          <w:szCs w:val="28"/>
          <w:lang w:eastAsia="en-GB"/>
        </w:rPr>
      </w:pPr>
    </w:p>
    <w:p w:rsidR="74D130E6" w:rsidP="74D130E6" w:rsidRDefault="74D130E6" w14:paraId="5FC48A15" w14:textId="474DD5F7">
      <w:pPr>
        <w:pStyle w:val="Normal"/>
        <w:spacing w:beforeAutospacing="on" w:afterAutospacing="on"/>
        <w:jc w:val="center"/>
        <w:outlineLvl w:val="0"/>
        <w:rPr>
          <w:rFonts w:ascii="Arial Nova" w:hAnsi="Arial Nova" w:eastAsia="Arial Nova" w:cs="Arial Nova"/>
          <w:b w:val="1"/>
          <w:bCs w:val="1"/>
          <w:color w:val="000000" w:themeColor="text1" w:themeTint="FF" w:themeShade="FF"/>
          <w:sz w:val="28"/>
          <w:szCs w:val="28"/>
          <w:lang w:eastAsia="en-GB"/>
        </w:rPr>
      </w:pPr>
    </w:p>
    <w:p w:rsidR="4F17B7A8" w:rsidP="2825D14A" w:rsidRDefault="4F17B7A8" w14:paraId="58612576" w14:textId="0D8920F4">
      <w:pPr>
        <w:pStyle w:val="Normal"/>
        <w:spacing w:beforeAutospacing="on" w:afterAutospacing="on"/>
        <w:jc w:val="center"/>
        <w:outlineLvl w:val="0"/>
        <w:rPr>
          <w:rFonts w:ascii="Arial Nova" w:hAnsi="Arial Nova" w:eastAsia="Arial Nova" w:cs="Arial Nova"/>
          <w:b w:val="1"/>
          <w:bCs w:val="1"/>
          <w:color w:val="000000" w:themeColor="text1" w:themeTint="FF" w:themeShade="FF"/>
          <w:sz w:val="28"/>
          <w:szCs w:val="28"/>
          <w:lang w:eastAsia="en-GB"/>
        </w:rPr>
      </w:pPr>
      <w:r w:rsidRPr="2825D14A" w:rsidR="0972682F">
        <w:rPr>
          <w:rFonts w:ascii="Arial Nova" w:hAnsi="Arial Nova" w:eastAsia="Arial Nova" w:cs="Arial Nova"/>
          <w:b w:val="1"/>
          <w:bCs w:val="1"/>
          <w:color w:val="000000" w:themeColor="text1" w:themeTint="FF" w:themeShade="FF"/>
          <w:sz w:val="28"/>
          <w:szCs w:val="28"/>
          <w:lang w:eastAsia="en-GB"/>
        </w:rPr>
        <w:t>An Examination and Analysis of How the Early Help System is Signposted to UK Families by Local Authority Websites</w:t>
      </w:r>
    </w:p>
    <w:p w:rsidR="4F17B7A8" w:rsidP="6D89EFEE" w:rsidRDefault="4F17B7A8" w14:paraId="23F30AA3" w14:textId="6CDCFD7C">
      <w:pPr>
        <w:pStyle w:val="Normal"/>
        <w:spacing w:beforeAutospacing="on" w:afterAutospacing="on"/>
        <w:jc w:val="center"/>
      </w:pPr>
    </w:p>
    <w:p w:rsidR="6FA1694E" w:rsidP="6FA1694E" w:rsidRDefault="6FA1694E" w14:paraId="75CAC56D" w14:textId="32A5B26B">
      <w:pPr>
        <w:pStyle w:val="Heading3"/>
        <w:spacing w:beforeAutospacing="on" w:afterAutospacing="on"/>
        <w:jc w:val="center"/>
        <w:outlineLvl w:val="0"/>
        <w:rPr>
          <w:rFonts w:ascii="Arial Nova" w:hAnsi="Arial Nova" w:eastAsia="Arial Nova" w:cs="Arial Nova"/>
          <w:b w:val="1"/>
          <w:bCs w:val="1"/>
          <w:color w:val="000000" w:themeColor="text1" w:themeTint="FF" w:themeShade="FF"/>
          <w:sz w:val="28"/>
          <w:szCs w:val="28"/>
        </w:rPr>
      </w:pPr>
    </w:p>
    <w:p w:rsidR="00BF5726" w:rsidP="6FA1694E" w:rsidRDefault="00BF5726" w14:paraId="5A54D434" w14:textId="12979C10">
      <w:pPr>
        <w:pStyle w:val="Heading3"/>
        <w:spacing w:beforeAutospacing="on" w:afterAutospacing="on"/>
        <w:jc w:val="left"/>
        <w:outlineLvl w:val="0"/>
        <w:rPr>
          <w:rFonts w:ascii="Arial Nova" w:hAnsi="Arial Nova" w:eastAsia="Arial Nova" w:cs="Arial Nova"/>
          <w:b w:val="1"/>
          <w:bCs w:val="1"/>
          <w:color w:val="000000"/>
          <w:sz w:val="28"/>
          <w:szCs w:val="28"/>
        </w:rPr>
      </w:pPr>
      <w:r w:rsidRPr="20B79596" w:rsidR="538DEA1F">
        <w:rPr>
          <w:rFonts w:ascii="Arial Nova" w:hAnsi="Arial Nova" w:eastAsia="Arial Nova" w:cs="Arial Nova"/>
          <w:b w:val="1"/>
          <w:bCs w:val="1"/>
          <w:color w:val="000000" w:themeColor="text1" w:themeTint="FF" w:themeShade="FF"/>
          <w:sz w:val="28"/>
          <w:szCs w:val="28"/>
        </w:rPr>
        <w:t>I</w:t>
      </w:r>
      <w:r w:rsidRPr="20B79596" w:rsidR="538DEA1F">
        <w:rPr>
          <w:rFonts w:ascii="Arial Nova" w:hAnsi="Arial Nova" w:eastAsia="Arial Nova" w:cs="Arial Nova"/>
          <w:b w:val="1"/>
          <w:bCs w:val="1"/>
          <w:color w:val="000000" w:themeColor="text1" w:themeTint="FF" w:themeShade="FF"/>
          <w:sz w:val="28"/>
          <w:szCs w:val="28"/>
        </w:rPr>
        <w:t>ntroduction</w:t>
      </w:r>
    </w:p>
    <w:p w:rsidR="743A3F6A" w:rsidP="20B79596" w:rsidRDefault="743A3F6A" w14:paraId="177BA9C0" w14:textId="11F673D8">
      <w:pPr>
        <w:spacing w:before="240" w:beforeAutospacing="off" w:after="240" w:afterAutospacing="off"/>
      </w:pPr>
      <w:r w:rsidRPr="20B79596" w:rsidR="743A3F6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Early Help plays an important role in protecting children and helping families across England. Its main aim is to recognise difficulties at an early stage and offer the right support before they develop into more serious problems that may need formal intervention (Department for Education, 2026). Local authorities are responsible for making sure children and families can access suitable support when they need it. This makes council websites an important way for families to find information about available services (Children Act 2004). Providing clear and easy-to-find information can help families access support sooner, which may improve outcomes for children and prevent difficulties from getting worse (NSPCC, 2025).</w:t>
      </w:r>
    </w:p>
    <w:p w:rsidR="743A3F6A" w:rsidP="20B79596" w:rsidRDefault="743A3F6A" w14:paraId="420E6F37" w14:textId="17617158">
      <w:pPr>
        <w:spacing w:before="240" w:beforeAutospacing="off" w:after="240" w:afterAutospacing="off"/>
      </w:pPr>
      <w:r w:rsidRPr="20B79596" w:rsidR="743A3F6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This report explores how Leeds City Council, Norfolk County Council and Nottinghamshire County Council share information about Early Help and family support through their websites. It begins by explaining the purpose of Early Help and the importance of professionals working together. The report then reviews each council’s website and considers their main strengths and weaknesses. It finishes by suggesting ways the councils could make their Early Help information easier to understand and access.</w:t>
      </w:r>
    </w:p>
    <w:p w:rsidR="00BF5726" w:rsidP="59A7BC8E" w:rsidRDefault="00BF5726" w14:paraId="2ED76B6B" w14:textId="033A9490">
      <w:pPr>
        <w:rPr>
          <w:rFonts w:ascii="Arial Nova" w:hAnsi="Arial Nova" w:eastAsia="Arial Nova" w:cs="Arial Nova"/>
          <w:b w:val="1"/>
          <w:bCs w:val="1"/>
          <w:color w:val="000000"/>
          <w:sz w:val="28"/>
          <w:szCs w:val="28"/>
        </w:rPr>
      </w:pPr>
      <w:r w:rsidRPr="20B79596" w:rsidR="4D78BC1A">
        <w:rPr>
          <w:rFonts w:ascii="Arial Nova" w:hAnsi="Arial Nova" w:eastAsia="Arial Nova" w:cs="Arial Nova"/>
          <w:b w:val="1"/>
          <w:bCs w:val="1"/>
          <w:color w:val="000000" w:themeColor="text1" w:themeTint="FF" w:themeShade="FF"/>
          <w:sz w:val="28"/>
          <w:szCs w:val="28"/>
        </w:rPr>
        <w:t>The Early Help System</w:t>
      </w:r>
    </w:p>
    <w:p w:rsidR="3F71A1B9" w:rsidP="20B79596" w:rsidRDefault="3F71A1B9" w14:paraId="5E6D4035" w14:textId="1B8E6198">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3F71A1B9">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Early Help is a preventative approach that provides support to children, young people and families when extra needs are first identified. The aim is to offer help early, instead of waiting until problems become more serious and formal intervention is needed (Department for Education, 2026). Early Help can be provided when children or families need extra support with areas such as health, education, emotional wellbeing or family life (Department for Education, 2026).</w:t>
      </w:r>
    </w:p>
    <w:p w:rsidR="3F71A1B9" w:rsidP="20B79596" w:rsidRDefault="3F71A1B9" w14:paraId="4FBA1CD6" w14:textId="34A6BB10">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3F71A1B9">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The Children Act 1989 states that the welfare of the child should be the main priority and gives local authorities responsibilities to protect and support children (Children Act 1989). These responsibilities were developed further through the Children Act 2004, which encouraged different organisations and services to work more closely together and share responsibility for safeguarding children (Children Act 2004).</w:t>
      </w:r>
    </w:p>
    <w:p w:rsidR="3F71A1B9" w:rsidP="20B79596" w:rsidRDefault="3F71A1B9" w14:paraId="6930CD70" w14:textId="03480AA1">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3F71A1B9">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Research shows that providing support early can have positive effects, such as improving children’s education, reducing stress within families and lowering the chances of children needing formal social care services (Daniel, Wassell and Gilligan, 2010). Featherstone et al. (2018) also suggest that Early Help should be about building positive relationships with families, rather than only getting involved when a serious problem or crisis happens.</w:t>
      </w:r>
    </w:p>
    <w:p w:rsidR="3F71A1B9" w:rsidP="20B79596" w:rsidRDefault="3F71A1B9" w14:paraId="3E5BD88D" w14:textId="356B115C">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3F71A1B9">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 xml:space="preserve">For Early Help to work well, it is not enough for services to simply be available. Families also need to be able to find clear, </w:t>
      </w:r>
      <w:r w:rsidRPr="20B79596" w:rsidR="3F71A1B9">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accurate</w:t>
      </w:r>
      <w:r w:rsidRPr="20B79596" w:rsidR="3F71A1B9">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 xml:space="preserve"> and easy-to-understand information about the support they can get. This means that local authority websites are important because they help parents and carers understand what support is available and how they can access it (NSPCC, 2025).</w:t>
      </w:r>
    </w:p>
    <w:p w:rsidR="00BF5726" w:rsidP="59A7BC8E" w:rsidRDefault="00BF5726" w14:paraId="38B7F2CB" w14:textId="5B1E9F9A">
      <w:pPr>
        <w:rPr>
          <w:rFonts w:ascii="Arial Nova" w:hAnsi="Arial Nova" w:eastAsia="Arial Nova" w:cs="Arial Nova"/>
          <w:b w:val="1"/>
          <w:bCs w:val="1"/>
          <w:color w:val="000000"/>
          <w:sz w:val="28"/>
          <w:szCs w:val="28"/>
        </w:rPr>
      </w:pPr>
      <w:r w:rsidRPr="20B79596" w:rsidR="0A2A5BA3">
        <w:rPr>
          <w:rFonts w:ascii="Arial Nova" w:hAnsi="Arial Nova" w:eastAsia="Arial Nova" w:cs="Arial Nova"/>
          <w:b w:val="1"/>
          <w:bCs w:val="1"/>
          <w:color w:val="000000" w:themeColor="text1" w:themeTint="FF" w:themeShade="FF"/>
          <w:sz w:val="28"/>
          <w:szCs w:val="28"/>
        </w:rPr>
        <w:t>Multi-agency Working</w:t>
      </w:r>
    </w:p>
    <w:p w:rsidR="5A0E7F61" w:rsidP="20B79596" w:rsidRDefault="5A0E7F61" w14:paraId="778CF493" w14:textId="254D1E1E">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5A0E7F61">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Multi-agency working means professionals from different organisations working together to protect children and support families (Department for Education, 2026). This can include teachers, GPs, social workers, police officers and voluntary organisations.</w:t>
      </w:r>
    </w:p>
    <w:p w:rsidR="5A0E7F61" w:rsidP="20B79596" w:rsidRDefault="5A0E7F61" w14:paraId="5CB0425B" w14:textId="6C75EEBC">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5A0E7F61">
        <w:rPr>
          <w:rFonts w:ascii="Arial Nova" w:hAnsi="Arial Nova" w:eastAsia="Arial Nova" w:cs="Arial Nova"/>
          <w:b w:val="0"/>
          <w:bCs w:val="0"/>
          <w:i w:val="1"/>
          <w:iCs w:val="1"/>
          <w:caps w:val="0"/>
          <w:smallCaps w:val="0"/>
          <w:strike w:val="0"/>
          <w:dstrike w:val="0"/>
          <w:noProof w:val="0"/>
          <w:color w:val="000000" w:themeColor="text1" w:themeTint="FF" w:themeShade="FF"/>
          <w:u w:val="none"/>
          <w:lang w:val="en-GB"/>
        </w:rPr>
        <w:t>Working Together to Safeguard Children</w:t>
      </w:r>
      <w:r w:rsidRPr="20B79596" w:rsidR="5A0E7F61">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 xml:space="preserve"> (2026) explains that safeguarding is everyone’s responsibility. Sharing information and working together helps professionals </w:t>
      </w:r>
      <w:r w:rsidRPr="20B79596" w:rsidR="5A0E7F61">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identify</w:t>
      </w:r>
      <w:r w:rsidRPr="20B79596" w:rsidR="5A0E7F61">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 xml:space="preserve"> risks early and provide the right support before problems become more serious (Department for Education, 2026).</w:t>
      </w:r>
    </w:p>
    <w:p w:rsidR="00BF5726" w:rsidP="06431E05" w:rsidRDefault="00BF5726" w14:paraId="7081FA56" w14:textId="77777777">
      <w:pPr>
        <w:pStyle w:val="NormalWeb"/>
        <w:rPr>
          <w:rFonts w:ascii="Arial Nova" w:hAnsi="Arial Nova" w:eastAsia="Arial Nova" w:cs="Arial Nova"/>
          <w:color w:val="000000"/>
          <w:sz w:val="24"/>
          <w:szCs w:val="24"/>
        </w:rPr>
      </w:pPr>
      <w:r w:rsidRPr="06431E05" w:rsidR="312C5157">
        <w:rPr>
          <w:rFonts w:ascii="Arial Nova" w:hAnsi="Arial Nova" w:eastAsia="Arial Nova" w:cs="Arial Nova"/>
          <w:color w:val="000000" w:themeColor="text1" w:themeTint="FF" w:themeShade="FF"/>
          <w:sz w:val="24"/>
          <w:szCs w:val="24"/>
        </w:rPr>
        <w:t>Munro (2011) argued that child protection systems should become more child-centred and place greater emphasis on professional judgement rather than rigid procedures. Effective multi-agency working supports this approach by allowing professionals to combine expertise from different disciplines when assessing children's needs.</w:t>
      </w:r>
    </w:p>
    <w:p w:rsidR="00BF5726" w:rsidP="06431E05" w:rsidRDefault="00BF5726" w14:paraId="456DACE7" w14:textId="77777777">
      <w:pPr>
        <w:pStyle w:val="NormalWeb"/>
        <w:rPr>
          <w:rFonts w:ascii="Arial Nova" w:hAnsi="Arial Nova" w:eastAsia="Arial Nova" w:cs="Arial Nova"/>
          <w:color w:val="000000"/>
          <w:sz w:val="24"/>
          <w:szCs w:val="24"/>
        </w:rPr>
      </w:pPr>
      <w:r w:rsidRPr="06431E05" w:rsidR="312C5157">
        <w:rPr>
          <w:rFonts w:ascii="Arial Nova" w:hAnsi="Arial Nova" w:eastAsia="Arial Nova" w:cs="Arial Nova"/>
          <w:color w:val="000000" w:themeColor="text1" w:themeTint="FF" w:themeShade="FF"/>
          <w:sz w:val="24"/>
          <w:szCs w:val="24"/>
        </w:rPr>
        <w:t>However, successful partnership working can be affected by barriers including differences in organisational culture, confidentiality concerns and communication failures (Featherstone</w:t>
      </w:r>
      <w:r w:rsidRPr="06431E05" w:rsidR="312C5157">
        <w:rPr>
          <w:rStyle w:val="apple-converted-space"/>
          <w:rFonts w:ascii="Arial Nova" w:hAnsi="Arial Nova" w:eastAsia="Arial Nova" w:cs="Arial Nova"/>
          <w:color w:val="000000" w:themeColor="text1" w:themeTint="FF" w:themeShade="FF"/>
          <w:sz w:val="24"/>
          <w:szCs w:val="24"/>
        </w:rPr>
        <w:t> </w:t>
      </w:r>
      <w:r w:rsidRPr="06431E05" w:rsidR="312C5157">
        <w:rPr>
          <w:rStyle w:val="Emphasis"/>
          <w:rFonts w:ascii="Arial Nova" w:hAnsi="Arial Nova" w:eastAsia="Arial Nova" w:cs="Arial Nova"/>
          <w:color w:val="000000" w:themeColor="text1" w:themeTint="FF" w:themeShade="FF"/>
          <w:sz w:val="24"/>
          <w:szCs w:val="24"/>
        </w:rPr>
        <w:t>et al</w:t>
      </w:r>
      <w:r w:rsidRPr="06431E05" w:rsidR="312C5157">
        <w:rPr>
          <w:rFonts w:ascii="Arial Nova" w:hAnsi="Arial Nova" w:eastAsia="Arial Nova" w:cs="Arial Nova"/>
          <w:color w:val="000000" w:themeColor="text1" w:themeTint="FF" w:themeShade="FF"/>
          <w:sz w:val="24"/>
          <w:szCs w:val="24"/>
        </w:rPr>
        <w:t>., 2018). Consequently, local authority websites should clearly explain referral pathways and available support services so that both professionals and families understand how Early Help operates.</w:t>
      </w:r>
    </w:p>
    <w:p w:rsidR="00BF5726" w:rsidP="59A7BC8E" w:rsidRDefault="00BF5726" w14:paraId="56A2E5B7" w14:textId="4C809EE1">
      <w:pPr>
        <w:jc w:val="center"/>
      </w:pPr>
      <w:r w:rsidRPr="23684EFF" w:rsidR="7E71C4C9">
        <w:rPr>
          <w:rFonts w:ascii="Arial Nova" w:hAnsi="Arial Nova" w:eastAsia="Arial Nova" w:cs="Arial Nova"/>
          <w:b w:val="1"/>
          <w:bCs w:val="1"/>
          <w:color w:val="000000" w:themeColor="text1" w:themeTint="FF" w:themeShade="FF"/>
          <w:sz w:val="28"/>
          <w:szCs w:val="28"/>
        </w:rPr>
        <w:t>Evaluation of Leeds City Council Website</w:t>
      </w:r>
    </w:p>
    <w:p w:rsidR="23684EFF" w:rsidP="23684EFF" w:rsidRDefault="23684EFF" w14:paraId="0D47E37E" w14:textId="67814A93">
      <w:pPr>
        <w:jc w:val="center"/>
        <w:rPr>
          <w:rFonts w:ascii="Arial Nova" w:hAnsi="Arial Nova" w:eastAsia="Arial Nova" w:cs="Arial Nova"/>
          <w:b w:val="1"/>
          <w:bCs w:val="1"/>
          <w:color w:val="000000" w:themeColor="text1" w:themeTint="FF" w:themeShade="FF"/>
          <w:sz w:val="28"/>
          <w:szCs w:val="28"/>
        </w:rPr>
      </w:pPr>
    </w:p>
    <w:p w:rsidR="02B70227" w:rsidP="23684EFF" w:rsidRDefault="02B70227" w14:paraId="26BD6083" w14:textId="2B321E6A">
      <w:pPr>
        <w:pStyle w:val="Normal"/>
        <w:jc w:val="center"/>
      </w:pPr>
      <w:r w:rsidR="70A28D62">
        <w:drawing>
          <wp:inline wp14:editId="1D50A03E" wp14:anchorId="23581D80">
            <wp:extent cx="4906970" cy="1085850"/>
            <wp:effectExtent l="0" t="0" r="0" b="0"/>
            <wp:docPr id="9663458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6345857" name="Picture 966345857"/>
                    <pic:cNvPicPr/>
                  </pic:nvPicPr>
                  <pic:blipFill>
                    <a:blip xmlns:r="http://schemas.openxmlformats.org/officeDocument/2006/relationships" r:embed="rId1609022432">
                      <a:extLst>
                        <a:ext uri="{28A0092B-C50C-407E-A947-70E740481C1C}">
                          <a14:useLocalDpi xmlns:a14="http://schemas.microsoft.com/office/drawing/2010/main"/>
                        </a:ext>
                      </a:extLst>
                    </a:blip>
                    <a:stretch>
                      <a:fillRect/>
                    </a:stretch>
                  </pic:blipFill>
                  <pic:spPr>
                    <a:xfrm rot="0">
                      <a:off x="0" y="0"/>
                      <a:ext cx="4906970" cy="1085850"/>
                    </a:xfrm>
                    <a:prstGeom prst="rect">
                      <a:avLst/>
                    </a:prstGeom>
                  </pic:spPr>
                </pic:pic>
              </a:graphicData>
            </a:graphic>
          </wp:inline>
        </w:drawing>
      </w:r>
    </w:p>
    <w:p w:rsidR="7718972D" w:rsidP="20B79596" w:rsidRDefault="7718972D" w14:paraId="5A0129A4" w14:textId="2ED28F61">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7718972D">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The Leeds City Council website provides clear and accessible information about Early Help and family support services. It explains what Early Help is in simple language, making it understandable for families and useful for professionals (Department for Education, 2026).</w:t>
      </w:r>
    </w:p>
    <w:p w:rsidR="7718972D" w:rsidP="20B79596" w:rsidRDefault="7718972D" w14:paraId="6D855E10" w14:textId="26285180">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7718972D">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 xml:space="preserve">A key strength is that the website has a dedicated Early Help page explaining what the service is, who can access it and how to make a referral. Contact details and referral forms are also easy to find, making it simpler for families to access support, especially during </w:t>
      </w:r>
      <w:r w:rsidRPr="20B79596" w:rsidR="7718972D">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difficult situations</w:t>
      </w:r>
      <w:r w:rsidRPr="20B79596" w:rsidR="7718972D">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w:t>
      </w:r>
    </w:p>
    <w:p w:rsidR="00BF5726" w:rsidP="06431E05" w:rsidRDefault="00BF5726" w14:paraId="129725FF" w14:textId="33731E20">
      <w:pPr>
        <w:pStyle w:val="NormalWeb"/>
        <w:rPr>
          <w:rFonts w:ascii="Arial Nova" w:hAnsi="Arial Nova" w:eastAsia="Arial Nova" w:cs="Arial Nova"/>
          <w:color w:val="000000" w:themeColor="text1" w:themeTint="FF" w:themeShade="FF"/>
          <w:sz w:val="24"/>
          <w:szCs w:val="24"/>
        </w:rPr>
      </w:pPr>
      <w:r w:rsidRPr="06431E05" w:rsidR="312C5157">
        <w:rPr>
          <w:rFonts w:ascii="Arial Nova" w:hAnsi="Arial Nova" w:eastAsia="Arial Nova" w:cs="Arial Nova"/>
          <w:color w:val="000000" w:themeColor="text1" w:themeTint="FF" w:themeShade="FF"/>
          <w:sz w:val="24"/>
          <w:szCs w:val="24"/>
        </w:rPr>
        <w:t xml:space="preserve">The website also highlights partnership working between education, </w:t>
      </w:r>
      <w:r w:rsidRPr="06431E05" w:rsidR="312C5157">
        <w:rPr>
          <w:rFonts w:ascii="Arial Nova" w:hAnsi="Arial Nova" w:eastAsia="Arial Nova" w:cs="Arial Nova"/>
          <w:color w:val="000000" w:themeColor="text1" w:themeTint="FF" w:themeShade="FF"/>
          <w:sz w:val="24"/>
          <w:szCs w:val="24"/>
        </w:rPr>
        <w:t>health</w:t>
      </w:r>
      <w:r w:rsidRPr="06431E05" w:rsidR="312C5157">
        <w:rPr>
          <w:rFonts w:ascii="Arial Nova" w:hAnsi="Arial Nova" w:eastAsia="Arial Nova" w:cs="Arial Nova"/>
          <w:color w:val="000000" w:themeColor="text1" w:themeTint="FF" w:themeShade="FF"/>
          <w:sz w:val="24"/>
          <w:szCs w:val="24"/>
        </w:rPr>
        <w:t xml:space="preserve"> and social care services, </w:t>
      </w:r>
      <w:r w:rsidRPr="06431E05" w:rsidR="312C5157">
        <w:rPr>
          <w:rFonts w:ascii="Arial Nova" w:hAnsi="Arial Nova" w:eastAsia="Arial Nova" w:cs="Arial Nova"/>
          <w:color w:val="000000" w:themeColor="text1" w:themeTint="FF" w:themeShade="FF"/>
          <w:sz w:val="24"/>
          <w:szCs w:val="24"/>
        </w:rPr>
        <w:t>demonstrating</w:t>
      </w:r>
      <w:r w:rsidRPr="06431E05" w:rsidR="312C5157">
        <w:rPr>
          <w:rFonts w:ascii="Arial Nova" w:hAnsi="Arial Nova" w:eastAsia="Arial Nova" w:cs="Arial Nova"/>
          <w:color w:val="000000" w:themeColor="text1" w:themeTint="FF" w:themeShade="FF"/>
          <w:sz w:val="24"/>
          <w:szCs w:val="24"/>
        </w:rPr>
        <w:t xml:space="preserve"> consistency with</w:t>
      </w:r>
      <w:r w:rsidRPr="06431E05" w:rsidR="312C5157">
        <w:rPr>
          <w:rStyle w:val="apple-converted-space"/>
          <w:rFonts w:ascii="Arial Nova" w:hAnsi="Arial Nova" w:eastAsia="Arial Nova" w:cs="Arial Nova"/>
          <w:color w:val="000000" w:themeColor="text1" w:themeTint="FF" w:themeShade="FF"/>
          <w:sz w:val="24"/>
          <w:szCs w:val="24"/>
        </w:rPr>
        <w:t> </w:t>
      </w:r>
      <w:r w:rsidRPr="06431E05" w:rsidR="312C5157">
        <w:rPr>
          <w:rStyle w:val="Emphasis"/>
          <w:rFonts w:ascii="Arial Nova" w:hAnsi="Arial Nova" w:eastAsia="Arial Nova" w:cs="Arial Nova"/>
          <w:color w:val="000000" w:themeColor="text1" w:themeTint="FF" w:themeShade="FF"/>
          <w:sz w:val="24"/>
          <w:szCs w:val="24"/>
        </w:rPr>
        <w:t>Working Together to Safeguard Children</w:t>
      </w:r>
      <w:r w:rsidRPr="06431E05" w:rsidR="312C5157">
        <w:rPr>
          <w:rStyle w:val="apple-converted-space"/>
          <w:rFonts w:ascii="Arial Nova" w:hAnsi="Arial Nova" w:eastAsia="Arial Nova" w:cs="Arial Nova"/>
          <w:color w:val="000000" w:themeColor="text1" w:themeTint="FF" w:themeShade="FF"/>
          <w:sz w:val="24"/>
          <w:szCs w:val="24"/>
        </w:rPr>
        <w:t> </w:t>
      </w:r>
      <w:r w:rsidRPr="06431E05" w:rsidR="312C5157">
        <w:rPr>
          <w:rFonts w:ascii="Arial Nova" w:hAnsi="Arial Nova" w:eastAsia="Arial Nova" w:cs="Arial Nova"/>
          <w:color w:val="000000" w:themeColor="text1" w:themeTint="FF" w:themeShade="FF"/>
          <w:sz w:val="24"/>
          <w:szCs w:val="24"/>
        </w:rPr>
        <w:t>(Department for Education, 2026).</w:t>
      </w:r>
    </w:p>
    <w:p w:rsidR="00BF5726" w:rsidP="06431E05" w:rsidRDefault="00BF5726" w14:paraId="43BFB394" w14:textId="77777777">
      <w:pPr>
        <w:pStyle w:val="NormalWeb"/>
        <w:rPr>
          <w:rFonts w:ascii="Arial Nova" w:hAnsi="Arial Nova" w:eastAsia="Arial Nova" w:cs="Arial Nova"/>
          <w:color w:val="000000"/>
          <w:sz w:val="24"/>
          <w:szCs w:val="24"/>
        </w:rPr>
      </w:pPr>
      <w:r w:rsidRPr="751E1EAA" w:rsidR="0CE4A1B5">
        <w:rPr>
          <w:rFonts w:ascii="Arial Nova" w:hAnsi="Arial Nova" w:eastAsia="Arial Nova" w:cs="Arial Nova"/>
          <w:color w:val="000000" w:themeColor="text1" w:themeTint="FF" w:themeShade="FF"/>
          <w:sz w:val="24"/>
          <w:szCs w:val="24"/>
        </w:rPr>
        <w:t>Nevertheless, some pages contain large amounts of written information that could appear overwhelming to families experiencing stress. The inclusion of flowcharts, infographics and short videos explaining the Early Help process could improve accessibility (NSPCC, 2025).</w:t>
      </w:r>
    </w:p>
    <w:p w:rsidR="751E1EAA" w:rsidP="751E1EAA" w:rsidRDefault="751E1EAA" w14:paraId="46BDC568" w14:textId="579C8A0D">
      <w:pPr>
        <w:jc w:val="center"/>
        <w:rPr>
          <w:rFonts w:ascii="Arial Nova" w:hAnsi="Arial Nova" w:eastAsia="Arial Nova" w:cs="Arial Nova"/>
          <w:b w:val="1"/>
          <w:bCs w:val="1"/>
          <w:color w:val="000000" w:themeColor="text1" w:themeTint="FF" w:themeShade="FF"/>
          <w:sz w:val="28"/>
          <w:szCs w:val="28"/>
        </w:rPr>
      </w:pPr>
    </w:p>
    <w:p w:rsidR="00E40108" w:rsidP="59A7BC8E" w:rsidRDefault="00E40108" w14:paraId="38DB22EE" w14:textId="3BC4BA46">
      <w:pPr>
        <w:jc w:val="center"/>
      </w:pPr>
      <w:r w:rsidRPr="751E1EAA" w:rsidR="5B801A39">
        <w:rPr>
          <w:rFonts w:ascii="Arial Nova" w:hAnsi="Arial Nova" w:eastAsia="Arial Nova" w:cs="Arial Nova"/>
          <w:b w:val="1"/>
          <w:bCs w:val="1"/>
          <w:color w:val="000000" w:themeColor="text1" w:themeTint="FF" w:themeShade="FF"/>
          <w:sz w:val="28"/>
          <w:szCs w:val="28"/>
        </w:rPr>
        <w:t>Evaluation of Norfolk County Council Website</w:t>
      </w:r>
    </w:p>
    <w:p w:rsidR="113D9404" w:rsidP="751E1EAA" w:rsidRDefault="113D9404" w14:paraId="26D6480F" w14:textId="6DC60E9E">
      <w:pPr>
        <w:pStyle w:val="Normal"/>
        <w:jc w:val="center"/>
      </w:pPr>
      <w:r w:rsidR="68E2AE37">
        <w:drawing>
          <wp:inline wp14:editId="3BA978B4" wp14:anchorId="732360F2">
            <wp:extent cx="5724525" cy="1905000"/>
            <wp:effectExtent l="0" t="0" r="0" b="0"/>
            <wp:docPr id="520579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057963" name="Picture 52057963"/>
                    <pic:cNvPicPr/>
                  </pic:nvPicPr>
                  <pic:blipFill>
                    <a:blip xmlns:r="http://schemas.openxmlformats.org/officeDocument/2006/relationships" r:embed="rId473055372">
                      <a:extLst>
                        <a:ext uri="{28A0092B-C50C-407E-A947-70E740481C1C}">
                          <a14:useLocalDpi xmlns:a14="http://schemas.microsoft.com/office/drawing/2010/main"/>
                        </a:ext>
                      </a:extLst>
                    </a:blip>
                    <a:stretch>
                      <a:fillRect/>
                    </a:stretch>
                  </pic:blipFill>
                  <pic:spPr>
                    <a:xfrm>
                      <a:off x="0" y="0"/>
                      <a:ext cx="5724525" cy="1905000"/>
                    </a:xfrm>
                    <a:prstGeom prst="rect">
                      <a:avLst/>
                    </a:prstGeom>
                  </pic:spPr>
                </pic:pic>
              </a:graphicData>
            </a:graphic>
          </wp:inline>
        </w:drawing>
      </w:r>
    </w:p>
    <w:p w:rsidR="5BECB9D1" w:rsidP="20B79596" w:rsidRDefault="5BECB9D1" w14:paraId="3376E236" w14:textId="7C907A42">
      <w:pPr>
        <w:spacing w:before="240" w:beforeAutospacing="off" w:after="240" w:afterAutospacing="off"/>
      </w:pPr>
      <w:r w:rsidRPr="20B79596" w:rsidR="5BECB9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Norfolk County Council’s website gives useful information about Early Help and the different types of support available to families. It explains the purpose of Early Help, who can use the service and how support can be requested. The website also highlights the importance of getting help early so that problems do not become more serious (Department for Education, 2026).</w:t>
      </w:r>
    </w:p>
    <w:p w:rsidR="5BECB9D1" w:rsidP="20B79596" w:rsidRDefault="5BECB9D1" w14:paraId="6DB6C7E5" w14:textId="0CA8F204">
      <w:pPr>
        <w:spacing w:before="240" w:beforeAutospacing="off" w:after="240" w:afterAutospacing="off"/>
      </w:pPr>
      <w:r w:rsidRPr="20B79596" w:rsidR="5BECB9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One of the main strengths of the website is the variety of support it provides information about. This includes parenting advice, SEND, emotional wellbeing, domestic abuse, </w:t>
      </w:r>
      <w:r w:rsidRPr="20B79596" w:rsidR="5BECB9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housing</w:t>
      </w:r>
      <w:r w:rsidRPr="20B79596" w:rsidR="5BECB9D1">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and financial help. Having these services in one place makes it easier for families to find support that matches their individual needs.</w:t>
      </w:r>
    </w:p>
    <w:p w:rsidR="00E40108" w:rsidP="06431E05" w:rsidRDefault="00E40108" w14:paraId="78B605DF" w14:textId="509E4043">
      <w:pPr>
        <w:pStyle w:val="isselectedend"/>
        <w:rPr>
          <w:rFonts w:ascii="Arial Nova" w:hAnsi="Arial Nova" w:eastAsia="Arial Nova" w:cs="Arial Nova"/>
          <w:color w:val="000000"/>
          <w:sz w:val="24"/>
          <w:szCs w:val="24"/>
        </w:rPr>
      </w:pPr>
      <w:r w:rsidRPr="06431E05" w:rsidR="1F7BC754">
        <w:rPr>
          <w:rFonts w:ascii="Arial Nova" w:hAnsi="Arial Nova" w:eastAsia="Arial Nova" w:cs="Arial Nova"/>
          <w:color w:val="000000" w:themeColor="text1" w:themeTint="FF" w:themeShade="FF"/>
          <w:sz w:val="24"/>
          <w:szCs w:val="24"/>
        </w:rPr>
        <w:t xml:space="preserve"> Families are signposted to a wide range of services, including parenting programmes, emotional wellbeing support, Special Educational Needs and Disabilities (SEND) services, housing </w:t>
      </w:r>
      <w:r w:rsidRPr="06431E05" w:rsidR="1F7BC754">
        <w:rPr>
          <w:rFonts w:ascii="Arial Nova" w:hAnsi="Arial Nova" w:eastAsia="Arial Nova" w:cs="Arial Nova"/>
          <w:color w:val="000000" w:themeColor="text1" w:themeTint="FF" w:themeShade="FF"/>
          <w:sz w:val="24"/>
          <w:szCs w:val="24"/>
        </w:rPr>
        <w:t>advice</w:t>
      </w:r>
      <w:r w:rsidRPr="06431E05" w:rsidR="1F7BC754">
        <w:rPr>
          <w:rFonts w:ascii="Arial Nova" w:hAnsi="Arial Nova" w:eastAsia="Arial Nova" w:cs="Arial Nova"/>
          <w:color w:val="000000" w:themeColor="text1" w:themeTint="FF" w:themeShade="FF"/>
          <w:sz w:val="24"/>
          <w:szCs w:val="24"/>
        </w:rPr>
        <w:t xml:space="preserve"> and financial support. This </w:t>
      </w:r>
      <w:r w:rsidRPr="06431E05" w:rsidR="1F7BC754">
        <w:rPr>
          <w:rFonts w:ascii="Arial Nova" w:hAnsi="Arial Nova" w:eastAsia="Arial Nova" w:cs="Arial Nova"/>
          <w:color w:val="000000" w:themeColor="text1" w:themeTint="FF" w:themeShade="FF"/>
          <w:sz w:val="24"/>
          <w:szCs w:val="24"/>
        </w:rPr>
        <w:t>demonstrates</w:t>
      </w:r>
      <w:r w:rsidRPr="06431E05" w:rsidR="1F7BC754">
        <w:rPr>
          <w:rFonts w:ascii="Arial Nova" w:hAnsi="Arial Nova" w:eastAsia="Arial Nova" w:cs="Arial Nova"/>
          <w:color w:val="000000" w:themeColor="text1" w:themeTint="FF" w:themeShade="FF"/>
          <w:sz w:val="24"/>
          <w:szCs w:val="24"/>
        </w:rPr>
        <w:t xml:space="preserve"> an understanding that many families experience multiple challenges requiring coordinated intervention from several agencies (Featherstone</w:t>
      </w:r>
      <w:r w:rsidRPr="06431E05" w:rsidR="1F7BC754">
        <w:rPr>
          <w:rStyle w:val="apple-converted-space"/>
          <w:rFonts w:ascii="Arial Nova" w:hAnsi="Arial Nova" w:eastAsia="Arial Nova" w:cs="Arial Nova"/>
          <w:color w:val="000000" w:themeColor="text1" w:themeTint="FF" w:themeShade="FF"/>
          <w:sz w:val="24"/>
          <w:szCs w:val="24"/>
        </w:rPr>
        <w:t> </w:t>
      </w:r>
      <w:r w:rsidRPr="06431E05" w:rsidR="1F7BC754">
        <w:rPr>
          <w:rStyle w:val="Emphasis"/>
          <w:rFonts w:ascii="Arial Nova" w:hAnsi="Arial Nova" w:eastAsia="Arial Nova" w:cs="Arial Nova"/>
          <w:color w:val="000000" w:themeColor="text1" w:themeTint="FF" w:themeShade="FF"/>
          <w:sz w:val="24"/>
          <w:szCs w:val="24"/>
        </w:rPr>
        <w:t>et al</w:t>
      </w:r>
      <w:r w:rsidRPr="06431E05" w:rsidR="1F7BC754">
        <w:rPr>
          <w:rFonts w:ascii="Arial Nova" w:hAnsi="Arial Nova" w:eastAsia="Arial Nova" w:cs="Arial Nova"/>
          <w:color w:val="000000" w:themeColor="text1" w:themeTint="FF" w:themeShade="FF"/>
          <w:sz w:val="24"/>
          <w:szCs w:val="24"/>
        </w:rPr>
        <w:t>., 2018). The website also provides guidance for professionals, including referral procedures and contact information, which supports effective partnership working between agencies (Department for Education, 2026).</w:t>
      </w:r>
    </w:p>
    <w:p w:rsidR="00E40108" w:rsidP="06431E05" w:rsidRDefault="00E40108" w14:paraId="7A0C40DB" w14:textId="77777777">
      <w:pPr>
        <w:pStyle w:val="isselectedend"/>
        <w:rPr>
          <w:rFonts w:ascii="Arial Nova" w:hAnsi="Arial Nova" w:eastAsia="Arial Nova" w:cs="Arial Nova"/>
          <w:color w:val="000000"/>
          <w:sz w:val="24"/>
          <w:szCs w:val="24"/>
        </w:rPr>
      </w:pPr>
      <w:r w:rsidRPr="20B79596" w:rsidR="7255A892">
        <w:rPr>
          <w:rFonts w:ascii="Arial Nova" w:hAnsi="Arial Nova" w:eastAsia="Arial Nova" w:cs="Arial Nova"/>
          <w:color w:val="000000" w:themeColor="text1" w:themeTint="FF" w:themeShade="FF"/>
          <w:sz w:val="24"/>
          <w:szCs w:val="24"/>
        </w:rPr>
        <w:t xml:space="preserve">Another positive feature is the website's emphasis on prevention. Rather than focusing solely on safeguarding concerns, the information encourages families to seek help as soon as difficulties arise. This reflects the preventative philosophy underpinning the Early Help system and acknowledges that early intervention can improve long-term outcomes for children (Daniel, </w:t>
      </w:r>
      <w:r w:rsidRPr="20B79596" w:rsidR="7255A892">
        <w:rPr>
          <w:rFonts w:ascii="Arial Nova" w:hAnsi="Arial Nova" w:eastAsia="Arial Nova" w:cs="Arial Nova"/>
          <w:color w:val="000000" w:themeColor="text1" w:themeTint="FF" w:themeShade="FF"/>
          <w:sz w:val="24"/>
          <w:szCs w:val="24"/>
        </w:rPr>
        <w:t>Wassell</w:t>
      </w:r>
      <w:r w:rsidRPr="20B79596" w:rsidR="7255A892">
        <w:rPr>
          <w:rFonts w:ascii="Arial Nova" w:hAnsi="Arial Nova" w:eastAsia="Arial Nova" w:cs="Arial Nova"/>
          <w:color w:val="000000" w:themeColor="text1" w:themeTint="FF" w:themeShade="FF"/>
          <w:sz w:val="24"/>
          <w:szCs w:val="24"/>
        </w:rPr>
        <w:t xml:space="preserve"> and Gilligan, 2010).</w:t>
      </w:r>
    </w:p>
    <w:p w:rsidR="1ED85CBB" w:rsidP="20B79596" w:rsidRDefault="1ED85CBB" w14:paraId="30759672" w14:textId="0E815C50">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1ED85CBB">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However, some pages contain long sections of text, which may make it harder for families to find important information quickly, especially during stressful situations. Adding more visual resources, such as diagrams or FAQs, could make the website easier to understand and use (NSPCC, 2025).</w:t>
      </w:r>
    </w:p>
    <w:p w:rsidR="1ED85CBB" w:rsidP="20B79596" w:rsidRDefault="1ED85CBB" w14:paraId="3E0B6687" w14:textId="778692F2">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1ED85CBB">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Overall, Norfolk County Council provides detailed information that follows national safeguarding guidance. However, making the information shorter and simpler could make it more accessible for families.</w:t>
      </w:r>
    </w:p>
    <w:p w:rsidR="00E40108" w:rsidP="59A7BC8E" w:rsidRDefault="00E40108" w14:paraId="378F1702" w14:textId="77777777">
      <w:pPr>
        <w:pStyle w:val="Heading2"/>
        <w:jc w:val="center"/>
      </w:pPr>
      <w:r w:rsidRPr="10746C66" w:rsidR="31F1EEFE">
        <w:rPr>
          <w:rFonts w:ascii="Arial Nova" w:hAnsi="Arial Nova" w:eastAsia="Arial Nova" w:cs="Arial Nova"/>
          <w:color w:val="000000" w:themeColor="text1" w:themeTint="FF" w:themeShade="FF"/>
          <w:sz w:val="28"/>
          <w:szCs w:val="28"/>
        </w:rPr>
        <w:t>Evaluation of Nottinghamshire County Council Website</w:t>
      </w:r>
    </w:p>
    <w:p w:rsidR="4A3054A9" w:rsidP="10746C66" w:rsidRDefault="4A3054A9" w14:paraId="731FF006" w14:textId="76FC3BDB">
      <w:pPr>
        <w:pStyle w:val="Heading2"/>
        <w:jc w:val="center"/>
      </w:pPr>
      <w:r w:rsidR="1CC3D329">
        <w:drawing>
          <wp:inline wp14:editId="55FE8ED0" wp14:anchorId="5E043D0D">
            <wp:extent cx="5724525" cy="1771650"/>
            <wp:effectExtent l="0" t="0" r="0" b="0"/>
            <wp:docPr id="6020435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2043595" name="Picture 602043595"/>
                    <pic:cNvPicPr/>
                  </pic:nvPicPr>
                  <pic:blipFill>
                    <a:blip xmlns:r="http://schemas.openxmlformats.org/officeDocument/2006/relationships" r:embed="rId855347196">
                      <a:extLst>
                        <a:ext uri="{28A0092B-C50C-407E-A947-70E740481C1C}">
                          <a14:useLocalDpi xmlns:a14="http://schemas.microsoft.com/office/drawing/2010/main"/>
                        </a:ext>
                      </a:extLst>
                    </a:blip>
                    <a:stretch>
                      <a:fillRect/>
                    </a:stretch>
                  </pic:blipFill>
                  <pic:spPr>
                    <a:xfrm>
                      <a:off x="0" y="0"/>
                      <a:ext cx="5724525" cy="1771650"/>
                    </a:xfrm>
                    <a:prstGeom prst="rect">
                      <a:avLst/>
                    </a:prstGeom>
                  </pic:spPr>
                </pic:pic>
              </a:graphicData>
            </a:graphic>
          </wp:inline>
        </w:drawing>
      </w:r>
    </w:p>
    <w:p w:rsidR="6035072A" w:rsidP="20B79596" w:rsidRDefault="6035072A" w14:paraId="544ADA4B" w14:textId="4FA31598">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6035072A">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Nottinghamshire County Council has a dedicated Early Help section explaining the support available to children, young people and families. It explains how Early Help can prevent problems from becoming more serious and encourages families and professionals to work together to identify needs early (Department for Education, 2026).</w:t>
      </w:r>
    </w:p>
    <w:p w:rsidR="6035072A" w:rsidP="20B79596" w:rsidRDefault="6035072A" w14:paraId="7F880CED" w14:textId="408E04B7">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6035072A">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A key strength is the clear layout of the website. Information is organised for parents, carers and professionals, with clear sections on referrals, Early Help assessments and support services. This makes it easier for users to find the information they need, especially during stressful situations (Munro, 2011).</w:t>
      </w:r>
    </w:p>
    <w:p w:rsidR="632F0577" w:rsidP="20B79596" w:rsidRDefault="632F0577" w14:paraId="08D15473" w14:textId="7A652F10">
      <w:pPr>
        <w:pStyle w:val="Normal"/>
        <w:spacing w:before="240" w:beforeAutospacing="off" w:after="240" w:afterAutospacing="off"/>
      </w:pPr>
      <w:r w:rsidRPr="20B79596" w:rsidR="632F057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The website shows how schools, health professionals, social workers and voluntary organisations work together to help children and families. This follows the principles of </w:t>
      </w:r>
      <w:r w:rsidRPr="20B79596" w:rsidR="632F0577">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Working Together to Safeguard Children</w:t>
      </w:r>
      <w:r w:rsidRPr="20B79596" w:rsidR="632F057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and highlights that keeping children safe is the responsibility of everyone involved (Department for Education, 2026).</w:t>
      </w:r>
    </w:p>
    <w:p w:rsidR="00E40108" w:rsidP="06431E05" w:rsidRDefault="00E40108" w14:paraId="7F4CFB35" w14:textId="77777777">
      <w:pPr>
        <w:pStyle w:val="isselectedend"/>
        <w:rPr>
          <w:rFonts w:ascii="Arial Nova" w:hAnsi="Arial Nova" w:eastAsia="Arial Nova" w:cs="Arial Nova"/>
          <w:color w:val="000000"/>
          <w:sz w:val="24"/>
          <w:szCs w:val="24"/>
        </w:rPr>
      </w:pPr>
      <w:r w:rsidRPr="06431E05" w:rsidR="1F7BC754">
        <w:rPr>
          <w:rFonts w:ascii="Arial Nova" w:hAnsi="Arial Nova" w:eastAsia="Arial Nova" w:cs="Arial Nova"/>
          <w:color w:val="000000" w:themeColor="text1" w:themeTint="FF" w:themeShade="FF"/>
          <w:sz w:val="24"/>
          <w:szCs w:val="24"/>
        </w:rPr>
        <w:t>Although the website is well organised, it provides fewer practical examples than some other local authority websites. Parents unfamiliar with the Early Help process may benefit from case studies illustrating how referrals are made and how professionals work together to develop support plans. Furthermore, greater use of videos, infographics or interactive content could improve accessibility for users with different learning preferences (NSPCC, 2025).</w:t>
      </w:r>
    </w:p>
    <w:p w:rsidR="00E40108" w:rsidP="06431E05" w:rsidRDefault="00E40108" w14:paraId="474E1F8F" w14:textId="77777777">
      <w:pPr>
        <w:pStyle w:val="isselectedend"/>
        <w:rPr>
          <w:rFonts w:ascii="Arial Nova" w:hAnsi="Arial Nova" w:eastAsia="Arial Nova" w:cs="Arial Nova"/>
          <w:color w:val="000000"/>
          <w:sz w:val="24"/>
          <w:szCs w:val="24"/>
        </w:rPr>
      </w:pPr>
      <w:r w:rsidRPr="06431E05" w:rsidR="1F7BC754">
        <w:rPr>
          <w:rFonts w:ascii="Arial Nova" w:hAnsi="Arial Nova" w:eastAsia="Arial Nova" w:cs="Arial Nova"/>
          <w:color w:val="000000" w:themeColor="text1" w:themeTint="FF" w:themeShade="FF"/>
          <w:sz w:val="24"/>
          <w:szCs w:val="24"/>
        </w:rPr>
        <w:t>Overall, Nottinghamshire County Council provides reliable and accessible information about Early Help. Its strengths lie in its logical organisation, clear language and straightforward navigation. However, additional practical examples and visual resources could further enhance user engagement.</w:t>
      </w:r>
    </w:p>
    <w:p w:rsidR="00E40108" w:rsidP="59A7BC8E" w:rsidRDefault="00E40108" w14:paraId="1B1D7BCE" w14:textId="77777777">
      <w:pPr>
        <w:pStyle w:val="Heading2"/>
      </w:pPr>
      <w:r w:rsidRPr="70FDD0B0" w:rsidR="1AFD1A9F">
        <w:rPr>
          <w:rFonts w:ascii="Arial Nova" w:hAnsi="Arial Nova" w:eastAsia="Arial Nova" w:cs="Arial Nova"/>
          <w:color w:val="000000" w:themeColor="text1" w:themeTint="FF" w:themeShade="FF"/>
          <w:sz w:val="28"/>
          <w:szCs w:val="28"/>
        </w:rPr>
        <w:t>Comparative Analysis</w:t>
      </w:r>
    </w:p>
    <w:p w:rsidR="7B01AC6A" w:rsidP="70FDD0B0" w:rsidRDefault="7B01AC6A" w14:paraId="168A2E5B" w14:textId="0B980ACF">
      <w:pPr>
        <w:pStyle w:val="Heading2"/>
      </w:pPr>
      <w:r w:rsidR="6C6D1036">
        <w:drawing>
          <wp:inline wp14:editId="665CD567" wp14:anchorId="4AAAF09A">
            <wp:extent cx="1428750" cy="1285875"/>
            <wp:effectExtent l="0" t="0" r="0" b="0"/>
            <wp:docPr id="11801224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0122445" name="Picture 1180122445"/>
                    <pic:cNvPicPr/>
                  </pic:nvPicPr>
                  <pic:blipFill>
                    <a:blip xmlns:r="http://schemas.openxmlformats.org/officeDocument/2006/relationships" r:embed="rId620977920">
                      <a:extLst>
                        <a:ext uri="{28A0092B-C50C-407E-A947-70E740481C1C}">
                          <a14:useLocalDpi xmlns:a14="http://schemas.microsoft.com/office/drawing/2010/main"/>
                        </a:ext>
                      </a:extLst>
                    </a:blip>
                    <a:stretch>
                      <a:fillRect/>
                    </a:stretch>
                  </pic:blipFill>
                  <pic:spPr>
                    <a:xfrm rot="0">
                      <a:off x="0" y="0"/>
                      <a:ext cx="1428750" cy="1285875"/>
                    </a:xfrm>
                    <a:prstGeom prst="rect">
                      <a:avLst/>
                    </a:prstGeom>
                  </pic:spPr>
                </pic:pic>
              </a:graphicData>
            </a:graphic>
          </wp:inline>
        </w:drawing>
      </w:r>
      <w:r w:rsidR="5BC4AC33">
        <w:drawing>
          <wp:inline wp14:editId="1056AE41" wp14:anchorId="315E1B84">
            <wp:extent cx="1295400" cy="1295400"/>
            <wp:effectExtent l="0" t="0" r="0" b="0"/>
            <wp:docPr id="18064155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6415569" name="Picture 1806415569"/>
                    <pic:cNvPicPr/>
                  </pic:nvPicPr>
                  <pic:blipFill>
                    <a:blip xmlns:r="http://schemas.openxmlformats.org/officeDocument/2006/relationships" r:embed="rId931889414">
                      <a:extLst>
                        <a:ext uri="{28A0092B-C50C-407E-A947-70E740481C1C}">
                          <a14:useLocalDpi xmlns:a14="http://schemas.microsoft.com/office/drawing/2010/main"/>
                        </a:ext>
                      </a:extLst>
                    </a:blip>
                    <a:stretch>
                      <a:fillRect/>
                    </a:stretch>
                  </pic:blipFill>
                  <pic:spPr>
                    <a:xfrm rot="0">
                      <a:off x="0" y="0"/>
                      <a:ext cx="1295400" cy="1295400"/>
                    </a:xfrm>
                    <a:prstGeom prst="rect">
                      <a:avLst/>
                    </a:prstGeom>
                  </pic:spPr>
                </pic:pic>
              </a:graphicData>
            </a:graphic>
          </wp:inline>
        </w:drawing>
      </w:r>
      <w:r w:rsidR="4B04F9F0">
        <w:drawing>
          <wp:inline wp14:editId="1E765594" wp14:anchorId="3DA94844">
            <wp:extent cx="1929962" cy="1245903"/>
            <wp:effectExtent l="0" t="0" r="0" b="0"/>
            <wp:docPr id="19724458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2445827" name="Picture 1972445827"/>
                    <pic:cNvPicPr/>
                  </pic:nvPicPr>
                  <pic:blipFill>
                    <a:blip xmlns:r="http://schemas.openxmlformats.org/officeDocument/2006/relationships" r:embed="rId1105364835">
                      <a:extLst>
                        <a:ext uri="{28A0092B-C50C-407E-A947-70E740481C1C}">
                          <a14:useLocalDpi xmlns:a14="http://schemas.microsoft.com/office/drawing/2010/main"/>
                        </a:ext>
                      </a:extLst>
                    </a:blip>
                    <a:stretch>
                      <a:fillRect/>
                    </a:stretch>
                  </pic:blipFill>
                  <pic:spPr>
                    <a:xfrm rot="0">
                      <a:off x="0" y="0"/>
                      <a:ext cx="1929962" cy="1245903"/>
                    </a:xfrm>
                    <a:prstGeom prst="rect">
                      <a:avLst/>
                    </a:prstGeom>
                  </pic:spPr>
                </pic:pic>
              </a:graphicData>
            </a:graphic>
          </wp:inline>
        </w:drawing>
      </w:r>
    </w:p>
    <w:p w:rsidR="4A2B5F29" w:rsidP="20B79596" w:rsidRDefault="4A2B5F29" w14:paraId="7D2ACCC2" w14:textId="4796AAF6">
      <w:pPr>
        <w:spacing w:before="240" w:beforeAutospacing="off" w:after="240" w:afterAutospacing="off"/>
      </w:pPr>
      <w:r w:rsidRPr="20B79596" w:rsidR="4A2B5F2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The three local authority websites all provide information about Early Help and show that they are focused on supporting children and families at an early stage. They follow national guidance by encouraging early support and different services to work together (Department for Education, 2026).</w:t>
      </w:r>
    </w:p>
    <w:p w:rsidR="4A2B5F29" w:rsidP="20B79596" w:rsidRDefault="4A2B5F29" w14:paraId="79A5109C" w14:textId="7BA49049">
      <w:pPr>
        <w:spacing w:before="240" w:beforeAutospacing="off" w:after="240" w:afterAutospacing="off"/>
      </w:pPr>
      <w:r w:rsidRPr="20B79596" w:rsidR="4A2B5F2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Leeds City Council stands out because its Early Help information is clear and easy to follow. The simple wording and clear referral process make it easier for both families and professionals to understand how to get support. This is important as people are more likely to access services when the information is straightforward and easy to understand (Daniel, Wassell and Gilligan, 2010).</w:t>
      </w:r>
    </w:p>
    <w:p w:rsidR="00E40108" w:rsidP="06431E05" w:rsidRDefault="00E40108" w14:paraId="3B0E18FE" w14:textId="77777777">
      <w:pPr>
        <w:pStyle w:val="isselectedend"/>
        <w:rPr>
          <w:rFonts w:ascii="Arial Nova" w:hAnsi="Arial Nova" w:eastAsia="Arial Nova" w:cs="Arial Nova"/>
          <w:color w:val="000000"/>
          <w:sz w:val="24"/>
          <w:szCs w:val="24"/>
        </w:rPr>
      </w:pPr>
      <w:r w:rsidRPr="06431E05" w:rsidR="1F7BC754">
        <w:rPr>
          <w:rFonts w:ascii="Arial Nova" w:hAnsi="Arial Nova" w:eastAsia="Arial Nova" w:cs="Arial Nova"/>
          <w:color w:val="000000" w:themeColor="text1" w:themeTint="FF" w:themeShade="FF"/>
          <w:sz w:val="24"/>
          <w:szCs w:val="24"/>
        </w:rPr>
        <w:t>Norfolk County Council offers the widest range of information about available services and demonstrates excellent integration between different areas of support. However, the amount of information presented may overwhelm some users. Nottinghamshire County Council provides the most straightforward navigation but offers fewer practical examples of the Early Help process than Leeds.</w:t>
      </w:r>
    </w:p>
    <w:p w:rsidR="00E40108" w:rsidP="06431E05" w:rsidRDefault="00E40108" w14:paraId="26E1A1D1" w14:textId="127CEB20">
      <w:pPr>
        <w:pStyle w:val="isselectedend"/>
        <w:rPr>
          <w:rFonts w:ascii="Arial Nova" w:hAnsi="Arial Nova" w:eastAsia="Arial Nova" w:cs="Arial Nova"/>
          <w:color w:val="000000"/>
          <w:sz w:val="24"/>
          <w:szCs w:val="24"/>
        </w:rPr>
      </w:pPr>
      <w:r w:rsidRPr="06431E05" w:rsidR="1F7BC754">
        <w:rPr>
          <w:rFonts w:ascii="Arial Nova" w:hAnsi="Arial Nova" w:eastAsia="Arial Nova" w:cs="Arial Nova"/>
          <w:color w:val="000000" w:themeColor="text1" w:themeTint="FF" w:themeShade="FF"/>
          <w:sz w:val="24"/>
          <w:szCs w:val="24"/>
        </w:rPr>
        <w:t xml:space="preserve">When comparing all three websites, Leeds </w:t>
      </w:r>
      <w:r w:rsidRPr="06431E05" w:rsidR="1F7BC754">
        <w:rPr>
          <w:rFonts w:ascii="Arial Nova" w:hAnsi="Arial Nova" w:eastAsia="Arial Nova" w:cs="Arial Nova"/>
          <w:color w:val="000000" w:themeColor="text1" w:themeTint="FF" w:themeShade="FF"/>
          <w:sz w:val="24"/>
          <w:szCs w:val="24"/>
        </w:rPr>
        <w:t>appears to achieve</w:t>
      </w:r>
      <w:r w:rsidRPr="06431E05" w:rsidR="1F7BC754">
        <w:rPr>
          <w:rFonts w:ascii="Arial Nova" w:hAnsi="Arial Nova" w:eastAsia="Arial Nova" w:cs="Arial Nova"/>
          <w:color w:val="000000" w:themeColor="text1" w:themeTint="FF" w:themeShade="FF"/>
          <w:sz w:val="24"/>
          <w:szCs w:val="24"/>
        </w:rPr>
        <w:t xml:space="preserve"> the best balance between providing comprehensive information and </w:t>
      </w:r>
      <w:r w:rsidRPr="06431E05" w:rsidR="1F7BC754">
        <w:rPr>
          <w:rFonts w:ascii="Arial Nova" w:hAnsi="Arial Nova" w:eastAsia="Arial Nova" w:cs="Arial Nova"/>
          <w:color w:val="000000" w:themeColor="text1" w:themeTint="FF" w:themeShade="FF"/>
          <w:sz w:val="24"/>
          <w:szCs w:val="24"/>
        </w:rPr>
        <w:t>maintaining</w:t>
      </w:r>
      <w:r w:rsidRPr="06431E05" w:rsidR="1F7BC754">
        <w:rPr>
          <w:rFonts w:ascii="Arial Nova" w:hAnsi="Arial Nova" w:eastAsia="Arial Nova" w:cs="Arial Nova"/>
          <w:color w:val="000000" w:themeColor="text1" w:themeTint="FF" w:themeShade="FF"/>
          <w:sz w:val="24"/>
          <w:szCs w:val="24"/>
        </w:rPr>
        <w:t xml:space="preserve"> accessibility. Its organisation, plain English and clearly signposted referral process are likely to encourage families to seek support at an earlier stage. Norfolk excels in the range of services presented, while Nottinghamshire performs well in website usability. Nevertheless, </w:t>
      </w:r>
      <w:r w:rsidRPr="06431E05" w:rsidR="083B051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Leeds communicates Early Help most effectively because it combines plain English explanations with clear referral pathways and easily accessible contact information. Unlike Norfolk, which provides a larger amount of text, Leeds presents information in a more concise format that is easier for families to understand. Although Nottinghamshire offers excellent navigation, it provides fewer practical examples of how Early Help works in practice.</w:t>
      </w:r>
      <w:r w:rsidRPr="06431E05" w:rsidR="083B0514">
        <w:rPr>
          <w:rFonts w:ascii="Arial Nova" w:hAnsi="Arial Nova" w:eastAsia="Arial Nova" w:cs="Arial Nova"/>
          <w:color w:val="000000" w:themeColor="text1" w:themeTint="FF" w:themeShade="FF"/>
          <w:sz w:val="24"/>
          <w:szCs w:val="24"/>
        </w:rPr>
        <w:t xml:space="preserve"> </w:t>
      </w:r>
    </w:p>
    <w:p w:rsidR="00E40108" w:rsidP="59A7BC8E" w:rsidRDefault="00E40108" w14:paraId="390984BA" w14:textId="77777777">
      <w:pPr>
        <w:pStyle w:val="Heading2"/>
        <w:rPr>
          <w:rFonts w:ascii="Arial Nova" w:hAnsi="Arial Nova" w:eastAsia="Arial Nova" w:cs="Arial Nova"/>
          <w:color w:val="000000"/>
          <w:sz w:val="28"/>
          <w:szCs w:val="28"/>
        </w:rPr>
      </w:pPr>
      <w:r w:rsidRPr="20B79596" w:rsidR="0337D436">
        <w:rPr>
          <w:rFonts w:ascii="Arial Nova" w:hAnsi="Arial Nova" w:eastAsia="Arial Nova" w:cs="Arial Nova"/>
          <w:color w:val="000000" w:themeColor="text1" w:themeTint="FF" w:themeShade="FF"/>
          <w:sz w:val="28"/>
          <w:szCs w:val="28"/>
        </w:rPr>
        <w:t>Conclusion</w:t>
      </w:r>
    </w:p>
    <w:p w:rsidR="4801F3B5" w:rsidP="20B79596" w:rsidRDefault="4801F3B5" w14:paraId="3BA71D5B" w14:textId="366EA873">
      <w:pPr>
        <w:spacing w:before="240" w:beforeAutospacing="off" w:after="240" w:afterAutospacing="off"/>
      </w:pPr>
      <w:r w:rsidRPr="20B79596" w:rsidR="4801F3B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Early Help is a key part of safeguarding as it aims to support children and families before their difficulties become more serious. National guidance highlights the need to identify concerns early, work with different agencies and provide families with clear information (Department for Education, 2026).</w:t>
      </w:r>
    </w:p>
    <w:p w:rsidR="4801F3B5" w:rsidP="20B79596" w:rsidRDefault="4801F3B5" w14:paraId="2A636E90" w14:textId="134B4A51">
      <w:pPr>
        <w:spacing w:before="240" w:beforeAutospacing="off" w:after="240" w:afterAutospacing="off"/>
      </w:pPr>
      <w:r w:rsidRPr="20B79596" w:rsidR="4801F3B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This report explored how Leeds City Council, Norfolk County Council and Nottinghamshire County Council share information about Early Help through their websites. Although all three councils provide support and follow national guidance, the websites differ in how easy their information is to understand and access.</w:t>
      </w:r>
    </w:p>
    <w:p w:rsidR="4B6B42F4" w:rsidP="20B79596" w:rsidRDefault="4B6B42F4" w14:paraId="3AF6C36B" w14:textId="11C7A057">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4B6B42F4">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Leeds City Council was the strongest overall because it provides clear information, simple language and straightforward referral pathways. Norfolk County Council offers a wide range of information but could use shorter text and more visuals. Nottinghamshire County Council has good navigation but could provide more practical examples of how Early Help works.</w:t>
      </w:r>
    </w:p>
    <w:p w:rsidR="4B6B42F4" w:rsidP="20B79596" w:rsidRDefault="4B6B42F4" w14:paraId="1E8E6574" w14:textId="569462AD">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4B6B42F4">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 xml:space="preserve">Overall, local authorities should continue using plain English, visual </w:t>
      </w:r>
      <w:r w:rsidRPr="20B79596" w:rsidR="4B6B42F4">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resources</w:t>
      </w:r>
      <w:r w:rsidRPr="20B79596" w:rsidR="4B6B42F4">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 xml:space="preserve"> and clear referral information. This would make it easier for families to access support early and could lead to better outcomes for children and young people.</w:t>
      </w:r>
    </w:p>
    <w:p w:rsidR="00E40108" w:rsidP="59A7BC8E" w:rsidRDefault="00E40108" w14:paraId="34516C76" w14:textId="77777777">
      <w:pPr>
        <w:pStyle w:val="Heading2"/>
        <w:rPr>
          <w:rFonts w:ascii="Arial Nova" w:hAnsi="Arial Nova" w:eastAsia="Arial Nova" w:cs="Arial Nova"/>
          <w:color w:val="000000"/>
          <w:sz w:val="28"/>
          <w:szCs w:val="28"/>
        </w:rPr>
      </w:pPr>
      <w:r w:rsidRPr="20B79596" w:rsidR="0337D436">
        <w:rPr>
          <w:rFonts w:ascii="Arial Nova" w:hAnsi="Arial Nova" w:eastAsia="Arial Nova" w:cs="Arial Nova"/>
          <w:color w:val="000000" w:themeColor="text1" w:themeTint="FF" w:themeShade="FF"/>
          <w:sz w:val="28"/>
          <w:szCs w:val="28"/>
        </w:rPr>
        <w:t>Recommendations</w:t>
      </w:r>
    </w:p>
    <w:p w:rsidR="08249ED3" w:rsidP="20B79596" w:rsidRDefault="08249ED3" w14:paraId="100FD7E4" w14:textId="0D448B02">
      <w:pPr>
        <w:pStyle w:val="NormalWeb"/>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pPr>
      <w:r w:rsidRPr="20B79596" w:rsidR="08249ED3">
        <w:rPr>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There are several ways local authorities could improve their websites. First, they should use plain English so information is easy for all families to understand. Visual resources, such as flowcharts, infographics and short videos, could also make the Early Help process clearer. FAQs and online self-assessment tools could help families find the right support more quickly. Finally, websites should be regularly updated to make sure information is accurate and follows current safeguarding guidance (Department for Education, 2026).</w:t>
      </w:r>
    </w:p>
    <w:p w:rsidR="7B4A52E1" w:rsidP="06431E05" w:rsidRDefault="7B4A52E1" w14:paraId="463E952B" w14:textId="3C9DD963">
      <w:pPr>
        <w:pStyle w:val="Heading1"/>
        <w:rPr>
          <w:rFonts w:ascii="Arial Nova" w:hAnsi="Arial Nova" w:eastAsia="Arial Nova" w:cs="Arial Nova"/>
          <w:color w:val="000000" w:themeColor="text1" w:themeTint="FF" w:themeShade="FF"/>
          <w:sz w:val="24"/>
          <w:szCs w:val="24"/>
        </w:rPr>
      </w:pPr>
    </w:p>
    <w:p w:rsidR="20B79596" w:rsidP="20B79596" w:rsidRDefault="20B79596" w14:paraId="21BE6433" w14:textId="5ECD48E5">
      <w:pPr>
        <w:pStyle w:val="Heading1"/>
        <w:rPr>
          <w:rFonts w:ascii="Arial Nova" w:hAnsi="Arial Nova" w:eastAsia="Arial Nova" w:cs="Arial Nova"/>
          <w:color w:val="000000" w:themeColor="text1" w:themeTint="FF" w:themeShade="FF"/>
          <w:sz w:val="24"/>
          <w:szCs w:val="24"/>
        </w:rPr>
      </w:pPr>
    </w:p>
    <w:p w:rsidR="34CC18AC" w:rsidP="59A7BC8E" w:rsidRDefault="34CC18AC" w14:paraId="13FBA5C5" w14:textId="5B6C16FB">
      <w:pPr>
        <w:pStyle w:val="Heading1"/>
        <w:rPr>
          <w:rFonts w:ascii="Arial Nova" w:hAnsi="Arial Nova" w:eastAsia="Arial Nova" w:cs="Arial Nova"/>
          <w:color w:val="000000" w:themeColor="text1" w:themeTint="FF" w:themeShade="FF"/>
          <w:sz w:val="28"/>
          <w:szCs w:val="28"/>
        </w:rPr>
      </w:pPr>
      <w:r w:rsidRPr="6FA1694E" w:rsidR="12724BC7">
        <w:rPr>
          <w:rFonts w:ascii="Arial Nova" w:hAnsi="Arial Nova" w:eastAsia="Arial Nova" w:cs="Arial Nova"/>
          <w:color w:val="000000" w:themeColor="text1" w:themeTint="FF" w:themeShade="FF"/>
          <w:sz w:val="28"/>
          <w:szCs w:val="28"/>
        </w:rPr>
        <w:t>Reference List</w:t>
      </w:r>
    </w:p>
    <w:p w:rsidR="00F27822" w:rsidP="06431E05" w:rsidRDefault="00F27822" w14:paraId="6B605DE4" w14:textId="563C3589">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Brandon, M., Bailey, S., Belderson, P., Gardner, R., Sidebotham, P., Dodsworth, J., Warren, C. and Black, J. (2020)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Complexity and challenge: A triennial analysis of serious case reviews 2014–2017</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London: Department for Education.</w:t>
      </w:r>
    </w:p>
    <w:p w:rsidR="00F27822" w:rsidP="06431E05" w:rsidRDefault="00F27822" w14:paraId="14A39A32" w14:textId="1DBEB417">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Children Act 1989. (c.41). London: The Stationery Office.</w:t>
      </w:r>
    </w:p>
    <w:p w:rsidR="00F27822" w:rsidP="06431E05" w:rsidRDefault="00F27822" w14:paraId="046687BA" w14:textId="75E7C234">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Children Act 2004. (</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c.31). London: The Stationery Office.</w:t>
      </w:r>
    </w:p>
    <w:p w:rsidR="00F27822" w:rsidP="06431E05" w:rsidRDefault="00F27822" w14:paraId="71ADBC37" w14:textId="34104313">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Daniel, B., Wassell, S. and Gilligan, R. (2010)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Child Development for Child Care and Protection Workers</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2nd edn. London: Jessica Kingsley Publishers.</w:t>
      </w:r>
    </w:p>
    <w:p w:rsidR="00F27822" w:rsidP="06431E05" w:rsidRDefault="00F27822" w14:paraId="3EADCFD2" w14:textId="3782B4B6">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Department for Education (2025)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Keeping Children Safe in Education 2025: Statutory guidance for schools and colleges</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2de8f04fc7b4445f">
        <w:r w:rsidRPr="06431E05" w:rsidR="14D68943">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https://www.gov.uk/government/publications/keeping-children-safe-in-education--2</w:t>
        </w:r>
      </w:hyperlink>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15 July 2026).</w:t>
      </w:r>
    </w:p>
    <w:p w:rsidR="00F27822" w:rsidP="06431E05" w:rsidRDefault="00F27822" w14:paraId="3F0FA48B" w14:textId="79782A87">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Department for Education (2026)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Working Together to Safeguard Children 2026: A guide to multi-agency working to help, protect and promote the welfare of children</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438e4709039d44d7">
        <w:r w:rsidRPr="06431E05" w:rsidR="14D68943">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https://www.gov.uk/government/publications/working-together-to-safeguard-children--2</w:t>
        </w:r>
      </w:hyperlink>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15 July 2026).</w:t>
      </w:r>
    </w:p>
    <w:p w:rsidR="00F27822" w:rsidP="06431E05" w:rsidRDefault="00F27822" w14:paraId="3FE4BECD" w14:textId="6C5443D2">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Department for Education and Department for Levelling Up, Housing and Communities (2022)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The Early Help System Guide</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01273254d7e14402">
        <w:r w:rsidRPr="06431E05" w:rsidR="14D68943">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https://www.gov.uk/government/publications/supporting-families-early-help-system-guide</w:t>
        </w:r>
      </w:hyperlink>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15 July 2026).</w:t>
      </w:r>
    </w:p>
    <w:p w:rsidR="00F27822" w:rsidP="06431E05" w:rsidRDefault="00F27822" w14:paraId="1E4F7701" w14:textId="582E4C7F">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Featherstone, B., Gupta, A., Morris, K. and Warner, J. (2018)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Protecting Children: A Social Model</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Bristol: Policy Press.</w:t>
      </w:r>
    </w:p>
    <w:p w:rsidR="00F27822" w:rsidP="06431E05" w:rsidRDefault="00F27822" w14:paraId="1A4FA6F5" w14:textId="78116C9C">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HM Government (2018)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Information Sharing: Advice for Practitioners Providing Safeguarding Services to Children, Young People, Parents and Carers</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London: HM Government.</w:t>
      </w:r>
    </w:p>
    <w:p w:rsidR="00F27822" w:rsidP="06431E05" w:rsidRDefault="00F27822" w14:paraId="75F038DC" w14:textId="1E9F8A5E">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Munro, E. (2011)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The Munro Review of Child Protection: Final Report – A Child-Centred System</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London: The Stationery Office.</w:t>
      </w:r>
    </w:p>
    <w:p w:rsidR="00F27822" w:rsidP="06431E05" w:rsidRDefault="00F27822" w14:paraId="5C735870" w14:textId="563501EA">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NSPCC (2025)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Early Help: Supporting Children, Young People and Families</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0290ca4018f04df5">
        <w:r w:rsidRPr="06431E05" w:rsidR="14D68943">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u w:val="none"/>
            <w:lang w:val="en-GB"/>
          </w:rPr>
          <w:t>https://learning.nspcc.org.uk</w:t>
        </w:r>
      </w:hyperlink>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(Accessed: 15 July 2026).</w:t>
      </w:r>
    </w:p>
    <w:p w:rsidR="00F27822" w:rsidP="06431E05" w:rsidRDefault="00F27822" w14:paraId="42278FF7" w14:textId="4C400C38">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Parton, N. (2014)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The Politics of Child Protection: Contemporary Developments and Future Directions</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Basingstoke: Palgrave Macmillan.</w:t>
      </w:r>
    </w:p>
    <w:p w:rsidR="00F27822" w:rsidP="06431E05" w:rsidRDefault="00F27822" w14:paraId="4974F2C3" w14:textId="69326537">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Sidebotham, P. and Heron, J. (2006) 'Child maltreatment in the "Children of the Nineties": A longitudinal study of parental risk factors',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Child Abuse &amp; Neglect</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30(5), pp. 497–522.</w:t>
      </w:r>
    </w:p>
    <w:p w:rsidR="00F27822" w:rsidP="06431E05" w:rsidRDefault="00F27822" w14:paraId="4C9E099A" w14:textId="2FAEE6E8">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United Nations (1989)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Convention on the Rights of the Child</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New York: United Nations.</w:t>
      </w:r>
    </w:p>
    <w:p w:rsidR="00F27822" w:rsidP="06431E05" w:rsidRDefault="00F27822" w14:paraId="002786F8" w14:textId="12ABFADF">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Woodhouse, B. (2018) </w:t>
      </w:r>
      <w:r w:rsidRPr="06431E05" w:rsidR="14D6894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The Child's Voice in Child Protection</w:t>
      </w:r>
      <w:r w:rsidRPr="06431E05" w:rsidR="14D6894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Bristol: Policy Press.</w:t>
      </w:r>
    </w:p>
    <w:p w:rsidR="00F27822" w:rsidP="06431E05" w:rsidRDefault="00F27822" w14:paraId="3FE9CEF9" w14:textId="4A93E774">
      <w:pPr>
        <w:rPr>
          <w:rFonts w:ascii="Arial Nova" w:hAnsi="Arial Nova" w:eastAsia="Arial Nova" w:cs="Arial Nova"/>
        </w:rPr>
      </w:pPr>
    </w:p>
    <w:sectPr w:rsidR="00F27822">
      <w:pgSz w:w="11906" w:h="16838" w:orient="portrait"/>
      <w:pgMar w:top="1440" w:right="1440" w:bottom="1440" w:left="1440" w:header="708" w:footer="708" w:gutter="0"/>
      <w:cols w:space="708"/>
      <w:docGrid w:linePitch="360"/>
      <w:headerReference w:type="default" r:id="R523a12c470714389"/>
      <w:footerReference w:type="default" r:id="Rc99092d803c349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B716379" w:rsidTr="7B716379" w14:paraId="35516DE8">
      <w:trPr>
        <w:trHeight w:val="300"/>
      </w:trPr>
      <w:tc>
        <w:tcPr>
          <w:tcW w:w="3005" w:type="dxa"/>
          <w:tcMar/>
        </w:tcPr>
        <w:p w:rsidR="7B716379" w:rsidP="7B716379" w:rsidRDefault="7B716379" w14:paraId="277C71D6" w14:textId="67830B57">
          <w:pPr>
            <w:pStyle w:val="Header"/>
            <w:bidi w:val="0"/>
            <w:ind w:left="-115"/>
            <w:jc w:val="left"/>
          </w:pPr>
        </w:p>
      </w:tc>
      <w:tc>
        <w:tcPr>
          <w:tcW w:w="3005" w:type="dxa"/>
          <w:tcMar/>
        </w:tcPr>
        <w:p w:rsidR="7B716379" w:rsidP="7B716379" w:rsidRDefault="7B716379" w14:paraId="4E8F5AF0" w14:textId="2FCEBE02">
          <w:pPr>
            <w:pStyle w:val="Header"/>
            <w:bidi w:val="0"/>
            <w:jc w:val="center"/>
          </w:pPr>
        </w:p>
      </w:tc>
      <w:tc>
        <w:tcPr>
          <w:tcW w:w="3005" w:type="dxa"/>
          <w:tcMar/>
        </w:tcPr>
        <w:p w:rsidR="7B716379" w:rsidP="7B716379" w:rsidRDefault="7B716379" w14:paraId="0ECF6CE9" w14:textId="574A1DFB">
          <w:pPr>
            <w:pStyle w:val="Header"/>
            <w:bidi w:val="0"/>
            <w:ind w:right="-115"/>
            <w:jc w:val="right"/>
          </w:pPr>
          <w:r>
            <w:fldChar w:fldCharType="begin"/>
          </w:r>
          <w:r>
            <w:instrText xml:space="preserve">PAGE</w:instrText>
          </w:r>
          <w:r>
            <w:fldChar w:fldCharType="separate"/>
          </w:r>
          <w:r>
            <w:fldChar w:fldCharType="end"/>
          </w:r>
        </w:p>
      </w:tc>
    </w:tr>
  </w:tbl>
  <w:p w:rsidR="7B716379" w:rsidP="7B716379" w:rsidRDefault="7B716379" w14:paraId="2861E90C" w14:textId="4BA6A9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B716379" w:rsidTr="7B716379" w14:paraId="07435410">
      <w:trPr>
        <w:trHeight w:val="300"/>
      </w:trPr>
      <w:tc>
        <w:tcPr>
          <w:tcW w:w="3005" w:type="dxa"/>
          <w:tcMar/>
        </w:tcPr>
        <w:p w:rsidR="7B716379" w:rsidP="7B716379" w:rsidRDefault="7B716379" w14:paraId="5D1B756C" w14:textId="49855F28">
          <w:pPr>
            <w:pStyle w:val="Header"/>
            <w:bidi w:val="0"/>
            <w:ind w:left="-115"/>
            <w:jc w:val="left"/>
          </w:pPr>
        </w:p>
      </w:tc>
      <w:tc>
        <w:tcPr>
          <w:tcW w:w="3005" w:type="dxa"/>
          <w:tcMar/>
        </w:tcPr>
        <w:p w:rsidR="7B716379" w:rsidP="7B716379" w:rsidRDefault="7B716379" w14:paraId="792001B5" w14:textId="687363F6">
          <w:pPr>
            <w:pStyle w:val="Header"/>
            <w:bidi w:val="0"/>
            <w:jc w:val="center"/>
          </w:pPr>
        </w:p>
      </w:tc>
      <w:tc>
        <w:tcPr>
          <w:tcW w:w="3005" w:type="dxa"/>
          <w:tcMar/>
        </w:tcPr>
        <w:p w:rsidR="7B716379" w:rsidP="7B716379" w:rsidRDefault="7B716379" w14:paraId="73BB810D" w14:textId="336493BC">
          <w:pPr>
            <w:pStyle w:val="Header"/>
            <w:bidi w:val="0"/>
            <w:ind w:right="-115"/>
            <w:jc w:val="right"/>
          </w:pPr>
        </w:p>
      </w:tc>
    </w:tr>
  </w:tbl>
  <w:p w:rsidR="7B716379" w:rsidP="7B716379" w:rsidRDefault="7B716379" w14:paraId="66750D60" w14:textId="13E36B2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533"/>
    <w:rsid w:val="00074A20"/>
    <w:rsid w:val="00290533"/>
    <w:rsid w:val="004D4115"/>
    <w:rsid w:val="00BF5726"/>
    <w:rsid w:val="00D25CA6"/>
    <w:rsid w:val="00E00482"/>
    <w:rsid w:val="00E40108"/>
    <w:rsid w:val="00E874A5"/>
    <w:rsid w:val="00F27822"/>
    <w:rsid w:val="018D4C07"/>
    <w:rsid w:val="01EB40FC"/>
    <w:rsid w:val="02B70227"/>
    <w:rsid w:val="0337D436"/>
    <w:rsid w:val="03F91A3C"/>
    <w:rsid w:val="04127FFB"/>
    <w:rsid w:val="0545F1C7"/>
    <w:rsid w:val="0591B073"/>
    <w:rsid w:val="05985FFE"/>
    <w:rsid w:val="05CD4BD5"/>
    <w:rsid w:val="06431E05"/>
    <w:rsid w:val="06F2D42B"/>
    <w:rsid w:val="08249ED3"/>
    <w:rsid w:val="083B0514"/>
    <w:rsid w:val="08BE3CC5"/>
    <w:rsid w:val="08FC795C"/>
    <w:rsid w:val="0972682F"/>
    <w:rsid w:val="0A2A5BA3"/>
    <w:rsid w:val="0AFE666F"/>
    <w:rsid w:val="0BAAA719"/>
    <w:rsid w:val="0CE4A1B5"/>
    <w:rsid w:val="0F11412C"/>
    <w:rsid w:val="0FED62E9"/>
    <w:rsid w:val="10003BED"/>
    <w:rsid w:val="10746C66"/>
    <w:rsid w:val="113D9404"/>
    <w:rsid w:val="126E154E"/>
    <w:rsid w:val="12724BC7"/>
    <w:rsid w:val="14D68943"/>
    <w:rsid w:val="155EAF3B"/>
    <w:rsid w:val="158888EB"/>
    <w:rsid w:val="15AF9BFA"/>
    <w:rsid w:val="1699C7DB"/>
    <w:rsid w:val="178C8403"/>
    <w:rsid w:val="1AFD1A9F"/>
    <w:rsid w:val="1B6D77A8"/>
    <w:rsid w:val="1CC3D329"/>
    <w:rsid w:val="1DBB9472"/>
    <w:rsid w:val="1DD9E7DE"/>
    <w:rsid w:val="1E51EEC5"/>
    <w:rsid w:val="1ED85CBB"/>
    <w:rsid w:val="1F4C8390"/>
    <w:rsid w:val="1F7BC754"/>
    <w:rsid w:val="1F89AA95"/>
    <w:rsid w:val="1FCA3F9F"/>
    <w:rsid w:val="20B79596"/>
    <w:rsid w:val="20FD05C0"/>
    <w:rsid w:val="215AA2D8"/>
    <w:rsid w:val="22151E67"/>
    <w:rsid w:val="23684EFF"/>
    <w:rsid w:val="241CC8D1"/>
    <w:rsid w:val="2422126F"/>
    <w:rsid w:val="249662B9"/>
    <w:rsid w:val="24FE4FDF"/>
    <w:rsid w:val="26D2389B"/>
    <w:rsid w:val="276C1D0D"/>
    <w:rsid w:val="2825D14A"/>
    <w:rsid w:val="297151A5"/>
    <w:rsid w:val="2AA499BE"/>
    <w:rsid w:val="2BF3FD18"/>
    <w:rsid w:val="2C8054F5"/>
    <w:rsid w:val="2E685DF0"/>
    <w:rsid w:val="310CCB08"/>
    <w:rsid w:val="312C5157"/>
    <w:rsid w:val="31F1EEFE"/>
    <w:rsid w:val="32B3FC29"/>
    <w:rsid w:val="334A34B8"/>
    <w:rsid w:val="34CC18AC"/>
    <w:rsid w:val="34E347B4"/>
    <w:rsid w:val="35A7E173"/>
    <w:rsid w:val="35DFEE2B"/>
    <w:rsid w:val="371AD68B"/>
    <w:rsid w:val="377166D5"/>
    <w:rsid w:val="38B2523D"/>
    <w:rsid w:val="3A614F17"/>
    <w:rsid w:val="3B632EE2"/>
    <w:rsid w:val="3CBD9A5E"/>
    <w:rsid w:val="3E87748D"/>
    <w:rsid w:val="3EA8F130"/>
    <w:rsid w:val="3EC0F13E"/>
    <w:rsid w:val="3EDA5111"/>
    <w:rsid w:val="3F71A1B9"/>
    <w:rsid w:val="3F8B10A4"/>
    <w:rsid w:val="3FD07093"/>
    <w:rsid w:val="4056A24F"/>
    <w:rsid w:val="418F8219"/>
    <w:rsid w:val="41EBB03B"/>
    <w:rsid w:val="42ECC7B8"/>
    <w:rsid w:val="438E75A6"/>
    <w:rsid w:val="44C985AA"/>
    <w:rsid w:val="45362055"/>
    <w:rsid w:val="459AEFCA"/>
    <w:rsid w:val="47B12390"/>
    <w:rsid w:val="4801F3B5"/>
    <w:rsid w:val="48376B5E"/>
    <w:rsid w:val="48B1692C"/>
    <w:rsid w:val="48CE319B"/>
    <w:rsid w:val="4A2B5F29"/>
    <w:rsid w:val="4A3054A9"/>
    <w:rsid w:val="4A662FFB"/>
    <w:rsid w:val="4AAB2431"/>
    <w:rsid w:val="4AB7351B"/>
    <w:rsid w:val="4B04F9F0"/>
    <w:rsid w:val="4B6B42F4"/>
    <w:rsid w:val="4B85469A"/>
    <w:rsid w:val="4BB473F6"/>
    <w:rsid w:val="4C9B872E"/>
    <w:rsid w:val="4D4981F6"/>
    <w:rsid w:val="4D78BC1A"/>
    <w:rsid w:val="4D91E648"/>
    <w:rsid w:val="4DE01DFD"/>
    <w:rsid w:val="4E90BA22"/>
    <w:rsid w:val="4F17B7A8"/>
    <w:rsid w:val="4F991D0B"/>
    <w:rsid w:val="538DEA1F"/>
    <w:rsid w:val="53B4147B"/>
    <w:rsid w:val="548EB008"/>
    <w:rsid w:val="54B3E956"/>
    <w:rsid w:val="5641F3C9"/>
    <w:rsid w:val="56B9CFC6"/>
    <w:rsid w:val="56D0DD18"/>
    <w:rsid w:val="57483501"/>
    <w:rsid w:val="58027189"/>
    <w:rsid w:val="59A7BC8E"/>
    <w:rsid w:val="59C23696"/>
    <w:rsid w:val="5A0E7F61"/>
    <w:rsid w:val="5ACC2A71"/>
    <w:rsid w:val="5B27F937"/>
    <w:rsid w:val="5B373832"/>
    <w:rsid w:val="5B44E9DF"/>
    <w:rsid w:val="5B801A39"/>
    <w:rsid w:val="5BC4AC33"/>
    <w:rsid w:val="5BECB9D1"/>
    <w:rsid w:val="5DDE3207"/>
    <w:rsid w:val="5E4B50EF"/>
    <w:rsid w:val="5E766770"/>
    <w:rsid w:val="5F874AD0"/>
    <w:rsid w:val="5FFD0BB8"/>
    <w:rsid w:val="6035072A"/>
    <w:rsid w:val="60CB4950"/>
    <w:rsid w:val="61469D94"/>
    <w:rsid w:val="6152EB0A"/>
    <w:rsid w:val="61B7CF2D"/>
    <w:rsid w:val="632F0577"/>
    <w:rsid w:val="6330092F"/>
    <w:rsid w:val="633C9883"/>
    <w:rsid w:val="63F1AFFB"/>
    <w:rsid w:val="648FD922"/>
    <w:rsid w:val="656D1110"/>
    <w:rsid w:val="6642CBA1"/>
    <w:rsid w:val="685613B2"/>
    <w:rsid w:val="68E2AE37"/>
    <w:rsid w:val="691A58C1"/>
    <w:rsid w:val="6BC31FCA"/>
    <w:rsid w:val="6C6D1036"/>
    <w:rsid w:val="6CA19E4A"/>
    <w:rsid w:val="6D102F5B"/>
    <w:rsid w:val="6D89EFEE"/>
    <w:rsid w:val="6E90D7B6"/>
    <w:rsid w:val="6EC99CF9"/>
    <w:rsid w:val="6EFDFEC7"/>
    <w:rsid w:val="6F3F4462"/>
    <w:rsid w:val="6FA1694E"/>
    <w:rsid w:val="6FD3BBE4"/>
    <w:rsid w:val="70A28D62"/>
    <w:rsid w:val="70FDD0B0"/>
    <w:rsid w:val="710A6F41"/>
    <w:rsid w:val="7255A892"/>
    <w:rsid w:val="72702BE4"/>
    <w:rsid w:val="72B2E787"/>
    <w:rsid w:val="735FBA37"/>
    <w:rsid w:val="741A73F5"/>
    <w:rsid w:val="743A3F6A"/>
    <w:rsid w:val="74D130E6"/>
    <w:rsid w:val="75175F83"/>
    <w:rsid w:val="751E1EAA"/>
    <w:rsid w:val="7654E17C"/>
    <w:rsid w:val="7718972D"/>
    <w:rsid w:val="78DC6FF0"/>
    <w:rsid w:val="7AD1AB11"/>
    <w:rsid w:val="7B01AC6A"/>
    <w:rsid w:val="7B0BE6A4"/>
    <w:rsid w:val="7B4A52E1"/>
    <w:rsid w:val="7B51907F"/>
    <w:rsid w:val="7B716379"/>
    <w:rsid w:val="7C4AAEC0"/>
    <w:rsid w:val="7D21310E"/>
    <w:rsid w:val="7D2D1BD5"/>
    <w:rsid w:val="7D88B7D2"/>
    <w:rsid w:val="7D938C21"/>
    <w:rsid w:val="7DA71177"/>
    <w:rsid w:val="7DAEFA87"/>
    <w:rsid w:val="7E71C4C9"/>
    <w:rsid w:val="7EA52A67"/>
    <w:rsid w:val="7EDE8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87DD0"/>
  <w15:chartTrackingRefBased/>
  <w15:docId w15:val="{BC3C2C8A-FA68-4447-B8EB-1F5D49D2B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290533"/>
    <w:pPr>
      <w:spacing w:before="100" w:beforeAutospacing="1" w:after="100" w:afterAutospacing="1"/>
      <w:outlineLvl w:val="0"/>
    </w:pPr>
    <w:rPr>
      <w:rFonts w:ascii="Times New Roman" w:hAnsi="Times New Roman" w:eastAsia="Times New Roman" w:cs="Times New Roman"/>
      <w:b/>
      <w:bCs/>
      <w:kern w:val="36"/>
      <w:sz w:val="48"/>
      <w:szCs w:val="48"/>
      <w:lang w:eastAsia="en-GB"/>
    </w:rPr>
  </w:style>
  <w:style w:type="paragraph" w:styleId="Heading2">
    <w:name w:val="heading 2"/>
    <w:basedOn w:val="Normal"/>
    <w:link w:val="Heading2Char"/>
    <w:uiPriority w:val="9"/>
    <w:qFormat/>
    <w:rsid w:val="00290533"/>
    <w:pPr>
      <w:spacing w:before="100" w:beforeAutospacing="1" w:after="100" w:afterAutospacing="1"/>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BF5726"/>
    <w:pPr>
      <w:keepNext/>
      <w:keepLines/>
      <w:spacing w:before="40"/>
      <w:outlineLvl w:val="2"/>
    </w:pPr>
    <w:rPr>
      <w:rFonts w:asciiTheme="majorHAnsi" w:hAnsiTheme="majorHAnsi" w:eastAsiaTheme="majorEastAsia" w:cstheme="majorBidi"/>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90533"/>
    <w:rPr>
      <w:rFonts w:ascii="Times New Roman" w:hAnsi="Times New Roman" w:eastAsia="Times New Roman" w:cs="Times New Roman"/>
      <w:b/>
      <w:bCs/>
      <w:kern w:val="36"/>
      <w:sz w:val="48"/>
      <w:szCs w:val="48"/>
      <w:lang w:eastAsia="en-GB"/>
    </w:rPr>
  </w:style>
  <w:style w:type="character" w:styleId="Heading2Char" w:customStyle="1">
    <w:name w:val="Heading 2 Char"/>
    <w:basedOn w:val="DefaultParagraphFont"/>
    <w:link w:val="Heading2"/>
    <w:uiPriority w:val="9"/>
    <w:rsid w:val="00290533"/>
    <w:rPr>
      <w:rFonts w:ascii="Times New Roman" w:hAnsi="Times New Roman" w:eastAsia="Times New Roman" w:cs="Times New Roman"/>
      <w:b/>
      <w:bCs/>
      <w:sz w:val="36"/>
      <w:szCs w:val="36"/>
      <w:lang w:eastAsia="en-GB"/>
    </w:rPr>
  </w:style>
  <w:style w:type="paragraph" w:styleId="isselectedend" w:customStyle="1">
    <w:name w:val="isselectedend"/>
    <w:basedOn w:val="Normal"/>
    <w:rsid w:val="00290533"/>
    <w:pPr>
      <w:spacing w:before="100" w:beforeAutospacing="1" w:after="100" w:afterAutospacing="1"/>
    </w:pPr>
    <w:rPr>
      <w:rFonts w:ascii="Times New Roman" w:hAnsi="Times New Roman" w:eastAsia="Times New Roman" w:cs="Times New Roman"/>
      <w:lang w:eastAsia="en-GB"/>
    </w:rPr>
  </w:style>
  <w:style w:type="character" w:styleId="apple-converted-space" w:customStyle="1">
    <w:name w:val="apple-converted-space"/>
    <w:basedOn w:val="DefaultParagraphFont"/>
    <w:rsid w:val="00290533"/>
  </w:style>
  <w:style w:type="character" w:styleId="Emphasis">
    <w:name w:val="Emphasis"/>
    <w:basedOn w:val="DefaultParagraphFont"/>
    <w:uiPriority w:val="20"/>
    <w:qFormat/>
    <w:rsid w:val="00290533"/>
    <w:rPr>
      <w:i/>
      <w:iCs/>
    </w:rPr>
  </w:style>
  <w:style w:type="paragraph" w:styleId="NormalWeb">
    <w:name w:val="Normal (Web)"/>
    <w:basedOn w:val="Normal"/>
    <w:uiPriority w:val="99"/>
    <w:semiHidden/>
    <w:unhideWhenUsed/>
    <w:rsid w:val="00290533"/>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semiHidden/>
    <w:unhideWhenUsed/>
    <w:rsid w:val="00074A20"/>
    <w:rPr>
      <w:color w:val="0000FF"/>
      <w:u w:val="single"/>
    </w:rPr>
  </w:style>
  <w:style w:type="character" w:styleId="Heading3Char" w:customStyle="1">
    <w:name w:val="Heading 3 Char"/>
    <w:basedOn w:val="DefaultParagraphFont"/>
    <w:link w:val="Heading3"/>
    <w:uiPriority w:val="9"/>
    <w:semiHidden/>
    <w:rsid w:val="00BF5726"/>
    <w:rPr>
      <w:rFonts w:asciiTheme="majorHAnsi" w:hAnsiTheme="majorHAnsi" w:eastAsiaTheme="majorEastAsia" w:cstheme="majorBidi"/>
      <w:color w:val="1F3763" w:themeColor="accent1" w:themeShade="7F"/>
    </w:rPr>
  </w:style>
  <w:style w:type="paragraph" w:styleId="TOC1">
    <w:uiPriority w:val="39"/>
    <w:name w:val="toc 1"/>
    <w:basedOn w:val="Normal"/>
    <w:next w:val="Normal"/>
    <w:unhideWhenUsed/>
    <w:rsid w:val="4F17B7A8"/>
    <w:pPr>
      <w:spacing w:after="100"/>
    </w:pPr>
  </w:style>
  <w:style w:type="paragraph" w:styleId="TOC2">
    <w:uiPriority w:val="39"/>
    <w:name w:val="toc 2"/>
    <w:basedOn w:val="Normal"/>
    <w:next w:val="Normal"/>
    <w:unhideWhenUsed/>
    <w:rsid w:val="4F17B7A8"/>
    <w:pPr>
      <w:spacing w:after="100"/>
      <w:ind w:left="220"/>
    </w:pPr>
  </w:style>
  <w:style w:type="paragraph" w:styleId="TOC3">
    <w:uiPriority w:val="39"/>
    <w:name w:val="toc 3"/>
    <w:basedOn w:val="Normal"/>
    <w:next w:val="Normal"/>
    <w:unhideWhenUsed/>
    <w:rsid w:val="4F17B7A8"/>
    <w:pPr>
      <w:spacing w:after="100"/>
      <w:ind w:left="440"/>
    </w:pPr>
  </w:style>
  <w:style w:type="paragraph" w:styleId="Header">
    <w:uiPriority w:val="99"/>
    <w:name w:val="header"/>
    <w:basedOn w:val="Normal"/>
    <w:unhideWhenUsed/>
    <w:rsid w:val="7B716379"/>
    <w:pPr>
      <w:tabs>
        <w:tab w:val="center" w:leader="none" w:pos="4680"/>
        <w:tab w:val="right" w:leader="none" w:pos="9360"/>
      </w:tabs>
      <w:spacing w:after="0" w:line="240" w:lineRule="auto"/>
    </w:pPr>
  </w:style>
  <w:style w:type="paragraph" w:styleId="Footer">
    <w:uiPriority w:val="99"/>
    <w:name w:val="footer"/>
    <w:basedOn w:val="Normal"/>
    <w:unhideWhenUsed/>
    <w:rsid w:val="7B71637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953238">
      <w:bodyDiv w:val="1"/>
      <w:marLeft w:val="0"/>
      <w:marRight w:val="0"/>
      <w:marTop w:val="0"/>
      <w:marBottom w:val="0"/>
      <w:divBdr>
        <w:top w:val="none" w:sz="0" w:space="0" w:color="auto"/>
        <w:left w:val="none" w:sz="0" w:space="0" w:color="auto"/>
        <w:bottom w:val="none" w:sz="0" w:space="0" w:color="auto"/>
        <w:right w:val="none" w:sz="0" w:space="0" w:color="auto"/>
      </w:divBdr>
    </w:div>
    <w:div w:id="698625344">
      <w:bodyDiv w:val="1"/>
      <w:marLeft w:val="0"/>
      <w:marRight w:val="0"/>
      <w:marTop w:val="0"/>
      <w:marBottom w:val="0"/>
      <w:divBdr>
        <w:top w:val="none" w:sz="0" w:space="0" w:color="auto"/>
        <w:left w:val="none" w:sz="0" w:space="0" w:color="auto"/>
        <w:bottom w:val="none" w:sz="0" w:space="0" w:color="auto"/>
        <w:right w:val="none" w:sz="0" w:space="0" w:color="auto"/>
      </w:divBdr>
    </w:div>
    <w:div w:id="1075014819">
      <w:bodyDiv w:val="1"/>
      <w:marLeft w:val="0"/>
      <w:marRight w:val="0"/>
      <w:marTop w:val="0"/>
      <w:marBottom w:val="0"/>
      <w:divBdr>
        <w:top w:val="none" w:sz="0" w:space="0" w:color="auto"/>
        <w:left w:val="none" w:sz="0" w:space="0" w:color="auto"/>
        <w:bottom w:val="none" w:sz="0" w:space="0" w:color="auto"/>
        <w:right w:val="none" w:sz="0" w:space="0" w:color="auto"/>
      </w:divBdr>
    </w:div>
    <w:div w:id="1495294237">
      <w:bodyDiv w:val="1"/>
      <w:marLeft w:val="0"/>
      <w:marRight w:val="0"/>
      <w:marTop w:val="0"/>
      <w:marBottom w:val="0"/>
      <w:divBdr>
        <w:top w:val="none" w:sz="0" w:space="0" w:color="auto"/>
        <w:left w:val="none" w:sz="0" w:space="0" w:color="auto"/>
        <w:bottom w:val="none" w:sz="0" w:space="0" w:color="auto"/>
        <w:right w:val="none" w:sz="0" w:space="0" w:color="auto"/>
      </w:divBdr>
    </w:div>
    <w:div w:id="1888301140">
      <w:bodyDiv w:val="1"/>
      <w:marLeft w:val="0"/>
      <w:marRight w:val="0"/>
      <w:marTop w:val="0"/>
      <w:marBottom w:val="0"/>
      <w:divBdr>
        <w:top w:val="none" w:sz="0" w:space="0" w:color="auto"/>
        <w:left w:val="none" w:sz="0" w:space="0" w:color="auto"/>
        <w:bottom w:val="none" w:sz="0" w:space="0" w:color="auto"/>
        <w:right w:val="none" w:sz="0" w:space="0" w:color="auto"/>
      </w:divBdr>
    </w:div>
    <w:div w:id="2020347876">
      <w:bodyDiv w:val="1"/>
      <w:marLeft w:val="0"/>
      <w:marRight w:val="0"/>
      <w:marTop w:val="0"/>
      <w:marBottom w:val="0"/>
      <w:divBdr>
        <w:top w:val="none" w:sz="0" w:space="0" w:color="auto"/>
        <w:left w:val="none" w:sz="0" w:space="0" w:color="auto"/>
        <w:bottom w:val="none" w:sz="0" w:space="0" w:color="auto"/>
        <w:right w:val="none" w:sz="0" w:space="0" w:color="auto"/>
      </w:divBdr>
    </w:div>
    <w:div w:id="2041932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gov.uk/government/publications/keeping-children-safe-in-education--2" TargetMode="External" Id="R2de8f04fc7b4445f" /><Relationship Type="http://schemas.openxmlformats.org/officeDocument/2006/relationships/hyperlink" Target="https://www.gov.uk/government/publications/working-together-to-safeguard-children--2" TargetMode="External" Id="R438e4709039d44d7" /><Relationship Type="http://schemas.openxmlformats.org/officeDocument/2006/relationships/hyperlink" Target="https://www.gov.uk/government/publications/supporting-families-early-help-system-guide" TargetMode="External" Id="R01273254d7e14402" /><Relationship Type="http://schemas.openxmlformats.org/officeDocument/2006/relationships/hyperlink" Target="https://learning.nspcc.org.uk/" TargetMode="External" Id="R0290ca4018f04df5" /><Relationship Type="http://schemas.openxmlformats.org/officeDocument/2006/relationships/image" Target="/media/image.png" Id="rId252635864" /><Relationship Type="http://schemas.openxmlformats.org/officeDocument/2006/relationships/image" Target="/media/image2.png" Id="rId473055372" /><Relationship Type="http://schemas.openxmlformats.org/officeDocument/2006/relationships/image" Target="/media/image3.png" Id="rId855347196" /><Relationship Type="http://schemas.openxmlformats.org/officeDocument/2006/relationships/image" Target="/media/image4.png" Id="rId1609022432" /><Relationship Type="http://schemas.openxmlformats.org/officeDocument/2006/relationships/image" Target="/media/image5.png" Id="rId620977920" /><Relationship Type="http://schemas.openxmlformats.org/officeDocument/2006/relationships/image" Target="/media/image6.png" Id="rId931889414" /><Relationship Type="http://schemas.openxmlformats.org/officeDocument/2006/relationships/image" Target="/media/image7.png" Id="rId1105364835" /><Relationship Type="http://schemas.openxmlformats.org/officeDocument/2006/relationships/header" Target="header.xml" Id="R523a12c470714389" /><Relationship Type="http://schemas.openxmlformats.org/officeDocument/2006/relationships/footer" Target="footer.xml" Id="Rc99092d803c3493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jannat ferdaus</dc:creator>
  <keywords/>
  <dc:description/>
  <lastModifiedBy>Sima Pervin (2428548)</lastModifiedBy>
  <revision>30</revision>
  <dcterms:created xsi:type="dcterms:W3CDTF">2026-07-15T08:40:00.0000000Z</dcterms:created>
  <dcterms:modified xsi:type="dcterms:W3CDTF">2026-08-01T18:22:39.6131473Z</dcterms:modified>
</coreProperties>
</file>