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66BFE" w14:textId="60D460AF" w:rsidR="00E05E4D" w:rsidRPr="00534D4C" w:rsidRDefault="00686161" w:rsidP="00686161">
      <w:pPr>
        <w:jc w:val="center"/>
        <w:rPr>
          <w:rFonts w:ascii="Times New Roman" w:hAnsi="Times New Roman" w:cs="Times New Roman"/>
          <w:sz w:val="44"/>
          <w:szCs w:val="44"/>
        </w:rPr>
      </w:pPr>
      <w:r w:rsidRPr="00534D4C">
        <w:rPr>
          <w:rFonts w:ascii="Times New Roman" w:hAnsi="Times New Roman" w:cs="Times New Roman"/>
          <w:sz w:val="44"/>
          <w:szCs w:val="44"/>
        </w:rPr>
        <w:t>Strategic Implementation of Business Intelligence for Enhanced Decision-Making in Logistics</w:t>
      </w:r>
    </w:p>
    <w:p w14:paraId="4E8DF583" w14:textId="2AFD91BD" w:rsidR="00686161" w:rsidRPr="00686161" w:rsidRDefault="00686161" w:rsidP="00686161">
      <w:pPr>
        <w:jc w:val="center"/>
        <w:rPr>
          <w:rFonts w:ascii="Times New Roman" w:hAnsi="Times New Roman" w:cs="Times New Roman"/>
          <w:b/>
          <w:bCs/>
          <w:sz w:val="32"/>
          <w:szCs w:val="32"/>
        </w:rPr>
      </w:pPr>
      <w:r w:rsidRPr="00686161">
        <w:rPr>
          <w:rFonts w:ascii="Times New Roman" w:hAnsi="Times New Roman" w:cs="Times New Roman"/>
          <w:b/>
          <w:bCs/>
          <w:sz w:val="32"/>
          <w:szCs w:val="32"/>
        </w:rPr>
        <w:t>BA (Hons) Business Management</w:t>
      </w:r>
    </w:p>
    <w:p w14:paraId="5CCCB6BC" w14:textId="6DACBF8C" w:rsidR="00686161" w:rsidRDefault="007C3AA2" w:rsidP="00686161">
      <w:pPr>
        <w:jc w:val="center"/>
        <w:rPr>
          <w:rFonts w:ascii="Times New Roman" w:hAnsi="Times New Roman" w:cs="Times New Roman"/>
          <w:b/>
          <w:bCs/>
          <w:sz w:val="32"/>
          <w:szCs w:val="32"/>
        </w:rPr>
      </w:pPr>
      <w:r>
        <w:rPr>
          <w:rFonts w:ascii="Times New Roman" w:hAnsi="Times New Roman" w:cs="Times New Roman"/>
          <w:b/>
          <w:bCs/>
          <w:sz w:val="32"/>
          <w:szCs w:val="32"/>
        </w:rPr>
        <w:t xml:space="preserve">LCBB5014 </w:t>
      </w:r>
      <w:r w:rsidR="00686161" w:rsidRPr="00686161">
        <w:rPr>
          <w:rFonts w:ascii="Times New Roman" w:hAnsi="Times New Roman" w:cs="Times New Roman"/>
          <w:b/>
          <w:bCs/>
          <w:sz w:val="32"/>
          <w:szCs w:val="32"/>
        </w:rPr>
        <w:t>Data Handling &amp; Business Intelligence</w:t>
      </w:r>
    </w:p>
    <w:p w14:paraId="562C65BB" w14:textId="7F1E3176" w:rsidR="00686161" w:rsidRDefault="00686161" w:rsidP="00686161">
      <w:pPr>
        <w:jc w:val="center"/>
        <w:rPr>
          <w:rFonts w:ascii="Times New Roman" w:hAnsi="Times New Roman" w:cs="Times New Roman"/>
          <w:b/>
          <w:bCs/>
          <w:sz w:val="32"/>
          <w:szCs w:val="32"/>
        </w:rPr>
      </w:pPr>
      <w:r>
        <w:rPr>
          <w:rFonts w:ascii="Times New Roman" w:hAnsi="Times New Roman" w:cs="Times New Roman"/>
          <w:b/>
          <w:bCs/>
          <w:sz w:val="32"/>
          <w:szCs w:val="32"/>
        </w:rPr>
        <w:t>Georgiana-Petronela Danila</w:t>
      </w:r>
    </w:p>
    <w:p w14:paraId="445C80CA" w14:textId="720D1564" w:rsidR="00686161" w:rsidRDefault="00686161" w:rsidP="00686161">
      <w:pPr>
        <w:jc w:val="center"/>
        <w:rPr>
          <w:rFonts w:ascii="Times New Roman" w:hAnsi="Times New Roman" w:cs="Times New Roman"/>
          <w:b/>
          <w:bCs/>
          <w:sz w:val="32"/>
          <w:szCs w:val="32"/>
        </w:rPr>
      </w:pPr>
      <w:r>
        <w:rPr>
          <w:rFonts w:ascii="Times New Roman" w:hAnsi="Times New Roman" w:cs="Times New Roman"/>
          <w:b/>
          <w:bCs/>
          <w:sz w:val="32"/>
          <w:szCs w:val="32"/>
        </w:rPr>
        <w:t>Student ID:</w:t>
      </w:r>
      <w:r w:rsidR="007C3AA2">
        <w:rPr>
          <w:rFonts w:ascii="Times New Roman" w:hAnsi="Times New Roman" w:cs="Times New Roman"/>
          <w:b/>
          <w:bCs/>
          <w:sz w:val="32"/>
          <w:szCs w:val="32"/>
        </w:rPr>
        <w:t xml:space="preserve"> 2430335</w:t>
      </w:r>
    </w:p>
    <w:p w14:paraId="68136E65" w14:textId="6E93B2D9" w:rsidR="00686161" w:rsidRDefault="00686161" w:rsidP="00686161">
      <w:pPr>
        <w:jc w:val="center"/>
        <w:rPr>
          <w:rFonts w:ascii="Times New Roman" w:hAnsi="Times New Roman" w:cs="Times New Roman"/>
          <w:b/>
          <w:bCs/>
          <w:sz w:val="32"/>
          <w:szCs w:val="32"/>
        </w:rPr>
      </w:pPr>
    </w:p>
    <w:p w14:paraId="582FE192" w14:textId="77777777" w:rsidR="007C3AA2" w:rsidRDefault="00686161">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imes New Roman" w:hAnsi="Times New Roman" w:cs="Times New Roman"/>
          <w:b/>
          <w:bCs/>
        </w:rPr>
        <w:id w:val="2057124047"/>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3FED8B36" w14:textId="67EA1105" w:rsidR="007C3AA2" w:rsidRPr="007C3AA2" w:rsidRDefault="007C3AA2" w:rsidP="007C3AA2">
          <w:pPr>
            <w:pStyle w:val="TOCHeading"/>
            <w:jc w:val="center"/>
            <w:rPr>
              <w:rFonts w:ascii="Times New Roman" w:hAnsi="Times New Roman" w:cs="Times New Roman"/>
              <w:b/>
              <w:bCs/>
            </w:rPr>
          </w:pPr>
          <w:r w:rsidRPr="007C3AA2">
            <w:rPr>
              <w:rFonts w:ascii="Times New Roman" w:hAnsi="Times New Roman" w:cs="Times New Roman"/>
              <w:b/>
              <w:bCs/>
            </w:rPr>
            <w:t>Table of Contents</w:t>
          </w:r>
        </w:p>
        <w:p w14:paraId="11D1CD24" w14:textId="524523D4" w:rsidR="007C3AA2" w:rsidRPr="007C3AA2" w:rsidRDefault="007C3AA2">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224915161" w:history="1">
            <w:r w:rsidRPr="007C3AA2">
              <w:rPr>
                <w:rStyle w:val="Hyperlink"/>
                <w:rFonts w:ascii="Times New Roman" w:hAnsi="Times New Roman" w:cs="Times New Roman"/>
                <w:b/>
                <w:bCs/>
                <w:noProof/>
                <w:sz w:val="24"/>
                <w:szCs w:val="24"/>
              </w:rPr>
              <w:t>Executive Summary</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_Toc224915161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C3AA2">
              <w:rPr>
                <w:rFonts w:ascii="Times New Roman" w:hAnsi="Times New Roman" w:cs="Times New Roman"/>
                <w:noProof/>
                <w:webHidden/>
                <w:sz w:val="24"/>
                <w:szCs w:val="24"/>
              </w:rPr>
              <w:fldChar w:fldCharType="end"/>
            </w:r>
          </w:hyperlink>
        </w:p>
        <w:p w14:paraId="38B79959" w14:textId="5D495DF3" w:rsidR="007C3AA2" w:rsidRPr="007C3AA2" w:rsidRDefault="007C3AA2">
          <w:pPr>
            <w:pStyle w:val="TOC1"/>
            <w:tabs>
              <w:tab w:val="right" w:leader="dot" w:pos="9350"/>
            </w:tabs>
            <w:rPr>
              <w:rFonts w:ascii="Times New Roman" w:hAnsi="Times New Roman" w:cs="Times New Roman"/>
              <w:noProof/>
              <w:sz w:val="24"/>
              <w:szCs w:val="24"/>
            </w:rPr>
          </w:pPr>
          <w:hyperlink w:anchor="_Toc224915162" w:history="1">
            <w:r w:rsidRPr="007C3AA2">
              <w:rPr>
                <w:rStyle w:val="Hyperlink"/>
                <w:rFonts w:ascii="Times New Roman" w:hAnsi="Times New Roman" w:cs="Times New Roman"/>
                <w:b/>
                <w:bCs/>
                <w:noProof/>
                <w:sz w:val="24"/>
                <w:szCs w:val="24"/>
              </w:rPr>
              <w:t>Introduction</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_Toc224915162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C3AA2">
              <w:rPr>
                <w:rFonts w:ascii="Times New Roman" w:hAnsi="Times New Roman" w:cs="Times New Roman"/>
                <w:noProof/>
                <w:webHidden/>
                <w:sz w:val="24"/>
                <w:szCs w:val="24"/>
              </w:rPr>
              <w:fldChar w:fldCharType="end"/>
            </w:r>
          </w:hyperlink>
        </w:p>
        <w:p w14:paraId="7682B8CE" w14:textId="186BBCE6" w:rsidR="007C3AA2" w:rsidRPr="007C3AA2" w:rsidRDefault="007C3AA2">
          <w:pPr>
            <w:pStyle w:val="TOC1"/>
            <w:tabs>
              <w:tab w:val="right" w:leader="dot" w:pos="9350"/>
            </w:tabs>
            <w:rPr>
              <w:rFonts w:ascii="Times New Roman" w:hAnsi="Times New Roman" w:cs="Times New Roman"/>
              <w:noProof/>
              <w:sz w:val="24"/>
              <w:szCs w:val="24"/>
            </w:rPr>
          </w:pPr>
          <w:hyperlink w:anchor="_Toc224915163" w:history="1">
            <w:r w:rsidRPr="007C3AA2">
              <w:rPr>
                <w:rStyle w:val="Hyperlink"/>
                <w:rFonts w:ascii="Times New Roman" w:hAnsi="Times New Roman" w:cs="Times New Roman"/>
                <w:b/>
                <w:bCs/>
                <w:noProof/>
                <w:sz w:val="24"/>
                <w:szCs w:val="24"/>
              </w:rPr>
              <w:t>Trends in BI, DW and DM</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_Toc224915163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C3AA2">
              <w:rPr>
                <w:rFonts w:ascii="Times New Roman" w:hAnsi="Times New Roman" w:cs="Times New Roman"/>
                <w:noProof/>
                <w:webHidden/>
                <w:sz w:val="24"/>
                <w:szCs w:val="24"/>
              </w:rPr>
              <w:fldChar w:fldCharType="end"/>
            </w:r>
          </w:hyperlink>
        </w:p>
        <w:p w14:paraId="0FF8B000" w14:textId="789BA10E" w:rsidR="007C3AA2" w:rsidRPr="007C3AA2" w:rsidRDefault="007C3AA2">
          <w:pPr>
            <w:pStyle w:val="TOC1"/>
            <w:tabs>
              <w:tab w:val="right" w:leader="dot" w:pos="9350"/>
            </w:tabs>
            <w:rPr>
              <w:rFonts w:ascii="Times New Roman" w:hAnsi="Times New Roman" w:cs="Times New Roman"/>
              <w:noProof/>
              <w:sz w:val="24"/>
              <w:szCs w:val="24"/>
            </w:rPr>
          </w:pPr>
          <w:hyperlink w:anchor="_Toc224915164" w:history="1">
            <w:r w:rsidRPr="007C3AA2">
              <w:rPr>
                <w:rStyle w:val="Hyperlink"/>
                <w:rFonts w:ascii="Times New Roman" w:hAnsi="Times New Roman" w:cs="Times New Roman"/>
                <w:b/>
                <w:bCs/>
                <w:noProof/>
                <w:sz w:val="24"/>
                <w:szCs w:val="24"/>
              </w:rPr>
              <w:t>Data Warehousing in the Organisation Applications</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_Toc224915164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C3AA2">
              <w:rPr>
                <w:rFonts w:ascii="Times New Roman" w:hAnsi="Times New Roman" w:cs="Times New Roman"/>
                <w:noProof/>
                <w:webHidden/>
                <w:sz w:val="24"/>
                <w:szCs w:val="24"/>
              </w:rPr>
              <w:fldChar w:fldCharType="end"/>
            </w:r>
          </w:hyperlink>
        </w:p>
        <w:p w14:paraId="52849889" w14:textId="62477E6C" w:rsidR="007C3AA2" w:rsidRPr="007C3AA2" w:rsidRDefault="007C3AA2">
          <w:pPr>
            <w:pStyle w:val="TOC1"/>
            <w:tabs>
              <w:tab w:val="right" w:leader="dot" w:pos="9350"/>
            </w:tabs>
            <w:rPr>
              <w:rFonts w:ascii="Times New Roman" w:hAnsi="Times New Roman" w:cs="Times New Roman"/>
              <w:noProof/>
              <w:sz w:val="24"/>
              <w:szCs w:val="24"/>
            </w:rPr>
          </w:pPr>
          <w:hyperlink w:anchor="_Toc224915165" w:history="1">
            <w:r w:rsidRPr="007C3AA2">
              <w:rPr>
                <w:rStyle w:val="Hyperlink"/>
                <w:rFonts w:ascii="Times New Roman" w:hAnsi="Times New Roman" w:cs="Times New Roman"/>
                <w:b/>
                <w:bCs/>
                <w:noProof/>
                <w:sz w:val="24"/>
                <w:szCs w:val="24"/>
              </w:rPr>
              <w:t>Data Mining Techniques</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_Toc224915165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C3AA2">
              <w:rPr>
                <w:rFonts w:ascii="Times New Roman" w:hAnsi="Times New Roman" w:cs="Times New Roman"/>
                <w:noProof/>
                <w:webHidden/>
                <w:sz w:val="24"/>
                <w:szCs w:val="24"/>
              </w:rPr>
              <w:fldChar w:fldCharType="end"/>
            </w:r>
          </w:hyperlink>
        </w:p>
        <w:p w14:paraId="43DCA3E0" w14:textId="3D7ABFA1" w:rsidR="007C3AA2" w:rsidRPr="007C3AA2" w:rsidRDefault="007C3AA2">
          <w:pPr>
            <w:pStyle w:val="TOC1"/>
            <w:tabs>
              <w:tab w:val="right" w:leader="dot" w:pos="9350"/>
            </w:tabs>
            <w:rPr>
              <w:rFonts w:ascii="Times New Roman" w:hAnsi="Times New Roman" w:cs="Times New Roman"/>
              <w:noProof/>
              <w:sz w:val="24"/>
              <w:szCs w:val="24"/>
            </w:rPr>
          </w:pPr>
          <w:hyperlink w:anchor="_Toc224915166" w:history="1">
            <w:r w:rsidRPr="007C3AA2">
              <w:rPr>
                <w:rStyle w:val="Hyperlink"/>
                <w:rFonts w:ascii="Times New Roman" w:hAnsi="Times New Roman" w:cs="Times New Roman"/>
                <w:b/>
                <w:bCs/>
                <w:noProof/>
                <w:sz w:val="24"/>
                <w:szCs w:val="24"/>
              </w:rPr>
              <w:t>Predictive Analysis</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_Toc224915166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7C3AA2">
              <w:rPr>
                <w:rFonts w:ascii="Times New Roman" w:hAnsi="Times New Roman" w:cs="Times New Roman"/>
                <w:noProof/>
                <w:webHidden/>
                <w:sz w:val="24"/>
                <w:szCs w:val="24"/>
              </w:rPr>
              <w:fldChar w:fldCharType="end"/>
            </w:r>
          </w:hyperlink>
        </w:p>
        <w:p w14:paraId="028795A1" w14:textId="575B0FF7" w:rsidR="007C3AA2" w:rsidRPr="007C3AA2" w:rsidRDefault="007C3AA2">
          <w:pPr>
            <w:pStyle w:val="TOC1"/>
            <w:tabs>
              <w:tab w:val="right" w:leader="dot" w:pos="9350"/>
            </w:tabs>
            <w:rPr>
              <w:rFonts w:ascii="Times New Roman" w:hAnsi="Times New Roman" w:cs="Times New Roman"/>
              <w:noProof/>
              <w:sz w:val="24"/>
              <w:szCs w:val="24"/>
            </w:rPr>
          </w:pPr>
          <w:hyperlink w:anchor="_Toc224915167" w:history="1">
            <w:r w:rsidRPr="007C3AA2">
              <w:rPr>
                <w:rStyle w:val="Hyperlink"/>
                <w:rFonts w:ascii="Times New Roman" w:hAnsi="Times New Roman" w:cs="Times New Roman"/>
                <w:b/>
                <w:bCs/>
                <w:noProof/>
                <w:sz w:val="24"/>
                <w:szCs w:val="24"/>
              </w:rPr>
              <w:t>Ethical and Data Security Considerations</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_Toc224915167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7C3AA2">
              <w:rPr>
                <w:rFonts w:ascii="Times New Roman" w:hAnsi="Times New Roman" w:cs="Times New Roman"/>
                <w:noProof/>
                <w:webHidden/>
                <w:sz w:val="24"/>
                <w:szCs w:val="24"/>
              </w:rPr>
              <w:fldChar w:fldCharType="end"/>
            </w:r>
          </w:hyperlink>
        </w:p>
        <w:p w14:paraId="2683FF62" w14:textId="67D01DFB" w:rsidR="007C3AA2" w:rsidRPr="007C3AA2" w:rsidRDefault="007C3AA2">
          <w:pPr>
            <w:pStyle w:val="TOC1"/>
            <w:tabs>
              <w:tab w:val="right" w:leader="dot" w:pos="9350"/>
            </w:tabs>
            <w:rPr>
              <w:rFonts w:ascii="Times New Roman" w:hAnsi="Times New Roman" w:cs="Times New Roman"/>
              <w:noProof/>
              <w:sz w:val="24"/>
              <w:szCs w:val="24"/>
            </w:rPr>
          </w:pPr>
          <w:hyperlink w:anchor="_Toc224915168" w:history="1">
            <w:r w:rsidRPr="007C3AA2">
              <w:rPr>
                <w:rStyle w:val="Hyperlink"/>
                <w:rFonts w:ascii="Times New Roman" w:hAnsi="Times New Roman" w:cs="Times New Roman"/>
                <w:b/>
                <w:bCs/>
                <w:noProof/>
                <w:sz w:val="24"/>
                <w:szCs w:val="24"/>
              </w:rPr>
              <w:t>Reporting and Dashboard Solutions</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_Toc224915168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C3AA2">
              <w:rPr>
                <w:rFonts w:ascii="Times New Roman" w:hAnsi="Times New Roman" w:cs="Times New Roman"/>
                <w:noProof/>
                <w:webHidden/>
                <w:sz w:val="24"/>
                <w:szCs w:val="24"/>
              </w:rPr>
              <w:fldChar w:fldCharType="end"/>
            </w:r>
          </w:hyperlink>
        </w:p>
        <w:p w14:paraId="30E9076E" w14:textId="479FD80A" w:rsidR="007C3AA2" w:rsidRPr="007C3AA2" w:rsidRDefault="007C3AA2">
          <w:pPr>
            <w:pStyle w:val="TOC1"/>
            <w:tabs>
              <w:tab w:val="right" w:leader="dot" w:pos="9350"/>
            </w:tabs>
            <w:rPr>
              <w:rFonts w:ascii="Times New Roman" w:hAnsi="Times New Roman" w:cs="Times New Roman"/>
              <w:noProof/>
              <w:sz w:val="24"/>
              <w:szCs w:val="24"/>
            </w:rPr>
          </w:pPr>
          <w:hyperlink w:anchor="_Toc224915169" w:history="1">
            <w:r w:rsidRPr="007C3AA2">
              <w:rPr>
                <w:rStyle w:val="Hyperlink"/>
                <w:rFonts w:ascii="Times New Roman" w:hAnsi="Times New Roman" w:cs="Times New Roman"/>
                <w:b/>
                <w:bCs/>
                <w:noProof/>
                <w:sz w:val="24"/>
                <w:szCs w:val="24"/>
              </w:rPr>
              <w:t>Conclusion</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_Toc224915169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C3AA2">
              <w:rPr>
                <w:rFonts w:ascii="Times New Roman" w:hAnsi="Times New Roman" w:cs="Times New Roman"/>
                <w:noProof/>
                <w:webHidden/>
                <w:sz w:val="24"/>
                <w:szCs w:val="24"/>
              </w:rPr>
              <w:fldChar w:fldCharType="end"/>
            </w:r>
          </w:hyperlink>
        </w:p>
        <w:p w14:paraId="76CED39C" w14:textId="74FFFD98" w:rsidR="007C3AA2" w:rsidRPr="007C3AA2" w:rsidRDefault="007C3AA2">
          <w:pPr>
            <w:pStyle w:val="TOC1"/>
            <w:tabs>
              <w:tab w:val="right" w:leader="dot" w:pos="9350"/>
            </w:tabs>
            <w:rPr>
              <w:rFonts w:ascii="Times New Roman" w:hAnsi="Times New Roman" w:cs="Times New Roman"/>
              <w:noProof/>
              <w:sz w:val="24"/>
              <w:szCs w:val="24"/>
            </w:rPr>
          </w:pPr>
          <w:hyperlink w:anchor="_Toc224915170" w:history="1">
            <w:r w:rsidRPr="007C3AA2">
              <w:rPr>
                <w:rStyle w:val="Hyperlink"/>
                <w:rFonts w:ascii="Times New Roman" w:hAnsi="Times New Roman" w:cs="Times New Roman"/>
                <w:b/>
                <w:bCs/>
                <w:noProof/>
                <w:sz w:val="24"/>
                <w:szCs w:val="24"/>
              </w:rPr>
              <w:t>References</w:t>
            </w:r>
            <w:r w:rsidRPr="007C3AA2">
              <w:rPr>
                <w:rFonts w:ascii="Times New Roman" w:hAnsi="Times New Roman" w:cs="Times New Roman"/>
                <w:noProof/>
                <w:webHidden/>
                <w:sz w:val="24"/>
                <w:szCs w:val="24"/>
              </w:rPr>
              <w:tab/>
            </w:r>
            <w:r w:rsidRPr="007C3AA2">
              <w:rPr>
                <w:rFonts w:ascii="Times New Roman" w:hAnsi="Times New Roman" w:cs="Times New Roman"/>
                <w:noProof/>
                <w:webHidden/>
                <w:sz w:val="24"/>
                <w:szCs w:val="24"/>
              </w:rPr>
              <w:fldChar w:fldCharType="begin"/>
            </w:r>
            <w:r w:rsidRPr="007C3AA2">
              <w:rPr>
                <w:rFonts w:ascii="Times New Roman" w:hAnsi="Times New Roman" w:cs="Times New Roman"/>
                <w:noProof/>
                <w:webHidden/>
                <w:sz w:val="24"/>
                <w:szCs w:val="24"/>
              </w:rPr>
              <w:instrText xml:space="preserve"> PAGEREF _Toc224915170 \h </w:instrText>
            </w:r>
            <w:r w:rsidRPr="007C3AA2">
              <w:rPr>
                <w:rFonts w:ascii="Times New Roman" w:hAnsi="Times New Roman" w:cs="Times New Roman"/>
                <w:noProof/>
                <w:webHidden/>
                <w:sz w:val="24"/>
                <w:szCs w:val="24"/>
              </w:rPr>
            </w:r>
            <w:r w:rsidRPr="007C3AA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7C3AA2">
              <w:rPr>
                <w:rFonts w:ascii="Times New Roman" w:hAnsi="Times New Roman" w:cs="Times New Roman"/>
                <w:noProof/>
                <w:webHidden/>
                <w:sz w:val="24"/>
                <w:szCs w:val="24"/>
              </w:rPr>
              <w:fldChar w:fldCharType="end"/>
            </w:r>
          </w:hyperlink>
        </w:p>
        <w:p w14:paraId="1702630C" w14:textId="3C704730" w:rsidR="007C3AA2" w:rsidRDefault="007C3AA2">
          <w:r>
            <w:rPr>
              <w:b/>
              <w:bCs/>
              <w:noProof/>
            </w:rPr>
            <w:fldChar w:fldCharType="end"/>
          </w:r>
        </w:p>
      </w:sdtContent>
    </w:sdt>
    <w:p w14:paraId="3341345B" w14:textId="6081402A" w:rsidR="00686161" w:rsidRDefault="00686161">
      <w:pPr>
        <w:rPr>
          <w:rFonts w:ascii="Times New Roman" w:hAnsi="Times New Roman" w:cs="Times New Roman"/>
          <w:b/>
          <w:bCs/>
          <w:sz w:val="32"/>
          <w:szCs w:val="32"/>
        </w:rPr>
      </w:pPr>
    </w:p>
    <w:p w14:paraId="59877EA5" w14:textId="3E1275A7" w:rsidR="007C3AA2" w:rsidRDefault="007C3AA2">
      <w:pPr>
        <w:rPr>
          <w:rFonts w:ascii="Times New Roman" w:hAnsi="Times New Roman" w:cs="Times New Roman"/>
          <w:b/>
          <w:bCs/>
          <w:sz w:val="32"/>
          <w:szCs w:val="32"/>
        </w:rPr>
      </w:pPr>
    </w:p>
    <w:p w14:paraId="65386F38" w14:textId="2E28083F" w:rsidR="007C3AA2" w:rsidRDefault="007C3AA2">
      <w:pPr>
        <w:rPr>
          <w:rFonts w:ascii="Times New Roman" w:hAnsi="Times New Roman" w:cs="Times New Roman"/>
          <w:b/>
          <w:bCs/>
          <w:sz w:val="32"/>
          <w:szCs w:val="32"/>
        </w:rPr>
      </w:pPr>
    </w:p>
    <w:p w14:paraId="50D12C5B" w14:textId="48DBE7FF" w:rsidR="007C3AA2" w:rsidRDefault="007C3AA2">
      <w:pPr>
        <w:rPr>
          <w:rFonts w:ascii="Times New Roman" w:hAnsi="Times New Roman" w:cs="Times New Roman"/>
          <w:b/>
          <w:bCs/>
          <w:sz w:val="32"/>
          <w:szCs w:val="32"/>
        </w:rPr>
      </w:pPr>
    </w:p>
    <w:p w14:paraId="37600C30" w14:textId="448C5233" w:rsidR="007C3AA2" w:rsidRDefault="007C3AA2">
      <w:pPr>
        <w:rPr>
          <w:rFonts w:ascii="Times New Roman" w:hAnsi="Times New Roman" w:cs="Times New Roman"/>
          <w:b/>
          <w:bCs/>
          <w:sz w:val="32"/>
          <w:szCs w:val="32"/>
        </w:rPr>
      </w:pPr>
    </w:p>
    <w:p w14:paraId="563A4E96" w14:textId="2D121644" w:rsidR="007C3AA2" w:rsidRDefault="007C3AA2">
      <w:pPr>
        <w:rPr>
          <w:rFonts w:ascii="Times New Roman" w:hAnsi="Times New Roman" w:cs="Times New Roman"/>
          <w:b/>
          <w:bCs/>
          <w:sz w:val="32"/>
          <w:szCs w:val="32"/>
        </w:rPr>
      </w:pPr>
    </w:p>
    <w:p w14:paraId="29ED0911" w14:textId="7C222FBB" w:rsidR="007C3AA2" w:rsidRDefault="007C3AA2">
      <w:pPr>
        <w:rPr>
          <w:rFonts w:ascii="Times New Roman" w:hAnsi="Times New Roman" w:cs="Times New Roman"/>
          <w:b/>
          <w:bCs/>
          <w:sz w:val="32"/>
          <w:szCs w:val="32"/>
        </w:rPr>
      </w:pPr>
    </w:p>
    <w:p w14:paraId="468E18C3" w14:textId="627F540D" w:rsidR="007C3AA2" w:rsidRDefault="007C3AA2">
      <w:pPr>
        <w:rPr>
          <w:rFonts w:ascii="Times New Roman" w:hAnsi="Times New Roman" w:cs="Times New Roman"/>
          <w:b/>
          <w:bCs/>
          <w:sz w:val="32"/>
          <w:szCs w:val="32"/>
        </w:rPr>
      </w:pPr>
    </w:p>
    <w:p w14:paraId="49C854E8" w14:textId="2C017A2D" w:rsidR="007C3AA2" w:rsidRDefault="007C3AA2">
      <w:pPr>
        <w:rPr>
          <w:rFonts w:ascii="Times New Roman" w:hAnsi="Times New Roman" w:cs="Times New Roman"/>
          <w:b/>
          <w:bCs/>
          <w:sz w:val="32"/>
          <w:szCs w:val="32"/>
        </w:rPr>
      </w:pPr>
    </w:p>
    <w:p w14:paraId="4FB8CFA9" w14:textId="11C866C3" w:rsidR="007C3AA2" w:rsidRDefault="007C3AA2">
      <w:pPr>
        <w:rPr>
          <w:rFonts w:ascii="Times New Roman" w:hAnsi="Times New Roman" w:cs="Times New Roman"/>
          <w:b/>
          <w:bCs/>
          <w:sz w:val="32"/>
          <w:szCs w:val="32"/>
        </w:rPr>
      </w:pPr>
    </w:p>
    <w:p w14:paraId="501B0D16" w14:textId="113451EA" w:rsidR="007C3AA2" w:rsidRDefault="007C3AA2">
      <w:pPr>
        <w:rPr>
          <w:rFonts w:ascii="Times New Roman" w:hAnsi="Times New Roman" w:cs="Times New Roman"/>
          <w:b/>
          <w:bCs/>
          <w:sz w:val="32"/>
          <w:szCs w:val="32"/>
        </w:rPr>
      </w:pPr>
    </w:p>
    <w:p w14:paraId="1F3734B5" w14:textId="37EF8BBE" w:rsidR="007C3AA2" w:rsidRDefault="007C3AA2">
      <w:pPr>
        <w:rPr>
          <w:rFonts w:ascii="Times New Roman" w:hAnsi="Times New Roman" w:cs="Times New Roman"/>
          <w:b/>
          <w:bCs/>
          <w:sz w:val="32"/>
          <w:szCs w:val="32"/>
        </w:rPr>
      </w:pPr>
    </w:p>
    <w:p w14:paraId="72601911" w14:textId="7C4ECF50" w:rsidR="007C3AA2" w:rsidRDefault="007C3AA2">
      <w:pPr>
        <w:rPr>
          <w:rFonts w:ascii="Times New Roman" w:hAnsi="Times New Roman" w:cs="Times New Roman"/>
          <w:b/>
          <w:bCs/>
          <w:sz w:val="32"/>
          <w:szCs w:val="32"/>
        </w:rPr>
      </w:pPr>
    </w:p>
    <w:p w14:paraId="76742E8A" w14:textId="77777777" w:rsidR="007C3AA2" w:rsidRDefault="007C3AA2">
      <w:pPr>
        <w:rPr>
          <w:rFonts w:ascii="Times New Roman" w:hAnsi="Times New Roman" w:cs="Times New Roman"/>
          <w:b/>
          <w:bCs/>
          <w:sz w:val="32"/>
          <w:szCs w:val="32"/>
        </w:rPr>
      </w:pPr>
    </w:p>
    <w:p w14:paraId="4785AEE7" w14:textId="2F00D36F" w:rsidR="00686161" w:rsidRPr="00534D4C" w:rsidRDefault="00534D4C" w:rsidP="00534D4C">
      <w:pPr>
        <w:pStyle w:val="Heading1"/>
        <w:rPr>
          <w:rFonts w:ascii="Times New Roman" w:hAnsi="Times New Roman" w:cs="Times New Roman"/>
          <w:b/>
          <w:bCs/>
          <w:u w:val="single"/>
        </w:rPr>
      </w:pPr>
      <w:bookmarkStart w:id="0" w:name="_Toc224915161"/>
      <w:r w:rsidRPr="00534D4C">
        <w:rPr>
          <w:rFonts w:ascii="Times New Roman" w:hAnsi="Times New Roman" w:cs="Times New Roman"/>
          <w:b/>
          <w:bCs/>
          <w:u w:val="single"/>
        </w:rPr>
        <w:lastRenderedPageBreak/>
        <w:t>Executive Summary</w:t>
      </w:r>
      <w:bookmarkEnd w:id="0"/>
    </w:p>
    <w:p w14:paraId="4DBC09D6" w14:textId="41D23FA4" w:rsidR="00534D4C" w:rsidRDefault="00534D4C" w:rsidP="00686161">
      <w:pPr>
        <w:rPr>
          <w:rFonts w:ascii="Times New Roman" w:hAnsi="Times New Roman" w:cs="Times New Roman"/>
          <w:b/>
          <w:bCs/>
          <w:sz w:val="32"/>
          <w:szCs w:val="32"/>
          <w:u w:val="single"/>
        </w:rPr>
      </w:pPr>
    </w:p>
    <w:p w14:paraId="39E05BCF" w14:textId="2BBCBDF0" w:rsidR="00534D4C" w:rsidRDefault="00534D4C" w:rsidP="00534D4C">
      <w:pPr>
        <w:spacing w:line="360" w:lineRule="auto"/>
        <w:rPr>
          <w:rFonts w:ascii="Times New Roman" w:hAnsi="Times New Roman" w:cs="Times New Roman"/>
          <w:sz w:val="24"/>
          <w:szCs w:val="24"/>
        </w:rPr>
      </w:pPr>
      <w:r w:rsidRPr="00534D4C">
        <w:rPr>
          <w:rFonts w:ascii="Times New Roman" w:hAnsi="Times New Roman" w:cs="Times New Roman"/>
          <w:sz w:val="24"/>
          <w:szCs w:val="24"/>
        </w:rPr>
        <w:t xml:space="preserve">This report assesses the strategic integration of Business Intelligence (BI), Data Warehousing (DW), and Data Mining (DM) at "Apex Global Logistics," a medium-sized UK-based third-party logistics (3PL) provider. The report critically evaluates modern BI technologies, particularly cloud-based data warehousing and real-time Internet of Things (IoT) analytics, </w:t>
      </w:r>
      <w:proofErr w:type="spellStart"/>
      <w:r w:rsidRPr="00534D4C">
        <w:rPr>
          <w:rFonts w:ascii="Times New Roman" w:hAnsi="Times New Roman" w:cs="Times New Roman"/>
          <w:sz w:val="24"/>
          <w:szCs w:val="24"/>
        </w:rPr>
        <w:t>emphasising</w:t>
      </w:r>
      <w:proofErr w:type="spellEnd"/>
      <w:r w:rsidRPr="00534D4C">
        <w:rPr>
          <w:rFonts w:ascii="Times New Roman" w:hAnsi="Times New Roman" w:cs="Times New Roman"/>
          <w:sz w:val="24"/>
          <w:szCs w:val="24"/>
        </w:rPr>
        <w:t xml:space="preserve"> their ability to unite currently fragmented supply chain data systems. The findings show that using Kimball's dimensional modelling in conjunction with clustering and regression data mining approaches can greatly improve route planning and client segmentation.</w:t>
      </w:r>
      <w:r>
        <w:rPr>
          <w:rFonts w:ascii="Times New Roman" w:hAnsi="Times New Roman" w:cs="Times New Roman"/>
          <w:sz w:val="24"/>
          <w:szCs w:val="24"/>
        </w:rPr>
        <w:t xml:space="preserve"> </w:t>
      </w:r>
      <w:r w:rsidRPr="00534D4C">
        <w:rPr>
          <w:rFonts w:ascii="Times New Roman" w:hAnsi="Times New Roman" w:cs="Times New Roman"/>
          <w:sz w:val="24"/>
          <w:szCs w:val="24"/>
        </w:rPr>
        <w:t xml:space="preserve">Furthermore, the report advises using Power BI and RapidMiner for predictive analytics and real-time dashboards. Finally, it </w:t>
      </w:r>
      <w:proofErr w:type="spellStart"/>
      <w:r w:rsidRPr="00534D4C">
        <w:rPr>
          <w:rFonts w:ascii="Times New Roman" w:hAnsi="Times New Roman" w:cs="Times New Roman"/>
          <w:sz w:val="24"/>
          <w:szCs w:val="24"/>
        </w:rPr>
        <w:t>emphasises</w:t>
      </w:r>
      <w:proofErr w:type="spellEnd"/>
      <w:r w:rsidRPr="00534D4C">
        <w:rPr>
          <w:rFonts w:ascii="Times New Roman" w:hAnsi="Times New Roman" w:cs="Times New Roman"/>
          <w:sz w:val="24"/>
          <w:szCs w:val="24"/>
        </w:rPr>
        <w:t xml:space="preserve"> the importance of strict adherence to GDPR standards for driver telematics in mitigating inherent ethical and cybersecurity risks, and concludes with a framework for long-term data-driven decision-making.</w:t>
      </w:r>
    </w:p>
    <w:p w14:paraId="02CF6580" w14:textId="697593A6" w:rsidR="00534D4C" w:rsidRDefault="00534D4C" w:rsidP="00534D4C">
      <w:pPr>
        <w:spacing w:line="360" w:lineRule="auto"/>
        <w:rPr>
          <w:rFonts w:ascii="Times New Roman" w:hAnsi="Times New Roman" w:cs="Times New Roman"/>
          <w:sz w:val="24"/>
          <w:szCs w:val="24"/>
        </w:rPr>
      </w:pPr>
    </w:p>
    <w:p w14:paraId="5EAE3154" w14:textId="70643D88" w:rsidR="00534D4C" w:rsidRDefault="00534D4C" w:rsidP="00534D4C">
      <w:pPr>
        <w:pStyle w:val="Heading1"/>
        <w:rPr>
          <w:rFonts w:ascii="Times New Roman" w:hAnsi="Times New Roman" w:cs="Times New Roman"/>
          <w:b/>
          <w:bCs/>
          <w:u w:val="single"/>
        </w:rPr>
      </w:pPr>
      <w:bookmarkStart w:id="1" w:name="_Toc224915162"/>
      <w:r w:rsidRPr="00534D4C">
        <w:rPr>
          <w:rFonts w:ascii="Times New Roman" w:hAnsi="Times New Roman" w:cs="Times New Roman"/>
          <w:b/>
          <w:bCs/>
          <w:u w:val="single"/>
        </w:rPr>
        <w:t>Introduction</w:t>
      </w:r>
      <w:bookmarkEnd w:id="1"/>
    </w:p>
    <w:p w14:paraId="509981C4" w14:textId="2C1423AE" w:rsidR="00534D4C" w:rsidRDefault="00534D4C" w:rsidP="00534D4C"/>
    <w:p w14:paraId="1BA99E22" w14:textId="1B8204B1" w:rsidR="00534D4C" w:rsidRDefault="00534D4C" w:rsidP="00534D4C">
      <w:pPr>
        <w:spacing w:line="360" w:lineRule="auto"/>
        <w:rPr>
          <w:rFonts w:ascii="Times New Roman" w:hAnsi="Times New Roman" w:cs="Times New Roman"/>
          <w:sz w:val="24"/>
          <w:szCs w:val="24"/>
        </w:rPr>
      </w:pPr>
      <w:r w:rsidRPr="00534D4C">
        <w:rPr>
          <w:rFonts w:ascii="Times New Roman" w:hAnsi="Times New Roman" w:cs="Times New Roman"/>
          <w:sz w:val="24"/>
          <w:szCs w:val="24"/>
        </w:rPr>
        <w:t xml:space="preserve">Apex Global Logistics is a medium-sized company that operates in the highly competitive third-party logistics (3PL) sector throughout the United Kingdom and continental Europe. The </w:t>
      </w:r>
      <w:proofErr w:type="spellStart"/>
      <w:r w:rsidRPr="00534D4C">
        <w:rPr>
          <w:rFonts w:ascii="Times New Roman" w:hAnsi="Times New Roman" w:cs="Times New Roman"/>
          <w:sz w:val="24"/>
          <w:szCs w:val="24"/>
        </w:rPr>
        <w:t>organisation</w:t>
      </w:r>
      <w:proofErr w:type="spellEnd"/>
      <w:r w:rsidRPr="00534D4C">
        <w:rPr>
          <w:rFonts w:ascii="Times New Roman" w:hAnsi="Times New Roman" w:cs="Times New Roman"/>
          <w:sz w:val="24"/>
          <w:szCs w:val="24"/>
        </w:rPr>
        <w:t xml:space="preserve"> provides freight forwarding, extensive warehousing, and intricate last-mile delivery services. Apex's operational efficacy is now severely limited by siloed information systems; warehouse management software, vehicular fleet telematics, and client relationship management (CRM) databases operate independently. This fragmentation prevents the synthesis of complete intelligence, limiting proactive strategic monitoring.</w:t>
      </w:r>
    </w:p>
    <w:p w14:paraId="65FAC933" w14:textId="0BBD09D8" w:rsidR="00534D4C" w:rsidRDefault="00534D4C" w:rsidP="00534D4C">
      <w:pPr>
        <w:spacing w:line="360" w:lineRule="auto"/>
        <w:rPr>
          <w:rFonts w:ascii="Times New Roman" w:hAnsi="Times New Roman" w:cs="Times New Roman"/>
          <w:sz w:val="24"/>
          <w:szCs w:val="24"/>
        </w:rPr>
      </w:pPr>
      <w:r w:rsidRPr="00534D4C">
        <w:rPr>
          <w:rFonts w:ascii="Times New Roman" w:hAnsi="Times New Roman" w:cs="Times New Roman"/>
          <w:sz w:val="24"/>
          <w:szCs w:val="24"/>
        </w:rPr>
        <w:t xml:space="preserve">The key objective of this report is to critically assess how the strategic adoption of Business Intelligence (BI), Data Warehousing (DW), and Data Mining (DM) might transform Apex's heterogeneous operational data into a cohesive, strategic asset. Before recommending a specific data warehouse design, this examination will establish basic BI paradigms and investigate current industry trends. The research will then identify very targeted data mining approaches and predictive analytics tools for improving fleet and warehouse operations. Finally, the report will </w:t>
      </w:r>
      <w:r w:rsidRPr="00534D4C">
        <w:rPr>
          <w:rFonts w:ascii="Times New Roman" w:hAnsi="Times New Roman" w:cs="Times New Roman"/>
          <w:sz w:val="24"/>
          <w:szCs w:val="24"/>
        </w:rPr>
        <w:lastRenderedPageBreak/>
        <w:t>critically evaluate the ethical and data security implications of modern tracking technologies, culminating with practical recommendations for real-time reporting infrastructures.</w:t>
      </w:r>
    </w:p>
    <w:p w14:paraId="6E2F609C" w14:textId="2A9A22E8" w:rsidR="00534D4C" w:rsidRDefault="00534D4C" w:rsidP="00534D4C">
      <w:pPr>
        <w:spacing w:line="360" w:lineRule="auto"/>
        <w:rPr>
          <w:rFonts w:ascii="Times New Roman" w:hAnsi="Times New Roman" w:cs="Times New Roman"/>
          <w:sz w:val="24"/>
          <w:szCs w:val="24"/>
        </w:rPr>
      </w:pPr>
    </w:p>
    <w:p w14:paraId="7639D6D9" w14:textId="4989B302" w:rsidR="00534D4C" w:rsidRDefault="00534D4C" w:rsidP="00534D4C">
      <w:pPr>
        <w:pStyle w:val="Heading1"/>
        <w:rPr>
          <w:rFonts w:ascii="Times New Roman" w:hAnsi="Times New Roman" w:cs="Times New Roman"/>
          <w:b/>
          <w:bCs/>
          <w:u w:val="single"/>
        </w:rPr>
      </w:pPr>
      <w:bookmarkStart w:id="2" w:name="_Toc224915163"/>
      <w:r w:rsidRPr="00534D4C">
        <w:rPr>
          <w:rFonts w:ascii="Times New Roman" w:hAnsi="Times New Roman" w:cs="Times New Roman"/>
          <w:b/>
          <w:bCs/>
          <w:u w:val="single"/>
        </w:rPr>
        <w:t>Trends in BI, DW and DM</w:t>
      </w:r>
      <w:bookmarkEnd w:id="2"/>
    </w:p>
    <w:p w14:paraId="42A529E5" w14:textId="55450BAF" w:rsidR="00725294" w:rsidRDefault="00725294" w:rsidP="00725294"/>
    <w:p w14:paraId="54DE1C14" w14:textId="449D5366" w:rsidR="00725294" w:rsidRDefault="00725294" w:rsidP="00725294">
      <w:pPr>
        <w:spacing w:line="360" w:lineRule="auto"/>
        <w:rPr>
          <w:rFonts w:ascii="Times New Roman" w:hAnsi="Times New Roman" w:cs="Times New Roman"/>
          <w:sz w:val="24"/>
          <w:szCs w:val="24"/>
        </w:rPr>
      </w:pPr>
      <w:r w:rsidRPr="00725294">
        <w:rPr>
          <w:rFonts w:ascii="Times New Roman" w:hAnsi="Times New Roman" w:cs="Times New Roman"/>
          <w:sz w:val="24"/>
          <w:szCs w:val="24"/>
        </w:rPr>
        <w:t xml:space="preserve">Business intelligence (BI) refers to the overall infrastructures, tools, and processes used to transform raw, disjointed data into meaningful and usable insight for business analysis (Turban et al., 2021). Data Warehousing (DW) is the basic framework for this process, offering a </w:t>
      </w:r>
      <w:proofErr w:type="spellStart"/>
      <w:r w:rsidRPr="00725294">
        <w:rPr>
          <w:rFonts w:ascii="Times New Roman" w:hAnsi="Times New Roman" w:cs="Times New Roman"/>
          <w:sz w:val="24"/>
          <w:szCs w:val="24"/>
        </w:rPr>
        <w:t>centralised</w:t>
      </w:r>
      <w:proofErr w:type="spellEnd"/>
      <w:r w:rsidRPr="00725294">
        <w:rPr>
          <w:rFonts w:ascii="Times New Roman" w:hAnsi="Times New Roman" w:cs="Times New Roman"/>
          <w:sz w:val="24"/>
          <w:szCs w:val="24"/>
        </w:rPr>
        <w:t>, historical archive of integrated data. Data Mining (DM) is the next analytical skill, which uses complex algorithms to identify hidden patterns, correlations, and anomalies within massive datasets in order to properly forecast future business events (Sharda et al., 2020).</w:t>
      </w:r>
    </w:p>
    <w:p w14:paraId="629557C1" w14:textId="59404BFB" w:rsidR="00725294" w:rsidRDefault="00725294" w:rsidP="00725294">
      <w:pPr>
        <w:spacing w:line="360" w:lineRule="auto"/>
        <w:rPr>
          <w:rFonts w:ascii="Times New Roman" w:hAnsi="Times New Roman" w:cs="Times New Roman"/>
          <w:sz w:val="24"/>
          <w:szCs w:val="24"/>
        </w:rPr>
      </w:pPr>
      <w:r w:rsidRPr="00725294">
        <w:rPr>
          <w:rFonts w:ascii="Times New Roman" w:hAnsi="Times New Roman" w:cs="Times New Roman"/>
          <w:sz w:val="24"/>
          <w:szCs w:val="24"/>
        </w:rPr>
        <w:t>One of the emerging trends in Business Intelligence (BI) is the move towards real-time analytics using Internet of Things (IoT) technology. Data volumes produced by a logistics company with hundreds of vehicles with IoT sensors on board can be utilized for improved business intelligence such as GPS locations, engine health checks, and telematics data like fuel consumption and vehicle speeds. With today’s BI solutions, businesses are able to make use of real-time streaming data in order to provide instant decision making. Using traffic monitoring data, a road accident can be quickly spotted, and the vehicle can be re-routed in real time, thereby saving a lot of time (Chen et al., 20</w:t>
      </w:r>
      <w:r w:rsidR="004F086F">
        <w:rPr>
          <w:rFonts w:ascii="Times New Roman" w:hAnsi="Times New Roman" w:cs="Times New Roman"/>
          <w:sz w:val="24"/>
          <w:szCs w:val="24"/>
        </w:rPr>
        <w:t>1</w:t>
      </w:r>
      <w:r w:rsidRPr="00725294">
        <w:rPr>
          <w:rFonts w:ascii="Times New Roman" w:hAnsi="Times New Roman" w:cs="Times New Roman"/>
          <w:sz w:val="24"/>
          <w:szCs w:val="24"/>
        </w:rPr>
        <w:t>2). Cloud Data Warehousing Another trend seen in modern day Business Intelligence is the use of cloud data warehousing. Almost all the companies today make use of cloud-based data warehousing solutions like Snowflake or Amazon Redshift. Cloud has the capability to store huge volumes of data and it can also process real-time streaming data. This also reduces the costs and does away with hardware purchases (</w:t>
      </w:r>
      <w:r w:rsidR="004F086F">
        <w:rPr>
          <w:rFonts w:ascii="Times New Roman" w:hAnsi="Times New Roman" w:cs="Times New Roman"/>
          <w:sz w:val="24"/>
          <w:szCs w:val="24"/>
        </w:rPr>
        <w:t>Nambiar and Mundra</w:t>
      </w:r>
      <w:r w:rsidRPr="00725294">
        <w:rPr>
          <w:rFonts w:ascii="Times New Roman" w:hAnsi="Times New Roman" w:cs="Times New Roman"/>
          <w:sz w:val="24"/>
          <w:szCs w:val="24"/>
        </w:rPr>
        <w:t>, 202</w:t>
      </w:r>
      <w:r w:rsidR="004F086F">
        <w:rPr>
          <w:rFonts w:ascii="Times New Roman" w:hAnsi="Times New Roman" w:cs="Times New Roman"/>
          <w:sz w:val="24"/>
          <w:szCs w:val="24"/>
        </w:rPr>
        <w:t>2</w:t>
      </w:r>
      <w:r w:rsidRPr="00725294">
        <w:rPr>
          <w:rFonts w:ascii="Times New Roman" w:hAnsi="Times New Roman" w:cs="Times New Roman"/>
          <w:sz w:val="24"/>
          <w:szCs w:val="24"/>
        </w:rPr>
        <w:t>).</w:t>
      </w:r>
    </w:p>
    <w:p w14:paraId="66A38A52" w14:textId="6D00E3B1" w:rsidR="00725294" w:rsidRDefault="00725294" w:rsidP="00725294">
      <w:pPr>
        <w:spacing w:line="360" w:lineRule="auto"/>
        <w:rPr>
          <w:rFonts w:ascii="Times New Roman" w:hAnsi="Times New Roman" w:cs="Times New Roman"/>
          <w:sz w:val="24"/>
          <w:szCs w:val="24"/>
        </w:rPr>
      </w:pPr>
      <w:r w:rsidRPr="00725294">
        <w:rPr>
          <w:rFonts w:ascii="Times New Roman" w:hAnsi="Times New Roman" w:cs="Times New Roman"/>
          <w:sz w:val="24"/>
          <w:szCs w:val="24"/>
        </w:rPr>
        <w:t xml:space="preserve">Structured frameworks such as the Cross-Industry Standard Process for Data Mining (CRISP-DM) are often </w:t>
      </w:r>
      <w:proofErr w:type="spellStart"/>
      <w:r w:rsidRPr="00725294">
        <w:rPr>
          <w:rFonts w:ascii="Times New Roman" w:hAnsi="Times New Roman" w:cs="Times New Roman"/>
          <w:sz w:val="24"/>
          <w:szCs w:val="24"/>
        </w:rPr>
        <w:t>utilised</w:t>
      </w:r>
      <w:proofErr w:type="spellEnd"/>
      <w:r w:rsidRPr="00725294">
        <w:rPr>
          <w:rFonts w:ascii="Times New Roman" w:hAnsi="Times New Roman" w:cs="Times New Roman"/>
          <w:sz w:val="24"/>
          <w:szCs w:val="24"/>
        </w:rPr>
        <w:t xml:space="preserve"> by businesses to efficiently </w:t>
      </w:r>
      <w:proofErr w:type="spellStart"/>
      <w:r w:rsidRPr="00725294">
        <w:rPr>
          <w:rFonts w:ascii="Times New Roman" w:hAnsi="Times New Roman" w:cs="Times New Roman"/>
          <w:sz w:val="24"/>
          <w:szCs w:val="24"/>
        </w:rPr>
        <w:t>operationalise</w:t>
      </w:r>
      <w:proofErr w:type="spellEnd"/>
      <w:r w:rsidRPr="00725294">
        <w:rPr>
          <w:rFonts w:ascii="Times New Roman" w:hAnsi="Times New Roman" w:cs="Times New Roman"/>
          <w:sz w:val="24"/>
          <w:szCs w:val="24"/>
        </w:rPr>
        <w:t xml:space="preserve"> these technologies. This six-phase strategy guarantees that advanced analytics are tightly integrated with overall business goals rather than being independent technical exercises (Schröer et al., 2021). In the CRISP-DM 'Data Preparation' phase, the data warehouse serves as a vital consolidation tool. By cleansing </w:t>
      </w:r>
      <w:r w:rsidRPr="00725294">
        <w:rPr>
          <w:rFonts w:ascii="Times New Roman" w:hAnsi="Times New Roman" w:cs="Times New Roman"/>
          <w:sz w:val="24"/>
          <w:szCs w:val="24"/>
        </w:rPr>
        <w:lastRenderedPageBreak/>
        <w:t>and combining data from telematics, human resources, and operational systems into a single data warehouse, Apex can assure that its predictive models are trained on a clear "single version of the truth," dramatically improving the legitimacy of future strategic decisions.</w:t>
      </w:r>
    </w:p>
    <w:p w14:paraId="562BE5AD" w14:textId="6D16F8BC" w:rsidR="00725294" w:rsidRDefault="00725294" w:rsidP="00725294">
      <w:pPr>
        <w:spacing w:line="360" w:lineRule="auto"/>
        <w:rPr>
          <w:rFonts w:ascii="Times New Roman" w:hAnsi="Times New Roman" w:cs="Times New Roman"/>
          <w:sz w:val="24"/>
          <w:szCs w:val="24"/>
        </w:rPr>
      </w:pPr>
    </w:p>
    <w:p w14:paraId="25512ACD" w14:textId="12FF4FFF" w:rsidR="00725294" w:rsidRDefault="00725294" w:rsidP="00725294">
      <w:pPr>
        <w:pStyle w:val="Heading1"/>
        <w:rPr>
          <w:rFonts w:ascii="Times New Roman" w:hAnsi="Times New Roman" w:cs="Times New Roman"/>
          <w:b/>
          <w:bCs/>
          <w:u w:val="single"/>
        </w:rPr>
      </w:pPr>
      <w:bookmarkStart w:id="3" w:name="_Toc224915164"/>
      <w:r w:rsidRPr="00725294">
        <w:rPr>
          <w:rFonts w:ascii="Times New Roman" w:hAnsi="Times New Roman" w:cs="Times New Roman"/>
          <w:b/>
          <w:bCs/>
          <w:u w:val="single"/>
        </w:rPr>
        <w:t xml:space="preserve">Data Warehousing in the </w:t>
      </w:r>
      <w:proofErr w:type="spellStart"/>
      <w:r w:rsidRPr="00725294">
        <w:rPr>
          <w:rFonts w:ascii="Times New Roman" w:hAnsi="Times New Roman" w:cs="Times New Roman"/>
          <w:b/>
          <w:bCs/>
          <w:u w:val="single"/>
        </w:rPr>
        <w:t>Organisation</w:t>
      </w:r>
      <w:proofErr w:type="spellEnd"/>
      <w:r w:rsidRPr="00725294">
        <w:rPr>
          <w:rFonts w:ascii="Times New Roman" w:hAnsi="Times New Roman" w:cs="Times New Roman"/>
          <w:b/>
          <w:bCs/>
          <w:u w:val="single"/>
        </w:rPr>
        <w:t xml:space="preserve"> Applications</w:t>
      </w:r>
      <w:bookmarkEnd w:id="3"/>
    </w:p>
    <w:p w14:paraId="47C28269" w14:textId="77777777" w:rsidR="00725294" w:rsidRPr="00725294" w:rsidRDefault="00725294" w:rsidP="00725294">
      <w:pPr>
        <w:rPr>
          <w:rFonts w:ascii="Times New Roman" w:hAnsi="Times New Roman" w:cs="Times New Roman"/>
          <w:sz w:val="24"/>
          <w:szCs w:val="24"/>
        </w:rPr>
      </w:pPr>
    </w:p>
    <w:p w14:paraId="6481F5BF" w14:textId="53CAD53A" w:rsidR="00725294" w:rsidRDefault="00725294" w:rsidP="00725294">
      <w:pPr>
        <w:spacing w:line="360" w:lineRule="auto"/>
        <w:rPr>
          <w:rFonts w:ascii="Times New Roman" w:hAnsi="Times New Roman" w:cs="Times New Roman"/>
          <w:sz w:val="24"/>
          <w:szCs w:val="24"/>
        </w:rPr>
      </w:pPr>
      <w:r w:rsidRPr="00725294">
        <w:rPr>
          <w:rFonts w:ascii="Times New Roman" w:hAnsi="Times New Roman" w:cs="Times New Roman"/>
          <w:sz w:val="24"/>
          <w:szCs w:val="24"/>
        </w:rPr>
        <w:t>A Data Warehouse is a subject-oriented, integrated, time-variant and non-volatile database that provides top management with an overall view of the organization to facilitate strategic decision making (Inmon, 2005). Operational databases in Online Transaction Processing (OLTP) are designed for high transaction rate and high response time (measured in seconds or less) to support individual transaction level data such as the individual scan records for each movement of a package. Data Warehouse in turn uses Online Analytical Processing (OLAP) to facilitate the analysis of large data warehouse databases for management to extract insights from historical data of the supply chain operations without disrupting the transactional operations.</w:t>
      </w:r>
    </w:p>
    <w:p w14:paraId="2762ED69" w14:textId="04FC3793" w:rsidR="004C12FB" w:rsidRDefault="004C12FB" w:rsidP="00725294">
      <w:pPr>
        <w:spacing w:line="360" w:lineRule="auto"/>
        <w:rPr>
          <w:rFonts w:ascii="Times New Roman" w:hAnsi="Times New Roman" w:cs="Times New Roman"/>
          <w:sz w:val="24"/>
          <w:szCs w:val="24"/>
        </w:rPr>
      </w:pPr>
      <w:r w:rsidRPr="004C12FB">
        <w:rPr>
          <w:rFonts w:ascii="Times New Roman" w:hAnsi="Times New Roman" w:cs="Times New Roman"/>
          <w:sz w:val="24"/>
          <w:szCs w:val="24"/>
        </w:rPr>
        <w:t>For Apex Global Logistics, the deployment of a data warehouse will address significant historical inefficiencies in data accessibility. Currently, determining the actual profitability of serving a single client necessitates manual data extraction and reconciliation from fuel logs, driver payroll systems, and warehouse storage matrices. This synthesis is automated by a data warehouse using the Extract, Transform, and Load (ETL) method, which combines various diverse measurements into a single repository. This guarantees that when logistics directors need quarterly performance information, it is returned quickly, precisely, and consistently (Kimball and Ross, 2013).</w:t>
      </w:r>
    </w:p>
    <w:p w14:paraId="5AECBE92" w14:textId="589BE7F1" w:rsidR="004C12FB" w:rsidRDefault="004C12FB" w:rsidP="00725294">
      <w:pPr>
        <w:spacing w:line="360" w:lineRule="auto"/>
        <w:rPr>
          <w:rFonts w:ascii="Times New Roman" w:hAnsi="Times New Roman" w:cs="Times New Roman"/>
          <w:sz w:val="24"/>
          <w:szCs w:val="24"/>
        </w:rPr>
      </w:pPr>
      <w:r w:rsidRPr="004C12FB">
        <w:rPr>
          <w:rFonts w:ascii="Times New Roman" w:hAnsi="Times New Roman" w:cs="Times New Roman"/>
          <w:sz w:val="24"/>
          <w:szCs w:val="24"/>
        </w:rPr>
        <w:t>To enhance this analytical capacity, Apex should apply Kimball's Dimensional Architecture, specifically implementing a Star Schema model. In this design, a central "Fact Table" captures quantifiable, measurable business events, such as shipment deliveries, and includes metrics like transit length, fuel consumption, and payload weight. This central table is then surrounded by "Dimension Tables" that contain descriptive qualities including vehicle specifications, driver profiles, client demographics, and temporal data (Kimball and Ross, 2013).</w:t>
      </w:r>
    </w:p>
    <w:p w14:paraId="701DECF4" w14:textId="13F54E2C" w:rsidR="004C12FB" w:rsidRDefault="004C12FB" w:rsidP="00725294">
      <w:pPr>
        <w:spacing w:line="360" w:lineRule="auto"/>
        <w:rPr>
          <w:rFonts w:ascii="Times New Roman" w:hAnsi="Times New Roman" w:cs="Times New Roman"/>
          <w:sz w:val="24"/>
          <w:szCs w:val="24"/>
        </w:rPr>
      </w:pPr>
      <w:r w:rsidRPr="004C12FB">
        <w:rPr>
          <w:rFonts w:ascii="Times New Roman" w:hAnsi="Times New Roman" w:cs="Times New Roman"/>
          <w:sz w:val="24"/>
          <w:szCs w:val="24"/>
        </w:rPr>
        <w:lastRenderedPageBreak/>
        <w:t>Apex can undertake highly detailed supply chain consolidation and profitability assessments by integrating the shipment fact table to customer and vehicle parameters. For instance, if the data warehouse indicates a historical trend in which a specific client regularly requests expedited shipping, yet loading dock inefficiencies consistently cause driver delays and idle fuel costs, Apex management can use this empirical data to proactively reconsider the Service Level Agreement (SLA). Additionally, combining human resources data and telematics allows Apex to correlate driver scheduling with fuel economy and vehicle deterioration, resulting in evidence-based fleet purchase and preventative maintenance decisions (Chaudhuri et al., 2011).</w:t>
      </w:r>
    </w:p>
    <w:p w14:paraId="44C4A6C8" w14:textId="473F145B" w:rsidR="004C12FB" w:rsidRDefault="004C12FB" w:rsidP="00725294">
      <w:pPr>
        <w:spacing w:line="360" w:lineRule="auto"/>
        <w:rPr>
          <w:rFonts w:ascii="Times New Roman" w:hAnsi="Times New Roman" w:cs="Times New Roman"/>
          <w:sz w:val="24"/>
          <w:szCs w:val="24"/>
        </w:rPr>
      </w:pPr>
    </w:p>
    <w:p w14:paraId="59FCCEC2" w14:textId="2A0453EB" w:rsidR="004C12FB" w:rsidRDefault="004C12FB" w:rsidP="004C12FB">
      <w:pPr>
        <w:pStyle w:val="Heading1"/>
        <w:rPr>
          <w:rFonts w:ascii="Times New Roman" w:hAnsi="Times New Roman" w:cs="Times New Roman"/>
          <w:b/>
          <w:bCs/>
          <w:u w:val="single"/>
        </w:rPr>
      </w:pPr>
      <w:bookmarkStart w:id="4" w:name="_Toc224915165"/>
      <w:r>
        <w:rPr>
          <w:rFonts w:ascii="Times New Roman" w:hAnsi="Times New Roman" w:cs="Times New Roman"/>
          <w:b/>
          <w:bCs/>
          <w:u w:val="single"/>
        </w:rPr>
        <w:t>Data Mining Techniques</w:t>
      </w:r>
      <w:bookmarkEnd w:id="4"/>
    </w:p>
    <w:p w14:paraId="104A8AB6" w14:textId="16B824E3" w:rsidR="004C12FB" w:rsidRDefault="004C12FB" w:rsidP="004C12FB"/>
    <w:p w14:paraId="03602B37" w14:textId="665DD35B" w:rsidR="004C12FB" w:rsidRDefault="004C12FB" w:rsidP="004C12FB">
      <w:pPr>
        <w:spacing w:line="360" w:lineRule="auto"/>
        <w:rPr>
          <w:rFonts w:ascii="Times New Roman" w:hAnsi="Times New Roman" w:cs="Times New Roman"/>
          <w:sz w:val="24"/>
          <w:szCs w:val="24"/>
        </w:rPr>
      </w:pPr>
      <w:r w:rsidRPr="004C12FB">
        <w:rPr>
          <w:rFonts w:ascii="Times New Roman" w:hAnsi="Times New Roman" w:cs="Times New Roman"/>
          <w:sz w:val="24"/>
          <w:szCs w:val="24"/>
        </w:rPr>
        <w:t>Data mining uses advanced statistical techniques to extract actionable insight contained in data warehouses. Clustering and regression analysis are two extremely useful tools for Apex Logistics, as they meet different operational imperatives</w:t>
      </w:r>
      <w:r>
        <w:rPr>
          <w:rFonts w:ascii="Times New Roman" w:hAnsi="Times New Roman" w:cs="Times New Roman"/>
          <w:sz w:val="24"/>
          <w:szCs w:val="24"/>
        </w:rPr>
        <w:t>.</w:t>
      </w:r>
    </w:p>
    <w:p w14:paraId="24479161" w14:textId="1512FAF1" w:rsidR="004C12FB" w:rsidRDefault="000F430C" w:rsidP="004C12FB">
      <w:pPr>
        <w:spacing w:line="360" w:lineRule="auto"/>
        <w:rPr>
          <w:rFonts w:ascii="Times New Roman" w:hAnsi="Times New Roman" w:cs="Times New Roman"/>
          <w:sz w:val="24"/>
          <w:szCs w:val="24"/>
        </w:rPr>
      </w:pPr>
      <w:r w:rsidRPr="000F430C">
        <w:rPr>
          <w:rFonts w:ascii="Times New Roman" w:hAnsi="Times New Roman" w:cs="Times New Roman"/>
          <w:sz w:val="24"/>
          <w:szCs w:val="24"/>
        </w:rPr>
        <w:t>The first highly significant approach is clustering, which is an unsupervised machine learning technology that groups data points so that items in the same cohort appear more similar to one another than those in different groups. The K-Means clustering approach is especially useful for this task (Tan et al., 2018). Clustering is the most effective strategy for sophisticated client segmentation at Apex Logistics. Apex can move away from a single pricing model by systematically clustering clients based on multidimensional criteria such as aggregate shipment volume, frequency of urgent logistical requests, average cargo weight, and payment latency.</w:t>
      </w:r>
      <w:r>
        <w:rPr>
          <w:rFonts w:ascii="Times New Roman" w:hAnsi="Times New Roman" w:cs="Times New Roman"/>
          <w:sz w:val="24"/>
          <w:szCs w:val="24"/>
        </w:rPr>
        <w:t xml:space="preserve"> </w:t>
      </w:r>
      <w:r w:rsidRPr="000F430C">
        <w:rPr>
          <w:rFonts w:ascii="Times New Roman" w:hAnsi="Times New Roman" w:cs="Times New Roman"/>
          <w:sz w:val="24"/>
          <w:szCs w:val="24"/>
        </w:rPr>
        <w:t xml:space="preserve">Premium, high-volume client clusters can be effectively assigned dedicated account managers and guaranteed freight capacity, while low-volume, high-maintenance clusters can be converted to automated self-service portals, </w:t>
      </w:r>
      <w:proofErr w:type="spellStart"/>
      <w:r w:rsidRPr="000F430C">
        <w:rPr>
          <w:rFonts w:ascii="Times New Roman" w:hAnsi="Times New Roman" w:cs="Times New Roman"/>
          <w:sz w:val="24"/>
          <w:szCs w:val="24"/>
        </w:rPr>
        <w:t>optimising</w:t>
      </w:r>
      <w:proofErr w:type="spellEnd"/>
      <w:r w:rsidRPr="000F430C">
        <w:rPr>
          <w:rFonts w:ascii="Times New Roman" w:hAnsi="Times New Roman" w:cs="Times New Roman"/>
          <w:sz w:val="24"/>
          <w:szCs w:val="24"/>
        </w:rPr>
        <w:t xml:space="preserve"> human resource allocation and profit margins.</w:t>
      </w:r>
    </w:p>
    <w:p w14:paraId="1431A7AD" w14:textId="3F31098E" w:rsidR="000F430C" w:rsidRDefault="000F430C" w:rsidP="004C12FB">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Regression analysis is a supplementary but equally vital approach. Regression is a supervised learning method that estimates the complex relationships between variables, specifically how a dependent variable swings in response to changes in independent variables (Sharda et al., 2020). Multiple linear regression is essential for determining Estimated Time of Arrival (ETA) and accurate fuel consumption. Apex can produce extremely precise forecasts about fuel expenditure </w:t>
      </w:r>
      <w:r w:rsidRPr="000F430C">
        <w:rPr>
          <w:rFonts w:ascii="Times New Roman" w:hAnsi="Times New Roman" w:cs="Times New Roman"/>
          <w:sz w:val="24"/>
          <w:szCs w:val="24"/>
        </w:rPr>
        <w:lastRenderedPageBreak/>
        <w:t>and delivery window for any specific journey by incorporating historical data warehouse metrics such as transit distance, payload weight, vehicle classification, historical traffic density, and meteorological conditions into a regression model. This predictive capability significantly improves client satisfaction by increasing reliability while allowing for tight, data-driven fuel budgeting.</w:t>
      </w:r>
    </w:p>
    <w:p w14:paraId="574856FD" w14:textId="0D3E0FEA" w:rsidR="000F430C" w:rsidRDefault="000F430C" w:rsidP="004C12FB">
      <w:pPr>
        <w:spacing w:line="360" w:lineRule="auto"/>
        <w:rPr>
          <w:rFonts w:ascii="Times New Roman" w:hAnsi="Times New Roman" w:cs="Times New Roman"/>
          <w:sz w:val="24"/>
          <w:szCs w:val="24"/>
        </w:rPr>
      </w:pPr>
    </w:p>
    <w:p w14:paraId="20F53BFB" w14:textId="40B195C7" w:rsidR="000F430C" w:rsidRDefault="000F430C" w:rsidP="000F430C">
      <w:pPr>
        <w:pStyle w:val="Heading1"/>
        <w:rPr>
          <w:rFonts w:ascii="Times New Roman" w:hAnsi="Times New Roman" w:cs="Times New Roman"/>
          <w:b/>
          <w:bCs/>
          <w:u w:val="single"/>
        </w:rPr>
      </w:pPr>
      <w:bookmarkStart w:id="5" w:name="_Toc224915166"/>
      <w:r w:rsidRPr="000F430C">
        <w:rPr>
          <w:rFonts w:ascii="Times New Roman" w:hAnsi="Times New Roman" w:cs="Times New Roman"/>
          <w:b/>
          <w:bCs/>
          <w:u w:val="single"/>
        </w:rPr>
        <w:t>Predictive Analysis</w:t>
      </w:r>
      <w:bookmarkEnd w:id="5"/>
    </w:p>
    <w:p w14:paraId="77CBC436" w14:textId="5F335269" w:rsidR="000F430C" w:rsidRDefault="000F430C" w:rsidP="000F430C"/>
    <w:p w14:paraId="4F39B4D7" w14:textId="43968A1D" w:rsidR="000F430C" w:rsidRP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Predictive analytics uses past data from the data warehouse, along with statistical algorithms and machine learning techniques, to estimate future probabilities and patterns. Apex must carefully select software tools that mix advanced data science skills with functional accessibility for operational management.</w:t>
      </w:r>
    </w:p>
    <w:p w14:paraId="4EED7DA8" w14:textId="616BE633" w:rsid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Microsoft Power BI is highly suggested for frontline predictive reporting due to its ease of use and easy connection with existing </w:t>
      </w:r>
      <w:proofErr w:type="spellStart"/>
      <w:r w:rsidRPr="000F430C">
        <w:rPr>
          <w:rFonts w:ascii="Times New Roman" w:hAnsi="Times New Roman" w:cs="Times New Roman"/>
          <w:sz w:val="24"/>
          <w:szCs w:val="24"/>
        </w:rPr>
        <w:t>organisational</w:t>
      </w:r>
      <w:proofErr w:type="spellEnd"/>
      <w:r w:rsidRPr="000F430C">
        <w:rPr>
          <w:rFonts w:ascii="Times New Roman" w:hAnsi="Times New Roman" w:cs="Times New Roman"/>
          <w:sz w:val="24"/>
          <w:szCs w:val="24"/>
        </w:rPr>
        <w:t xml:space="preserve"> ecosystems. Power BI excels at time-series forecasting, thanks to its built-in Azure Machine Learning capabilities. It can examine historical warehouse throughput data to anticipate capacity requirements for prospective peak seasons, </w:t>
      </w:r>
      <w:proofErr w:type="spellStart"/>
      <w:r w:rsidRPr="000F430C">
        <w:rPr>
          <w:rFonts w:ascii="Times New Roman" w:hAnsi="Times New Roman" w:cs="Times New Roman"/>
          <w:sz w:val="24"/>
          <w:szCs w:val="24"/>
        </w:rPr>
        <w:t>visualising</w:t>
      </w:r>
      <w:proofErr w:type="spellEnd"/>
      <w:r w:rsidRPr="000F430C">
        <w:rPr>
          <w:rFonts w:ascii="Times New Roman" w:hAnsi="Times New Roman" w:cs="Times New Roman"/>
          <w:sz w:val="24"/>
          <w:szCs w:val="24"/>
        </w:rPr>
        <w:t xml:space="preserve"> demand trends and statistical confidence intervals (Ferrari and Russo, 201</w:t>
      </w:r>
      <w:r w:rsidR="004F086F">
        <w:rPr>
          <w:rFonts w:ascii="Times New Roman" w:hAnsi="Times New Roman" w:cs="Times New Roman"/>
          <w:sz w:val="24"/>
          <w:szCs w:val="24"/>
        </w:rPr>
        <w:t>7</w:t>
      </w:r>
      <w:r w:rsidRPr="000F430C">
        <w:rPr>
          <w:rFonts w:ascii="Times New Roman" w:hAnsi="Times New Roman" w:cs="Times New Roman"/>
          <w:sz w:val="24"/>
          <w:szCs w:val="24"/>
        </w:rPr>
        <w:t>).</w:t>
      </w:r>
    </w:p>
    <w:p w14:paraId="7B6E8DF2" w14:textId="062955EC" w:rsid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For more complicated forecasting, such as predictive fleet maintenance, Apex's dedicated analytics team should use RapidMiner. RapidMiner's sophisticated machine learning algorithms can forecast car component problems before they occur in operation by evaluating continuous IoT telemetry data such as engine temperature, vibration, and brake wear. Integrating these tools with the cloud data warehouse allows for advanced reporting automation. If RapidMiner's predictive algorithm detects a high probability of engine failure for a specific heavy-goods vehicle within the next transit cycle, it can automatically trigger an alert in the fleet manager's Power BI dashboard, seamlessly scheduling the vehicle for maintenance and systematically rerouting its pending shipments to </w:t>
      </w:r>
      <w:proofErr w:type="spellStart"/>
      <w:r w:rsidRPr="000F430C">
        <w:rPr>
          <w:rFonts w:ascii="Times New Roman" w:hAnsi="Times New Roman" w:cs="Times New Roman"/>
          <w:sz w:val="24"/>
          <w:szCs w:val="24"/>
        </w:rPr>
        <w:t>minimise</w:t>
      </w:r>
      <w:proofErr w:type="spellEnd"/>
      <w:r w:rsidRPr="000F430C">
        <w:rPr>
          <w:rFonts w:ascii="Times New Roman" w:hAnsi="Times New Roman" w:cs="Times New Roman"/>
          <w:sz w:val="24"/>
          <w:szCs w:val="24"/>
        </w:rPr>
        <w:t xml:space="preserve"> operational disruption (</w:t>
      </w:r>
      <w:r w:rsidR="004F086F">
        <w:rPr>
          <w:rFonts w:ascii="Times New Roman" w:hAnsi="Times New Roman" w:cs="Times New Roman"/>
          <w:sz w:val="24"/>
          <w:szCs w:val="24"/>
        </w:rPr>
        <w:t xml:space="preserve">Oyewole </w:t>
      </w:r>
      <w:r w:rsidRPr="000F430C">
        <w:rPr>
          <w:rFonts w:ascii="Times New Roman" w:hAnsi="Times New Roman" w:cs="Times New Roman"/>
          <w:sz w:val="24"/>
          <w:szCs w:val="24"/>
        </w:rPr>
        <w:t>et al., 202</w:t>
      </w:r>
      <w:r w:rsidR="004F086F">
        <w:rPr>
          <w:rFonts w:ascii="Times New Roman" w:hAnsi="Times New Roman" w:cs="Times New Roman"/>
          <w:sz w:val="24"/>
          <w:szCs w:val="24"/>
        </w:rPr>
        <w:t>4</w:t>
      </w:r>
      <w:r w:rsidRPr="000F430C">
        <w:rPr>
          <w:rFonts w:ascii="Times New Roman" w:hAnsi="Times New Roman" w:cs="Times New Roman"/>
          <w:sz w:val="24"/>
          <w:szCs w:val="24"/>
        </w:rPr>
        <w:t>).</w:t>
      </w:r>
    </w:p>
    <w:p w14:paraId="071FB5DA" w14:textId="0F9545F7" w:rsidR="000F430C" w:rsidRDefault="000F430C" w:rsidP="000F430C">
      <w:pPr>
        <w:spacing w:line="360" w:lineRule="auto"/>
        <w:rPr>
          <w:rFonts w:ascii="Times New Roman" w:hAnsi="Times New Roman" w:cs="Times New Roman"/>
          <w:sz w:val="24"/>
          <w:szCs w:val="24"/>
        </w:rPr>
      </w:pPr>
    </w:p>
    <w:p w14:paraId="6CA9CCB3" w14:textId="77777777" w:rsidR="000F430C" w:rsidRDefault="000F430C" w:rsidP="000F430C">
      <w:pPr>
        <w:spacing w:line="360" w:lineRule="auto"/>
        <w:rPr>
          <w:rFonts w:ascii="Times New Roman" w:hAnsi="Times New Roman" w:cs="Times New Roman"/>
          <w:sz w:val="24"/>
          <w:szCs w:val="24"/>
        </w:rPr>
      </w:pPr>
    </w:p>
    <w:p w14:paraId="43D6873D" w14:textId="491EE32A" w:rsidR="000F430C" w:rsidRPr="000F430C" w:rsidRDefault="000F430C" w:rsidP="000F430C">
      <w:pPr>
        <w:pStyle w:val="Heading1"/>
        <w:rPr>
          <w:rFonts w:ascii="Times New Roman" w:hAnsi="Times New Roman" w:cs="Times New Roman"/>
          <w:b/>
          <w:bCs/>
          <w:u w:val="single"/>
        </w:rPr>
      </w:pPr>
      <w:bookmarkStart w:id="6" w:name="_Toc224915167"/>
      <w:r w:rsidRPr="000F430C">
        <w:rPr>
          <w:rFonts w:ascii="Times New Roman" w:hAnsi="Times New Roman" w:cs="Times New Roman"/>
          <w:b/>
          <w:bCs/>
          <w:u w:val="single"/>
        </w:rPr>
        <w:lastRenderedPageBreak/>
        <w:t>Ethical and Data Security Considerations</w:t>
      </w:r>
      <w:bookmarkEnd w:id="6"/>
    </w:p>
    <w:p w14:paraId="40FDB114" w14:textId="5F7F188B" w:rsidR="000F430C" w:rsidRDefault="000F430C" w:rsidP="000F430C"/>
    <w:p w14:paraId="29DD62E4" w14:textId="1652A373" w:rsid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The adoption of complete BI infrastructures in the logistics sector necessitates the collection of massive volumes of tracking data, raising serious ethical and legal governance challenges. Apex must ethically address driver privacy and the notion of informed consent. The continued use of IoT telematics, GPS tracking, and in-cab monitoring technologies might unintentionally foster a harmful culture of workplace surveillance. Apex has an ethical obligation to disclose how this data is used in a transparent manner, </w:t>
      </w:r>
      <w:proofErr w:type="spellStart"/>
      <w:r w:rsidRPr="000F430C">
        <w:rPr>
          <w:rFonts w:ascii="Times New Roman" w:hAnsi="Times New Roman" w:cs="Times New Roman"/>
          <w:sz w:val="24"/>
          <w:szCs w:val="24"/>
        </w:rPr>
        <w:t>prioritising</w:t>
      </w:r>
      <w:proofErr w:type="spellEnd"/>
      <w:r w:rsidRPr="000F430C">
        <w:rPr>
          <w:rFonts w:ascii="Times New Roman" w:hAnsi="Times New Roman" w:cs="Times New Roman"/>
          <w:sz w:val="24"/>
          <w:szCs w:val="24"/>
        </w:rPr>
        <w:t xml:space="preserve"> safety and routing </w:t>
      </w:r>
      <w:proofErr w:type="spellStart"/>
      <w:r w:rsidRPr="000F430C">
        <w:rPr>
          <w:rFonts w:ascii="Times New Roman" w:hAnsi="Times New Roman" w:cs="Times New Roman"/>
          <w:sz w:val="24"/>
          <w:szCs w:val="24"/>
        </w:rPr>
        <w:t>optimisation</w:t>
      </w:r>
      <w:proofErr w:type="spellEnd"/>
      <w:r w:rsidRPr="000F430C">
        <w:rPr>
          <w:rFonts w:ascii="Times New Roman" w:hAnsi="Times New Roman" w:cs="Times New Roman"/>
          <w:sz w:val="24"/>
          <w:szCs w:val="24"/>
        </w:rPr>
        <w:t xml:space="preserve"> over micro-management, in order to retain employee trust and </w:t>
      </w:r>
      <w:proofErr w:type="spellStart"/>
      <w:r w:rsidRPr="000F430C">
        <w:rPr>
          <w:rFonts w:ascii="Times New Roman" w:hAnsi="Times New Roman" w:cs="Times New Roman"/>
          <w:sz w:val="24"/>
          <w:szCs w:val="24"/>
        </w:rPr>
        <w:t>organisational</w:t>
      </w:r>
      <w:proofErr w:type="spellEnd"/>
      <w:r w:rsidRPr="000F430C">
        <w:rPr>
          <w:rFonts w:ascii="Times New Roman" w:hAnsi="Times New Roman" w:cs="Times New Roman"/>
          <w:sz w:val="24"/>
          <w:szCs w:val="24"/>
        </w:rPr>
        <w:t xml:space="preserve"> morale.</w:t>
      </w:r>
    </w:p>
    <w:p w14:paraId="7B554066" w14:textId="4A6CEDC9" w:rsid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Legally, Apex must ensure strict compliance with the General Data Protection Regulation (GDPR). Location and performance data associated with a specific, identifiable driver is legally defined as personally identifiable information (PII). As a result, Apex must uphold the principle of data </w:t>
      </w:r>
      <w:proofErr w:type="spellStart"/>
      <w:r w:rsidRPr="000F430C">
        <w:rPr>
          <w:rFonts w:ascii="Times New Roman" w:hAnsi="Times New Roman" w:cs="Times New Roman"/>
          <w:sz w:val="24"/>
          <w:szCs w:val="24"/>
        </w:rPr>
        <w:t>minimisation</w:t>
      </w:r>
      <w:proofErr w:type="spellEnd"/>
      <w:r w:rsidRPr="000F430C">
        <w:rPr>
          <w:rFonts w:ascii="Times New Roman" w:hAnsi="Times New Roman" w:cs="Times New Roman"/>
          <w:sz w:val="24"/>
          <w:szCs w:val="24"/>
        </w:rPr>
        <w:t>, ensuring that vehicular tracking is strictly limited to contractual working hours and not used during a driver's personal time.</w:t>
      </w:r>
    </w:p>
    <w:p w14:paraId="4FEB22F1" w14:textId="59FDA425" w:rsid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Besides that, strong data security measures are essential. To reduce internal threats, Apex must establish strong Role-Based Access Control (RBAC), ensuring that people only have access to data that is required for their respective operational functions; for example, a warehouse operative does not need access to sensitive customer financial records. From an outside perspective, the logistics sector is a lucrative target for fraudsters and ransomware assaults. End-to-end encryption for all data at rest within the warehouse and in transit from IoT sensors, as well as strict enforcement of Multi-Factor Authentication (MFA) across all BI platforms, are required to protect the central data repository from </w:t>
      </w:r>
      <w:proofErr w:type="spellStart"/>
      <w:r w:rsidRPr="000F430C">
        <w:rPr>
          <w:rFonts w:ascii="Times New Roman" w:hAnsi="Times New Roman" w:cs="Times New Roman"/>
          <w:sz w:val="24"/>
          <w:szCs w:val="24"/>
        </w:rPr>
        <w:t>unauthorised</w:t>
      </w:r>
      <w:proofErr w:type="spellEnd"/>
      <w:r w:rsidRPr="000F430C">
        <w:rPr>
          <w:rFonts w:ascii="Times New Roman" w:hAnsi="Times New Roman" w:cs="Times New Roman"/>
          <w:sz w:val="24"/>
          <w:szCs w:val="24"/>
        </w:rPr>
        <w:t xml:space="preserve"> extraction (Stallings, 201</w:t>
      </w:r>
      <w:r w:rsidR="007C3AA2">
        <w:rPr>
          <w:rFonts w:ascii="Times New Roman" w:hAnsi="Times New Roman" w:cs="Times New Roman"/>
          <w:sz w:val="24"/>
          <w:szCs w:val="24"/>
        </w:rPr>
        <w:t>6</w:t>
      </w:r>
      <w:r w:rsidRPr="000F430C">
        <w:rPr>
          <w:rFonts w:ascii="Times New Roman" w:hAnsi="Times New Roman" w:cs="Times New Roman"/>
          <w:sz w:val="24"/>
          <w:szCs w:val="24"/>
        </w:rPr>
        <w:t>).</w:t>
      </w:r>
    </w:p>
    <w:p w14:paraId="5CEABE2A" w14:textId="39E5B719" w:rsidR="000F430C" w:rsidRDefault="000F430C" w:rsidP="000F430C">
      <w:pPr>
        <w:spacing w:line="360" w:lineRule="auto"/>
        <w:rPr>
          <w:rFonts w:ascii="Times New Roman" w:hAnsi="Times New Roman" w:cs="Times New Roman"/>
          <w:sz w:val="24"/>
          <w:szCs w:val="24"/>
        </w:rPr>
      </w:pPr>
    </w:p>
    <w:p w14:paraId="3CAE1BDD" w14:textId="7E6FC8B2" w:rsidR="007C3AA2" w:rsidRDefault="007C3AA2" w:rsidP="000F430C">
      <w:pPr>
        <w:spacing w:line="360" w:lineRule="auto"/>
        <w:rPr>
          <w:rFonts w:ascii="Times New Roman" w:hAnsi="Times New Roman" w:cs="Times New Roman"/>
          <w:sz w:val="24"/>
          <w:szCs w:val="24"/>
        </w:rPr>
      </w:pPr>
    </w:p>
    <w:p w14:paraId="21734595" w14:textId="402BD476" w:rsidR="007C3AA2" w:rsidRDefault="007C3AA2" w:rsidP="000F430C">
      <w:pPr>
        <w:spacing w:line="360" w:lineRule="auto"/>
        <w:rPr>
          <w:rFonts w:ascii="Times New Roman" w:hAnsi="Times New Roman" w:cs="Times New Roman"/>
          <w:sz w:val="24"/>
          <w:szCs w:val="24"/>
        </w:rPr>
      </w:pPr>
    </w:p>
    <w:p w14:paraId="6C829ADE" w14:textId="57307954" w:rsidR="007C3AA2" w:rsidRDefault="007C3AA2" w:rsidP="000F430C">
      <w:pPr>
        <w:spacing w:line="360" w:lineRule="auto"/>
        <w:rPr>
          <w:rFonts w:ascii="Times New Roman" w:hAnsi="Times New Roman" w:cs="Times New Roman"/>
          <w:sz w:val="24"/>
          <w:szCs w:val="24"/>
        </w:rPr>
      </w:pPr>
    </w:p>
    <w:p w14:paraId="79AB6C18" w14:textId="77777777" w:rsidR="007C3AA2" w:rsidRDefault="007C3AA2" w:rsidP="000F430C">
      <w:pPr>
        <w:spacing w:line="360" w:lineRule="auto"/>
        <w:rPr>
          <w:rFonts w:ascii="Times New Roman" w:hAnsi="Times New Roman" w:cs="Times New Roman"/>
          <w:sz w:val="24"/>
          <w:szCs w:val="24"/>
        </w:rPr>
      </w:pPr>
    </w:p>
    <w:p w14:paraId="4FFDCE63" w14:textId="75899234" w:rsidR="000F430C" w:rsidRDefault="000F430C" w:rsidP="000F430C">
      <w:pPr>
        <w:pStyle w:val="Heading1"/>
        <w:rPr>
          <w:rFonts w:ascii="Times New Roman" w:hAnsi="Times New Roman" w:cs="Times New Roman"/>
          <w:b/>
          <w:bCs/>
          <w:u w:val="single"/>
        </w:rPr>
      </w:pPr>
      <w:bookmarkStart w:id="7" w:name="_Toc224915168"/>
      <w:r w:rsidRPr="000F430C">
        <w:rPr>
          <w:rFonts w:ascii="Times New Roman" w:hAnsi="Times New Roman" w:cs="Times New Roman"/>
          <w:b/>
          <w:bCs/>
          <w:u w:val="single"/>
        </w:rPr>
        <w:lastRenderedPageBreak/>
        <w:t>Reporting and Dashboard Solutions</w:t>
      </w:r>
      <w:bookmarkEnd w:id="7"/>
    </w:p>
    <w:p w14:paraId="39BACA87" w14:textId="4DF87DC6" w:rsidR="000F430C" w:rsidRDefault="000F430C" w:rsidP="000F430C"/>
    <w:p w14:paraId="50FE01E0" w14:textId="4C074D20" w:rsidR="000F430C" w:rsidRDefault="000F430C" w:rsidP="000F430C">
      <w:pPr>
        <w:spacing w:line="360" w:lineRule="auto"/>
        <w:rPr>
          <w:rFonts w:ascii="Times New Roman" w:hAnsi="Times New Roman" w:cs="Times New Roman"/>
          <w:sz w:val="24"/>
          <w:szCs w:val="24"/>
        </w:rPr>
      </w:pPr>
      <w:r w:rsidRPr="000F430C">
        <w:rPr>
          <w:rFonts w:ascii="Times New Roman" w:hAnsi="Times New Roman" w:cs="Times New Roman"/>
          <w:sz w:val="24"/>
          <w:szCs w:val="24"/>
        </w:rPr>
        <w:t xml:space="preserve">The strategic potential of Business Intelligence can only be completely </w:t>
      </w:r>
      <w:proofErr w:type="spellStart"/>
      <w:r w:rsidRPr="000F430C">
        <w:rPr>
          <w:rFonts w:ascii="Times New Roman" w:hAnsi="Times New Roman" w:cs="Times New Roman"/>
          <w:sz w:val="24"/>
          <w:szCs w:val="24"/>
        </w:rPr>
        <w:t>realised</w:t>
      </w:r>
      <w:proofErr w:type="spellEnd"/>
      <w:r w:rsidRPr="000F430C">
        <w:rPr>
          <w:rFonts w:ascii="Times New Roman" w:hAnsi="Times New Roman" w:cs="Times New Roman"/>
          <w:sz w:val="24"/>
          <w:szCs w:val="24"/>
        </w:rPr>
        <w:t xml:space="preserve"> when complicated, multidimensional logistical data is converted into intuitive, visual formats that allow for quick comprehension. Microsoft Power BI is the ideal dashboard solution for Apex, providing interactive, real-time </w:t>
      </w:r>
      <w:proofErr w:type="spellStart"/>
      <w:r w:rsidRPr="000F430C">
        <w:rPr>
          <w:rFonts w:ascii="Times New Roman" w:hAnsi="Times New Roman" w:cs="Times New Roman"/>
          <w:sz w:val="24"/>
          <w:szCs w:val="24"/>
        </w:rPr>
        <w:t>visualisations</w:t>
      </w:r>
      <w:proofErr w:type="spellEnd"/>
      <w:r w:rsidRPr="000F430C">
        <w:rPr>
          <w:rFonts w:ascii="Times New Roman" w:hAnsi="Times New Roman" w:cs="Times New Roman"/>
          <w:sz w:val="24"/>
          <w:szCs w:val="24"/>
        </w:rPr>
        <w:t xml:space="preserve"> that outperform laborious, static spreadsheet reports (Eckerson, 20</w:t>
      </w:r>
      <w:r w:rsidR="004F086F">
        <w:rPr>
          <w:rFonts w:ascii="Times New Roman" w:hAnsi="Times New Roman" w:cs="Times New Roman"/>
          <w:sz w:val="24"/>
          <w:szCs w:val="24"/>
        </w:rPr>
        <w:t>1</w:t>
      </w:r>
      <w:r w:rsidRPr="000F430C">
        <w:rPr>
          <w:rFonts w:ascii="Times New Roman" w:hAnsi="Times New Roman" w:cs="Times New Roman"/>
          <w:sz w:val="24"/>
          <w:szCs w:val="24"/>
        </w:rPr>
        <w:t>0).</w:t>
      </w:r>
    </w:p>
    <w:p w14:paraId="51C9D93F" w14:textId="0F4F4814" w:rsidR="004F086F" w:rsidRDefault="004F086F" w:rsidP="000F430C">
      <w:pPr>
        <w:spacing w:line="360" w:lineRule="auto"/>
        <w:rPr>
          <w:rFonts w:ascii="Times New Roman" w:hAnsi="Times New Roman" w:cs="Times New Roman"/>
          <w:sz w:val="24"/>
          <w:szCs w:val="24"/>
        </w:rPr>
      </w:pPr>
      <w:r w:rsidRPr="004F086F">
        <w:rPr>
          <w:rFonts w:ascii="Times New Roman" w:hAnsi="Times New Roman" w:cs="Times New Roman"/>
          <w:sz w:val="24"/>
          <w:szCs w:val="24"/>
        </w:rPr>
        <w:t xml:space="preserve">In the logistics business, operational margins are extremely small, making real-time, role-specific dashboards critical for bridging the gap between insight and intervention. Executive dashboards at the strategic level should highlight broad measures such as On-Time In-Full (OTIF) delivery rates in relation to overall fleet profitability (measured as revenue per mile versus cost per mile). In contrast, operational and tactical layers require highly granular, immediate knowledge. Fleet managers want real-time </w:t>
      </w:r>
      <w:proofErr w:type="spellStart"/>
      <w:r w:rsidRPr="004F086F">
        <w:rPr>
          <w:rFonts w:ascii="Times New Roman" w:hAnsi="Times New Roman" w:cs="Times New Roman"/>
          <w:sz w:val="24"/>
          <w:szCs w:val="24"/>
        </w:rPr>
        <w:t>utilisation</w:t>
      </w:r>
      <w:proofErr w:type="spellEnd"/>
      <w:r w:rsidRPr="004F086F">
        <w:rPr>
          <w:rFonts w:ascii="Times New Roman" w:hAnsi="Times New Roman" w:cs="Times New Roman"/>
          <w:sz w:val="24"/>
          <w:szCs w:val="24"/>
        </w:rPr>
        <w:t xml:space="preserve"> rates and predictive maintenance alerts, while warehouse managers must keep track of dock door turnaround times and inventory accuracy rates.</w:t>
      </w:r>
      <w:r>
        <w:rPr>
          <w:rFonts w:ascii="Times New Roman" w:hAnsi="Times New Roman" w:cs="Times New Roman"/>
          <w:sz w:val="24"/>
          <w:szCs w:val="24"/>
        </w:rPr>
        <w:t xml:space="preserve"> </w:t>
      </w:r>
      <w:r w:rsidRPr="004F086F">
        <w:rPr>
          <w:rFonts w:ascii="Times New Roman" w:hAnsi="Times New Roman" w:cs="Times New Roman"/>
          <w:sz w:val="24"/>
          <w:szCs w:val="24"/>
        </w:rPr>
        <w:t>These dashboards modify passive data monitoring into active, exception-based management by employing cognitive design principles such as conditional formatting</w:t>
      </w:r>
      <w:r>
        <w:rPr>
          <w:rFonts w:ascii="Times New Roman" w:hAnsi="Times New Roman" w:cs="Times New Roman"/>
          <w:sz w:val="24"/>
          <w:szCs w:val="24"/>
        </w:rPr>
        <w:t xml:space="preserve">- </w:t>
      </w:r>
      <w:r w:rsidRPr="004F086F">
        <w:rPr>
          <w:rFonts w:ascii="Times New Roman" w:hAnsi="Times New Roman" w:cs="Times New Roman"/>
          <w:sz w:val="24"/>
          <w:szCs w:val="24"/>
        </w:rPr>
        <w:t>for example, automatically highlighting an OTIF metric in red if it exceeds the 95% SLA threshold</w:t>
      </w:r>
      <w:r>
        <w:rPr>
          <w:rFonts w:ascii="Times New Roman" w:hAnsi="Times New Roman" w:cs="Times New Roman"/>
          <w:sz w:val="24"/>
          <w:szCs w:val="24"/>
        </w:rPr>
        <w:t>-</w:t>
      </w:r>
      <w:r w:rsidRPr="004F086F">
        <w:rPr>
          <w:rFonts w:ascii="Times New Roman" w:hAnsi="Times New Roman" w:cs="Times New Roman"/>
          <w:sz w:val="24"/>
          <w:szCs w:val="24"/>
        </w:rPr>
        <w:t>empowering Apex personnel to resolve operational bottlenecks proactively.</w:t>
      </w:r>
    </w:p>
    <w:p w14:paraId="6F8CF2A4" w14:textId="0D457372" w:rsidR="004F086F" w:rsidRDefault="004F086F" w:rsidP="000F430C">
      <w:pPr>
        <w:spacing w:line="360" w:lineRule="auto"/>
        <w:rPr>
          <w:rFonts w:ascii="Times New Roman" w:hAnsi="Times New Roman" w:cs="Times New Roman"/>
          <w:sz w:val="24"/>
          <w:szCs w:val="24"/>
        </w:rPr>
      </w:pPr>
    </w:p>
    <w:p w14:paraId="3C6A8540" w14:textId="23DB8F52" w:rsidR="004F086F" w:rsidRDefault="004F086F" w:rsidP="004F086F">
      <w:pPr>
        <w:pStyle w:val="Heading1"/>
        <w:rPr>
          <w:rFonts w:ascii="Times New Roman" w:hAnsi="Times New Roman" w:cs="Times New Roman"/>
          <w:b/>
          <w:bCs/>
          <w:u w:val="single"/>
        </w:rPr>
      </w:pPr>
      <w:bookmarkStart w:id="8" w:name="_Toc224915169"/>
      <w:r w:rsidRPr="004F086F">
        <w:rPr>
          <w:rFonts w:ascii="Times New Roman" w:hAnsi="Times New Roman" w:cs="Times New Roman"/>
          <w:b/>
          <w:bCs/>
          <w:u w:val="single"/>
        </w:rPr>
        <w:t>Conclusion</w:t>
      </w:r>
      <w:bookmarkEnd w:id="8"/>
    </w:p>
    <w:p w14:paraId="3916040C" w14:textId="1CA6103C" w:rsidR="004F086F" w:rsidRDefault="004F086F" w:rsidP="004F086F"/>
    <w:p w14:paraId="37F4D94B" w14:textId="148A80A1" w:rsidR="004F086F" w:rsidRDefault="004F086F" w:rsidP="004F086F">
      <w:pPr>
        <w:spacing w:line="360" w:lineRule="auto"/>
        <w:rPr>
          <w:rFonts w:ascii="Times New Roman" w:hAnsi="Times New Roman" w:cs="Times New Roman"/>
          <w:sz w:val="24"/>
          <w:szCs w:val="24"/>
        </w:rPr>
      </w:pPr>
      <w:r w:rsidRPr="004F086F">
        <w:rPr>
          <w:rFonts w:ascii="Times New Roman" w:hAnsi="Times New Roman" w:cs="Times New Roman"/>
          <w:sz w:val="24"/>
          <w:szCs w:val="24"/>
        </w:rPr>
        <w:t xml:space="preserve">Conclusively, Apex Global Logistics must strategically implement Business Intelligence, which is based on a rigorously structured Data Warehouse and powerful Data Mining processes, in order to deconstruct current data silos. By applying Kimball's dimensional modelling, the </w:t>
      </w:r>
      <w:proofErr w:type="spellStart"/>
      <w:r w:rsidRPr="004F086F">
        <w:rPr>
          <w:rFonts w:ascii="Times New Roman" w:hAnsi="Times New Roman" w:cs="Times New Roman"/>
          <w:sz w:val="24"/>
          <w:szCs w:val="24"/>
        </w:rPr>
        <w:t>organisation</w:t>
      </w:r>
      <w:proofErr w:type="spellEnd"/>
      <w:r w:rsidRPr="004F086F">
        <w:rPr>
          <w:rFonts w:ascii="Times New Roman" w:hAnsi="Times New Roman" w:cs="Times New Roman"/>
          <w:sz w:val="24"/>
          <w:szCs w:val="24"/>
        </w:rPr>
        <w:t xml:space="preserve"> can combine its disparate fleet, warehouse, and client data into a single analytical asset. The targeted deployment of clustering and regression algorithms will improve customer segmentation strategies and route efficiency. In addition, integrating systems like Power BI and RapidMiner will shift Apex from reactive, historical reporting to automated predictive analytics and real-time operational monitoring.</w:t>
      </w:r>
    </w:p>
    <w:p w14:paraId="1DF07939" w14:textId="2152823F" w:rsidR="004F086F" w:rsidRDefault="004F086F" w:rsidP="004F086F">
      <w:pPr>
        <w:pStyle w:val="Heading1"/>
        <w:rPr>
          <w:rFonts w:ascii="Times New Roman" w:hAnsi="Times New Roman" w:cs="Times New Roman"/>
          <w:b/>
          <w:bCs/>
          <w:u w:val="single"/>
        </w:rPr>
      </w:pPr>
      <w:bookmarkStart w:id="9" w:name="_Toc224915170"/>
      <w:r w:rsidRPr="004F086F">
        <w:rPr>
          <w:rFonts w:ascii="Times New Roman" w:hAnsi="Times New Roman" w:cs="Times New Roman"/>
          <w:b/>
          <w:bCs/>
          <w:u w:val="single"/>
        </w:rPr>
        <w:lastRenderedPageBreak/>
        <w:t>References</w:t>
      </w:r>
      <w:bookmarkEnd w:id="9"/>
    </w:p>
    <w:p w14:paraId="480CC48B" w14:textId="77777777" w:rsidR="007C3AA2" w:rsidRDefault="007C3AA2" w:rsidP="007C3AA2">
      <w:pPr>
        <w:pStyle w:val="NormalWeb"/>
        <w:spacing w:before="0" w:beforeAutospacing="0" w:after="0" w:afterAutospacing="0" w:line="480" w:lineRule="auto"/>
      </w:pPr>
    </w:p>
    <w:p w14:paraId="2CDCD97F" w14:textId="77777777" w:rsidR="007C3AA2" w:rsidRDefault="007C3AA2" w:rsidP="007C3AA2">
      <w:pPr>
        <w:pStyle w:val="NormalWeb"/>
        <w:numPr>
          <w:ilvl w:val="0"/>
          <w:numId w:val="1"/>
        </w:numPr>
        <w:spacing w:before="0" w:beforeAutospacing="0" w:after="0" w:afterAutospacing="0" w:line="360" w:lineRule="auto"/>
      </w:pPr>
      <w:r>
        <w:t xml:space="preserve">Chaudhuri, S., Dayal, U. and </w:t>
      </w:r>
      <w:proofErr w:type="spellStart"/>
      <w:r>
        <w:t>Narasayya</w:t>
      </w:r>
      <w:proofErr w:type="spellEnd"/>
      <w:r>
        <w:t xml:space="preserve">, V. (2011) 'An overview of business intelligence technology,' </w:t>
      </w:r>
      <w:r>
        <w:rPr>
          <w:i/>
          <w:iCs/>
        </w:rPr>
        <w:t>Communications of the ACM</w:t>
      </w:r>
      <w:r>
        <w:t xml:space="preserve">, 54(8), pp. 88–98. </w:t>
      </w:r>
      <w:hyperlink r:id="rId8" w:history="1">
        <w:r w:rsidRPr="00C13303">
          <w:rPr>
            <w:rStyle w:val="Hyperlink"/>
          </w:rPr>
          <w:t>https://doi.org/10.1145/1978542.1978562</w:t>
        </w:r>
      </w:hyperlink>
      <w:r>
        <w:t>.</w:t>
      </w:r>
    </w:p>
    <w:p w14:paraId="2F909E2D" w14:textId="77777777" w:rsidR="007C3AA2" w:rsidRDefault="007C3AA2" w:rsidP="007C3AA2">
      <w:pPr>
        <w:pStyle w:val="NormalWeb"/>
        <w:numPr>
          <w:ilvl w:val="0"/>
          <w:numId w:val="1"/>
        </w:numPr>
        <w:spacing w:before="0" w:beforeAutospacing="0" w:after="0" w:afterAutospacing="0" w:line="360" w:lineRule="auto"/>
      </w:pPr>
      <w:r>
        <w:t xml:space="preserve">Chen, H., Chiang, R.H.L. and </w:t>
      </w:r>
      <w:proofErr w:type="spellStart"/>
      <w:r>
        <w:t>Storey</w:t>
      </w:r>
      <w:proofErr w:type="spellEnd"/>
      <w:r>
        <w:t xml:space="preserve">, V.C. (2012) 'Business Intelligence and Analytics: From big data to Big impact,' </w:t>
      </w:r>
      <w:r>
        <w:rPr>
          <w:i/>
          <w:iCs/>
        </w:rPr>
        <w:t>MIS Quarterly</w:t>
      </w:r>
      <w:r>
        <w:t xml:space="preserve">, 36(4), pp. 1165–1188. </w:t>
      </w:r>
      <w:hyperlink r:id="rId9" w:history="1">
        <w:r w:rsidRPr="00C13303">
          <w:rPr>
            <w:rStyle w:val="Hyperlink"/>
          </w:rPr>
          <w:t>https://doi.org/10.2307/41703503</w:t>
        </w:r>
      </w:hyperlink>
      <w:r>
        <w:t>.</w:t>
      </w:r>
    </w:p>
    <w:p w14:paraId="5A10F14C" w14:textId="77777777" w:rsidR="007C3AA2" w:rsidRDefault="007C3AA2" w:rsidP="007C3AA2">
      <w:pPr>
        <w:pStyle w:val="NormalWeb"/>
        <w:numPr>
          <w:ilvl w:val="0"/>
          <w:numId w:val="1"/>
        </w:numPr>
        <w:spacing w:before="0" w:beforeAutospacing="0" w:after="0" w:afterAutospacing="0" w:line="360" w:lineRule="auto"/>
      </w:pPr>
      <w:r>
        <w:t xml:space="preserve">Eckerson, W.W. (2010) </w:t>
      </w:r>
      <w:r>
        <w:rPr>
          <w:i/>
          <w:iCs/>
        </w:rPr>
        <w:t>Performance Dashboards: Measuring, Monitoring, and Managing Your Business</w:t>
      </w:r>
      <w:r>
        <w:t>. John Wiley &amp; Sons.</w:t>
      </w:r>
    </w:p>
    <w:p w14:paraId="5705DF5A" w14:textId="77777777" w:rsidR="007C3AA2" w:rsidRDefault="007C3AA2" w:rsidP="007C3AA2">
      <w:pPr>
        <w:pStyle w:val="NormalWeb"/>
        <w:numPr>
          <w:ilvl w:val="0"/>
          <w:numId w:val="1"/>
        </w:numPr>
        <w:spacing w:before="0" w:beforeAutospacing="0" w:after="0" w:afterAutospacing="0" w:line="360" w:lineRule="auto"/>
      </w:pPr>
      <w:r>
        <w:t xml:space="preserve">Ferrari, A. and Russo, M. (2017) </w:t>
      </w:r>
      <w:r>
        <w:rPr>
          <w:i/>
          <w:iCs/>
        </w:rPr>
        <w:t>Analyzing Data with Microsoft Power BI and Power Pivot for Excel</w:t>
      </w:r>
      <w:r>
        <w:t>. Pearson Professional.</w:t>
      </w:r>
    </w:p>
    <w:p w14:paraId="17566B5F" w14:textId="77777777" w:rsidR="007C3AA2" w:rsidRDefault="007C3AA2" w:rsidP="007C3AA2">
      <w:pPr>
        <w:pStyle w:val="NormalWeb"/>
        <w:numPr>
          <w:ilvl w:val="0"/>
          <w:numId w:val="1"/>
        </w:numPr>
        <w:spacing w:line="360" w:lineRule="auto"/>
      </w:pPr>
      <w:r>
        <w:t xml:space="preserve">Few, S. (2013) </w:t>
      </w:r>
      <w:r>
        <w:rPr>
          <w:i/>
          <w:iCs/>
        </w:rPr>
        <w:t>Information Dashboard Design: Displaying Data for At-a-Glance Monitoring</w:t>
      </w:r>
      <w:r>
        <w:t xml:space="preserve">. 2nd </w:t>
      </w:r>
      <w:proofErr w:type="spellStart"/>
      <w:r>
        <w:t>edn</w:t>
      </w:r>
      <w:proofErr w:type="spellEnd"/>
      <w:r>
        <w:t>. Burlingame: Analytics Press.</w:t>
      </w:r>
    </w:p>
    <w:p w14:paraId="6961CFA9" w14:textId="77777777" w:rsidR="007C3AA2" w:rsidRDefault="007C3AA2" w:rsidP="007C3AA2">
      <w:pPr>
        <w:pStyle w:val="NormalWeb"/>
        <w:numPr>
          <w:ilvl w:val="0"/>
          <w:numId w:val="1"/>
        </w:numPr>
        <w:spacing w:before="0" w:beforeAutospacing="0" w:after="0" w:afterAutospacing="0" w:line="360" w:lineRule="auto"/>
      </w:pPr>
      <w:r>
        <w:t xml:space="preserve">Inmon, W.H. (2005) </w:t>
      </w:r>
      <w:r>
        <w:rPr>
          <w:i/>
          <w:iCs/>
        </w:rPr>
        <w:t>Building the data warehouse</w:t>
      </w:r>
      <w:r>
        <w:t>.</w:t>
      </w:r>
    </w:p>
    <w:p w14:paraId="6868706A" w14:textId="77777777" w:rsidR="007C3AA2" w:rsidRDefault="007C3AA2" w:rsidP="007C3AA2">
      <w:pPr>
        <w:pStyle w:val="NormalWeb"/>
        <w:numPr>
          <w:ilvl w:val="0"/>
          <w:numId w:val="1"/>
        </w:numPr>
        <w:spacing w:before="0" w:beforeAutospacing="0" w:after="0" w:afterAutospacing="0" w:line="360" w:lineRule="auto"/>
      </w:pPr>
      <w:r>
        <w:t xml:space="preserve">Kimball, R. and Ross, M. (2013) </w:t>
      </w:r>
      <w:r>
        <w:rPr>
          <w:i/>
          <w:iCs/>
        </w:rPr>
        <w:t>The Data Warehouse Toolkit: The Definitive Guide to Dimensional Modeling</w:t>
      </w:r>
      <w:r>
        <w:t>. John Wiley &amp; Sons.</w:t>
      </w:r>
    </w:p>
    <w:p w14:paraId="09AD938A" w14:textId="77777777" w:rsidR="007C3AA2" w:rsidRDefault="007C3AA2" w:rsidP="007C3AA2">
      <w:pPr>
        <w:pStyle w:val="NormalWeb"/>
        <w:numPr>
          <w:ilvl w:val="0"/>
          <w:numId w:val="1"/>
        </w:numPr>
        <w:spacing w:before="0" w:beforeAutospacing="0" w:after="0" w:afterAutospacing="0" w:line="360" w:lineRule="auto"/>
      </w:pPr>
      <w:r>
        <w:t xml:space="preserve">Nambiar, A. and Mundra, D. (2022) 'An overview of data warehouse and data lake in modern enterprise data management,' </w:t>
      </w:r>
      <w:r>
        <w:rPr>
          <w:i/>
          <w:iCs/>
        </w:rPr>
        <w:t>Big Data and Cognitive Computing</w:t>
      </w:r>
      <w:r>
        <w:t xml:space="preserve">, 6(4), p. 132. </w:t>
      </w:r>
      <w:hyperlink r:id="rId10" w:history="1">
        <w:r w:rsidRPr="00C13303">
          <w:rPr>
            <w:rStyle w:val="Hyperlink"/>
          </w:rPr>
          <w:t>https://doi.org/10.3390/bdcc6040132</w:t>
        </w:r>
      </w:hyperlink>
      <w:r>
        <w:t>.</w:t>
      </w:r>
    </w:p>
    <w:p w14:paraId="6301C05D" w14:textId="77777777" w:rsidR="007C3AA2" w:rsidRDefault="007C3AA2" w:rsidP="007C3AA2">
      <w:pPr>
        <w:pStyle w:val="NormalWeb"/>
        <w:numPr>
          <w:ilvl w:val="0"/>
          <w:numId w:val="1"/>
        </w:numPr>
        <w:spacing w:before="0" w:beforeAutospacing="0" w:after="0" w:afterAutospacing="0" w:line="360" w:lineRule="auto"/>
      </w:pPr>
      <w:r>
        <w:t xml:space="preserve">Oyewole, A.T. </w:t>
      </w:r>
      <w:r>
        <w:rPr>
          <w:i/>
          <w:iCs/>
        </w:rPr>
        <w:t>et al.</w:t>
      </w:r>
      <w:r>
        <w:t xml:space="preserve"> (2024) 'Reviewing predictive analytics in supply chain management: Applications and benefits,' </w:t>
      </w:r>
      <w:r>
        <w:rPr>
          <w:i/>
          <w:iCs/>
        </w:rPr>
        <w:t>World Journal of Advanced Research and Reviews</w:t>
      </w:r>
      <w:r>
        <w:t xml:space="preserve">, 21(3), pp. 568–574. </w:t>
      </w:r>
      <w:hyperlink r:id="rId11" w:history="1">
        <w:r w:rsidRPr="00C13303">
          <w:rPr>
            <w:rStyle w:val="Hyperlink"/>
          </w:rPr>
          <w:t>https://doi.org/10.30574/wjarr.2024.21.3.0673</w:t>
        </w:r>
      </w:hyperlink>
      <w:r>
        <w:t>.</w:t>
      </w:r>
    </w:p>
    <w:p w14:paraId="553DA892" w14:textId="77777777" w:rsidR="007C3AA2" w:rsidRDefault="007C3AA2" w:rsidP="007C3AA2">
      <w:pPr>
        <w:pStyle w:val="NormalWeb"/>
        <w:numPr>
          <w:ilvl w:val="0"/>
          <w:numId w:val="1"/>
        </w:numPr>
        <w:spacing w:before="0" w:beforeAutospacing="0" w:after="0" w:afterAutospacing="0" w:line="360" w:lineRule="auto"/>
      </w:pPr>
      <w:r>
        <w:t xml:space="preserve">Schröer, C., Kruse, F. and Gómez, J.M. (2021) 'A Systematic Literature Review on Applying CRISP-DM Process model,' </w:t>
      </w:r>
      <w:r>
        <w:rPr>
          <w:i/>
          <w:iCs/>
        </w:rPr>
        <w:t>Procedia Computer Science</w:t>
      </w:r>
      <w:r>
        <w:t xml:space="preserve">, 181, pp. 526–534. </w:t>
      </w:r>
      <w:hyperlink r:id="rId12" w:history="1">
        <w:r w:rsidRPr="00C13303">
          <w:rPr>
            <w:rStyle w:val="Hyperlink"/>
          </w:rPr>
          <w:t>https://doi.org/10.1016/j.procs.2021.01.199</w:t>
        </w:r>
      </w:hyperlink>
      <w:r>
        <w:t>.</w:t>
      </w:r>
    </w:p>
    <w:p w14:paraId="3978BB63" w14:textId="77777777" w:rsidR="007C3AA2" w:rsidRDefault="007C3AA2" w:rsidP="007C3AA2">
      <w:pPr>
        <w:pStyle w:val="NormalWeb"/>
        <w:numPr>
          <w:ilvl w:val="0"/>
          <w:numId w:val="1"/>
        </w:numPr>
        <w:spacing w:line="360" w:lineRule="auto"/>
      </w:pPr>
      <w:r>
        <w:t xml:space="preserve">Sharda, R., Delen, D. and Turban, E. (2020) </w:t>
      </w:r>
      <w:r>
        <w:rPr>
          <w:i/>
          <w:iCs/>
        </w:rPr>
        <w:t>Analytics, Data Science, &amp; Artificial Intelligence: Systems for Decision Support</w:t>
      </w:r>
      <w:r>
        <w:t xml:space="preserve">. 11th </w:t>
      </w:r>
      <w:proofErr w:type="spellStart"/>
      <w:r>
        <w:t>edn</w:t>
      </w:r>
      <w:proofErr w:type="spellEnd"/>
      <w:r>
        <w:t>. Harlow: Pearson Education.</w:t>
      </w:r>
    </w:p>
    <w:p w14:paraId="67B99057" w14:textId="77777777" w:rsidR="007C3AA2" w:rsidRDefault="007C3AA2" w:rsidP="007C3AA2">
      <w:pPr>
        <w:pStyle w:val="NormalWeb"/>
        <w:numPr>
          <w:ilvl w:val="0"/>
          <w:numId w:val="1"/>
        </w:numPr>
        <w:spacing w:before="0" w:beforeAutospacing="0" w:after="0" w:afterAutospacing="0" w:line="360" w:lineRule="auto"/>
      </w:pPr>
      <w:r>
        <w:t xml:space="preserve">Stallings, W. (2016) </w:t>
      </w:r>
      <w:r>
        <w:rPr>
          <w:i/>
          <w:iCs/>
        </w:rPr>
        <w:t>Cryptography and network security: Principles and Practice</w:t>
      </w:r>
      <w:r>
        <w:t>.</w:t>
      </w:r>
    </w:p>
    <w:p w14:paraId="54E34F77" w14:textId="77777777" w:rsidR="007C3AA2" w:rsidRDefault="007C3AA2" w:rsidP="007C3AA2">
      <w:pPr>
        <w:pStyle w:val="NormalWeb"/>
        <w:numPr>
          <w:ilvl w:val="0"/>
          <w:numId w:val="1"/>
        </w:numPr>
        <w:spacing w:line="360" w:lineRule="auto"/>
      </w:pPr>
      <w:r>
        <w:t xml:space="preserve">Tan, P.N., Steinbach, M., </w:t>
      </w:r>
      <w:proofErr w:type="spellStart"/>
      <w:r>
        <w:t>Karpatne</w:t>
      </w:r>
      <w:proofErr w:type="spellEnd"/>
      <w:r>
        <w:t xml:space="preserve">, A. and Kumar, V. (2018) </w:t>
      </w:r>
      <w:r>
        <w:rPr>
          <w:i/>
          <w:iCs/>
        </w:rPr>
        <w:t>Introduction to Data Mining</w:t>
      </w:r>
      <w:r>
        <w:t xml:space="preserve">. 2nd </w:t>
      </w:r>
      <w:proofErr w:type="spellStart"/>
      <w:r>
        <w:t>edn</w:t>
      </w:r>
      <w:proofErr w:type="spellEnd"/>
      <w:r>
        <w:t>. New York: Pearson.</w:t>
      </w:r>
    </w:p>
    <w:p w14:paraId="2F6C7DB8" w14:textId="77777777" w:rsidR="007C3AA2" w:rsidRDefault="007C3AA2" w:rsidP="007C3AA2">
      <w:pPr>
        <w:pStyle w:val="NormalWeb"/>
        <w:numPr>
          <w:ilvl w:val="0"/>
          <w:numId w:val="1"/>
        </w:numPr>
        <w:spacing w:line="360" w:lineRule="auto"/>
      </w:pPr>
      <w:r>
        <w:lastRenderedPageBreak/>
        <w:t xml:space="preserve">Turban, E., Pollard, C. and Wood, G. (2021) </w:t>
      </w:r>
      <w:r>
        <w:rPr>
          <w:i/>
          <w:iCs/>
        </w:rPr>
        <w:t>Information Technology for Management: Driving Digital Transformation to Increase Local and Global Performance, Growth and Sustainability</w:t>
      </w:r>
      <w:r>
        <w:t xml:space="preserve">. 12th </w:t>
      </w:r>
      <w:proofErr w:type="spellStart"/>
      <w:r>
        <w:t>edn</w:t>
      </w:r>
      <w:proofErr w:type="spellEnd"/>
      <w:r>
        <w:t>. Hoboken: John Wiley &amp; Sons.</w:t>
      </w:r>
    </w:p>
    <w:p w14:paraId="003F3B85" w14:textId="77777777" w:rsidR="004F086F" w:rsidRPr="004F086F" w:rsidRDefault="004F086F" w:rsidP="004F086F"/>
    <w:sectPr w:rsidR="004F086F" w:rsidRPr="004F086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1F940" w14:textId="77777777" w:rsidR="004F45D8" w:rsidRDefault="004F45D8" w:rsidP="000F430C">
      <w:pPr>
        <w:spacing w:after="0" w:line="240" w:lineRule="auto"/>
      </w:pPr>
      <w:r>
        <w:separator/>
      </w:r>
    </w:p>
  </w:endnote>
  <w:endnote w:type="continuationSeparator" w:id="0">
    <w:p w14:paraId="6EFD99E7" w14:textId="77777777" w:rsidR="004F45D8" w:rsidRDefault="004F45D8" w:rsidP="000F4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bCs/>
        <w:sz w:val="24"/>
        <w:szCs w:val="24"/>
      </w:rPr>
      <w:id w:val="-518860520"/>
      <w:docPartObj>
        <w:docPartGallery w:val="Page Numbers (Bottom of Page)"/>
        <w:docPartUnique/>
      </w:docPartObj>
    </w:sdtPr>
    <w:sdtEndPr>
      <w:rPr>
        <w:noProof/>
      </w:rPr>
    </w:sdtEndPr>
    <w:sdtContent>
      <w:p w14:paraId="65293CAD" w14:textId="60103049" w:rsidR="000F430C" w:rsidRPr="000F430C" w:rsidRDefault="000F430C">
        <w:pPr>
          <w:pStyle w:val="Footer"/>
          <w:jc w:val="center"/>
          <w:rPr>
            <w:rFonts w:ascii="Times New Roman" w:hAnsi="Times New Roman" w:cs="Times New Roman"/>
            <w:b/>
            <w:bCs/>
            <w:sz w:val="24"/>
            <w:szCs w:val="24"/>
          </w:rPr>
        </w:pPr>
        <w:r w:rsidRPr="000F430C">
          <w:rPr>
            <w:rFonts w:ascii="Times New Roman" w:hAnsi="Times New Roman" w:cs="Times New Roman"/>
            <w:b/>
            <w:bCs/>
            <w:sz w:val="24"/>
            <w:szCs w:val="24"/>
          </w:rPr>
          <w:fldChar w:fldCharType="begin"/>
        </w:r>
        <w:r w:rsidRPr="000F430C">
          <w:rPr>
            <w:rFonts w:ascii="Times New Roman" w:hAnsi="Times New Roman" w:cs="Times New Roman"/>
            <w:b/>
            <w:bCs/>
            <w:sz w:val="24"/>
            <w:szCs w:val="24"/>
          </w:rPr>
          <w:instrText xml:space="preserve"> PAGE   \* MERGEFORMAT </w:instrText>
        </w:r>
        <w:r w:rsidRPr="000F430C">
          <w:rPr>
            <w:rFonts w:ascii="Times New Roman" w:hAnsi="Times New Roman" w:cs="Times New Roman"/>
            <w:b/>
            <w:bCs/>
            <w:sz w:val="24"/>
            <w:szCs w:val="24"/>
          </w:rPr>
          <w:fldChar w:fldCharType="separate"/>
        </w:r>
        <w:r w:rsidRPr="000F430C">
          <w:rPr>
            <w:rFonts w:ascii="Times New Roman" w:hAnsi="Times New Roman" w:cs="Times New Roman"/>
            <w:b/>
            <w:bCs/>
            <w:noProof/>
            <w:sz w:val="24"/>
            <w:szCs w:val="24"/>
          </w:rPr>
          <w:t>2</w:t>
        </w:r>
        <w:r w:rsidRPr="000F430C">
          <w:rPr>
            <w:rFonts w:ascii="Times New Roman" w:hAnsi="Times New Roman" w:cs="Times New Roman"/>
            <w:b/>
            <w:bCs/>
            <w:noProof/>
            <w:sz w:val="24"/>
            <w:szCs w:val="24"/>
          </w:rPr>
          <w:fldChar w:fldCharType="end"/>
        </w:r>
      </w:p>
    </w:sdtContent>
  </w:sdt>
  <w:p w14:paraId="4B9D4F75" w14:textId="77777777" w:rsidR="000F430C" w:rsidRDefault="000F4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39341" w14:textId="77777777" w:rsidR="004F45D8" w:rsidRDefault="004F45D8" w:rsidP="000F430C">
      <w:pPr>
        <w:spacing w:after="0" w:line="240" w:lineRule="auto"/>
      </w:pPr>
      <w:r>
        <w:separator/>
      </w:r>
    </w:p>
  </w:footnote>
  <w:footnote w:type="continuationSeparator" w:id="0">
    <w:p w14:paraId="01261221" w14:textId="77777777" w:rsidR="004F45D8" w:rsidRDefault="004F45D8" w:rsidP="000F4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F1FD2"/>
    <w:multiLevelType w:val="hybridMultilevel"/>
    <w:tmpl w:val="CF42A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758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61"/>
    <w:rsid w:val="000F430C"/>
    <w:rsid w:val="004C12FB"/>
    <w:rsid w:val="004F086F"/>
    <w:rsid w:val="004F45D8"/>
    <w:rsid w:val="00534D4C"/>
    <w:rsid w:val="00686161"/>
    <w:rsid w:val="00725294"/>
    <w:rsid w:val="007C3AA2"/>
    <w:rsid w:val="00E05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209C"/>
  <w15:chartTrackingRefBased/>
  <w15:docId w15:val="{28497B0D-EDA2-4104-8A42-A0DE927F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D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4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F4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430C"/>
  </w:style>
  <w:style w:type="paragraph" w:styleId="Footer">
    <w:name w:val="footer"/>
    <w:basedOn w:val="Normal"/>
    <w:link w:val="FooterChar"/>
    <w:uiPriority w:val="99"/>
    <w:unhideWhenUsed/>
    <w:rsid w:val="000F4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30C"/>
  </w:style>
  <w:style w:type="paragraph" w:styleId="NormalWeb">
    <w:name w:val="Normal (Web)"/>
    <w:basedOn w:val="Normal"/>
    <w:uiPriority w:val="99"/>
    <w:semiHidden/>
    <w:unhideWhenUsed/>
    <w:rsid w:val="004F08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4F086F"/>
  </w:style>
  <w:style w:type="character" w:styleId="Hyperlink">
    <w:name w:val="Hyperlink"/>
    <w:basedOn w:val="DefaultParagraphFont"/>
    <w:uiPriority w:val="99"/>
    <w:unhideWhenUsed/>
    <w:rsid w:val="004F086F"/>
    <w:rPr>
      <w:color w:val="0563C1" w:themeColor="hyperlink"/>
      <w:u w:val="single"/>
    </w:rPr>
  </w:style>
  <w:style w:type="character" w:styleId="UnresolvedMention">
    <w:name w:val="Unresolved Mention"/>
    <w:basedOn w:val="DefaultParagraphFont"/>
    <w:uiPriority w:val="99"/>
    <w:semiHidden/>
    <w:unhideWhenUsed/>
    <w:rsid w:val="004F086F"/>
    <w:rPr>
      <w:color w:val="605E5C"/>
      <w:shd w:val="clear" w:color="auto" w:fill="E1DFDD"/>
    </w:rPr>
  </w:style>
  <w:style w:type="paragraph" w:styleId="TOCHeading">
    <w:name w:val="TOC Heading"/>
    <w:basedOn w:val="Heading1"/>
    <w:next w:val="Normal"/>
    <w:uiPriority w:val="39"/>
    <w:unhideWhenUsed/>
    <w:qFormat/>
    <w:rsid w:val="007C3AA2"/>
    <w:pPr>
      <w:outlineLvl w:val="9"/>
    </w:pPr>
  </w:style>
  <w:style w:type="paragraph" w:styleId="TOC1">
    <w:name w:val="toc 1"/>
    <w:basedOn w:val="Normal"/>
    <w:next w:val="Normal"/>
    <w:autoRedefine/>
    <w:uiPriority w:val="39"/>
    <w:unhideWhenUsed/>
    <w:rsid w:val="007C3AA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525510">
      <w:bodyDiv w:val="1"/>
      <w:marLeft w:val="0"/>
      <w:marRight w:val="0"/>
      <w:marTop w:val="0"/>
      <w:marBottom w:val="0"/>
      <w:divBdr>
        <w:top w:val="none" w:sz="0" w:space="0" w:color="auto"/>
        <w:left w:val="none" w:sz="0" w:space="0" w:color="auto"/>
        <w:bottom w:val="none" w:sz="0" w:space="0" w:color="auto"/>
        <w:right w:val="none" w:sz="0" w:space="0" w:color="auto"/>
      </w:divBdr>
      <w:divsChild>
        <w:div w:id="1613701953">
          <w:marLeft w:val="-720"/>
          <w:marRight w:val="0"/>
          <w:marTop w:val="0"/>
          <w:marBottom w:val="0"/>
          <w:divBdr>
            <w:top w:val="none" w:sz="0" w:space="0" w:color="auto"/>
            <w:left w:val="none" w:sz="0" w:space="0" w:color="auto"/>
            <w:bottom w:val="none" w:sz="0" w:space="0" w:color="auto"/>
            <w:right w:val="none" w:sz="0" w:space="0" w:color="auto"/>
          </w:divBdr>
        </w:div>
      </w:divsChild>
    </w:div>
    <w:div w:id="396365880">
      <w:bodyDiv w:val="1"/>
      <w:marLeft w:val="0"/>
      <w:marRight w:val="0"/>
      <w:marTop w:val="0"/>
      <w:marBottom w:val="0"/>
      <w:divBdr>
        <w:top w:val="none" w:sz="0" w:space="0" w:color="auto"/>
        <w:left w:val="none" w:sz="0" w:space="0" w:color="auto"/>
        <w:bottom w:val="none" w:sz="0" w:space="0" w:color="auto"/>
        <w:right w:val="none" w:sz="0" w:space="0" w:color="auto"/>
      </w:divBdr>
      <w:divsChild>
        <w:div w:id="1296522654">
          <w:marLeft w:val="-720"/>
          <w:marRight w:val="0"/>
          <w:marTop w:val="0"/>
          <w:marBottom w:val="0"/>
          <w:divBdr>
            <w:top w:val="none" w:sz="0" w:space="0" w:color="auto"/>
            <w:left w:val="none" w:sz="0" w:space="0" w:color="auto"/>
            <w:bottom w:val="none" w:sz="0" w:space="0" w:color="auto"/>
            <w:right w:val="none" w:sz="0" w:space="0" w:color="auto"/>
          </w:divBdr>
        </w:div>
      </w:divsChild>
    </w:div>
    <w:div w:id="461658223">
      <w:bodyDiv w:val="1"/>
      <w:marLeft w:val="0"/>
      <w:marRight w:val="0"/>
      <w:marTop w:val="0"/>
      <w:marBottom w:val="0"/>
      <w:divBdr>
        <w:top w:val="none" w:sz="0" w:space="0" w:color="auto"/>
        <w:left w:val="none" w:sz="0" w:space="0" w:color="auto"/>
        <w:bottom w:val="none" w:sz="0" w:space="0" w:color="auto"/>
        <w:right w:val="none" w:sz="0" w:space="0" w:color="auto"/>
      </w:divBdr>
      <w:divsChild>
        <w:div w:id="736165905">
          <w:marLeft w:val="-720"/>
          <w:marRight w:val="0"/>
          <w:marTop w:val="0"/>
          <w:marBottom w:val="0"/>
          <w:divBdr>
            <w:top w:val="none" w:sz="0" w:space="0" w:color="auto"/>
            <w:left w:val="none" w:sz="0" w:space="0" w:color="auto"/>
            <w:bottom w:val="none" w:sz="0" w:space="0" w:color="auto"/>
            <w:right w:val="none" w:sz="0" w:space="0" w:color="auto"/>
          </w:divBdr>
        </w:div>
      </w:divsChild>
    </w:div>
    <w:div w:id="608393824">
      <w:bodyDiv w:val="1"/>
      <w:marLeft w:val="0"/>
      <w:marRight w:val="0"/>
      <w:marTop w:val="0"/>
      <w:marBottom w:val="0"/>
      <w:divBdr>
        <w:top w:val="none" w:sz="0" w:space="0" w:color="auto"/>
        <w:left w:val="none" w:sz="0" w:space="0" w:color="auto"/>
        <w:bottom w:val="none" w:sz="0" w:space="0" w:color="auto"/>
        <w:right w:val="none" w:sz="0" w:space="0" w:color="auto"/>
      </w:divBdr>
      <w:divsChild>
        <w:div w:id="752354932">
          <w:marLeft w:val="-720"/>
          <w:marRight w:val="0"/>
          <w:marTop w:val="0"/>
          <w:marBottom w:val="0"/>
          <w:divBdr>
            <w:top w:val="none" w:sz="0" w:space="0" w:color="auto"/>
            <w:left w:val="none" w:sz="0" w:space="0" w:color="auto"/>
            <w:bottom w:val="none" w:sz="0" w:space="0" w:color="auto"/>
            <w:right w:val="none" w:sz="0" w:space="0" w:color="auto"/>
          </w:divBdr>
        </w:div>
      </w:divsChild>
    </w:div>
    <w:div w:id="711154361">
      <w:bodyDiv w:val="1"/>
      <w:marLeft w:val="0"/>
      <w:marRight w:val="0"/>
      <w:marTop w:val="0"/>
      <w:marBottom w:val="0"/>
      <w:divBdr>
        <w:top w:val="none" w:sz="0" w:space="0" w:color="auto"/>
        <w:left w:val="none" w:sz="0" w:space="0" w:color="auto"/>
        <w:bottom w:val="none" w:sz="0" w:space="0" w:color="auto"/>
        <w:right w:val="none" w:sz="0" w:space="0" w:color="auto"/>
      </w:divBdr>
    </w:div>
    <w:div w:id="809782648">
      <w:bodyDiv w:val="1"/>
      <w:marLeft w:val="0"/>
      <w:marRight w:val="0"/>
      <w:marTop w:val="0"/>
      <w:marBottom w:val="0"/>
      <w:divBdr>
        <w:top w:val="none" w:sz="0" w:space="0" w:color="auto"/>
        <w:left w:val="none" w:sz="0" w:space="0" w:color="auto"/>
        <w:bottom w:val="none" w:sz="0" w:space="0" w:color="auto"/>
        <w:right w:val="none" w:sz="0" w:space="0" w:color="auto"/>
      </w:divBdr>
      <w:divsChild>
        <w:div w:id="234171713">
          <w:marLeft w:val="-720"/>
          <w:marRight w:val="0"/>
          <w:marTop w:val="0"/>
          <w:marBottom w:val="0"/>
          <w:divBdr>
            <w:top w:val="none" w:sz="0" w:space="0" w:color="auto"/>
            <w:left w:val="none" w:sz="0" w:space="0" w:color="auto"/>
            <w:bottom w:val="none" w:sz="0" w:space="0" w:color="auto"/>
            <w:right w:val="none" w:sz="0" w:space="0" w:color="auto"/>
          </w:divBdr>
        </w:div>
      </w:divsChild>
    </w:div>
    <w:div w:id="1239246088">
      <w:bodyDiv w:val="1"/>
      <w:marLeft w:val="0"/>
      <w:marRight w:val="0"/>
      <w:marTop w:val="0"/>
      <w:marBottom w:val="0"/>
      <w:divBdr>
        <w:top w:val="none" w:sz="0" w:space="0" w:color="auto"/>
        <w:left w:val="none" w:sz="0" w:space="0" w:color="auto"/>
        <w:bottom w:val="none" w:sz="0" w:space="0" w:color="auto"/>
        <w:right w:val="none" w:sz="0" w:space="0" w:color="auto"/>
      </w:divBdr>
      <w:divsChild>
        <w:div w:id="527568452">
          <w:marLeft w:val="-720"/>
          <w:marRight w:val="0"/>
          <w:marTop w:val="0"/>
          <w:marBottom w:val="0"/>
          <w:divBdr>
            <w:top w:val="none" w:sz="0" w:space="0" w:color="auto"/>
            <w:left w:val="none" w:sz="0" w:space="0" w:color="auto"/>
            <w:bottom w:val="none" w:sz="0" w:space="0" w:color="auto"/>
            <w:right w:val="none" w:sz="0" w:space="0" w:color="auto"/>
          </w:divBdr>
        </w:div>
      </w:divsChild>
    </w:div>
    <w:div w:id="1315379493">
      <w:bodyDiv w:val="1"/>
      <w:marLeft w:val="0"/>
      <w:marRight w:val="0"/>
      <w:marTop w:val="0"/>
      <w:marBottom w:val="0"/>
      <w:divBdr>
        <w:top w:val="none" w:sz="0" w:space="0" w:color="auto"/>
        <w:left w:val="none" w:sz="0" w:space="0" w:color="auto"/>
        <w:bottom w:val="none" w:sz="0" w:space="0" w:color="auto"/>
        <w:right w:val="none" w:sz="0" w:space="0" w:color="auto"/>
      </w:divBdr>
      <w:divsChild>
        <w:div w:id="771895945">
          <w:marLeft w:val="-720"/>
          <w:marRight w:val="0"/>
          <w:marTop w:val="0"/>
          <w:marBottom w:val="0"/>
          <w:divBdr>
            <w:top w:val="none" w:sz="0" w:space="0" w:color="auto"/>
            <w:left w:val="none" w:sz="0" w:space="0" w:color="auto"/>
            <w:bottom w:val="none" w:sz="0" w:space="0" w:color="auto"/>
            <w:right w:val="none" w:sz="0" w:space="0" w:color="auto"/>
          </w:divBdr>
        </w:div>
      </w:divsChild>
    </w:div>
    <w:div w:id="1579092778">
      <w:bodyDiv w:val="1"/>
      <w:marLeft w:val="0"/>
      <w:marRight w:val="0"/>
      <w:marTop w:val="0"/>
      <w:marBottom w:val="0"/>
      <w:divBdr>
        <w:top w:val="none" w:sz="0" w:space="0" w:color="auto"/>
        <w:left w:val="none" w:sz="0" w:space="0" w:color="auto"/>
        <w:bottom w:val="none" w:sz="0" w:space="0" w:color="auto"/>
        <w:right w:val="none" w:sz="0" w:space="0" w:color="auto"/>
      </w:divBdr>
      <w:divsChild>
        <w:div w:id="1756706292">
          <w:marLeft w:val="-720"/>
          <w:marRight w:val="0"/>
          <w:marTop w:val="0"/>
          <w:marBottom w:val="0"/>
          <w:divBdr>
            <w:top w:val="none" w:sz="0" w:space="0" w:color="auto"/>
            <w:left w:val="none" w:sz="0" w:space="0" w:color="auto"/>
            <w:bottom w:val="none" w:sz="0" w:space="0" w:color="auto"/>
            <w:right w:val="none" w:sz="0" w:space="0" w:color="auto"/>
          </w:divBdr>
        </w:div>
      </w:divsChild>
    </w:div>
    <w:div w:id="1949921343">
      <w:bodyDiv w:val="1"/>
      <w:marLeft w:val="0"/>
      <w:marRight w:val="0"/>
      <w:marTop w:val="0"/>
      <w:marBottom w:val="0"/>
      <w:divBdr>
        <w:top w:val="none" w:sz="0" w:space="0" w:color="auto"/>
        <w:left w:val="none" w:sz="0" w:space="0" w:color="auto"/>
        <w:bottom w:val="none" w:sz="0" w:space="0" w:color="auto"/>
        <w:right w:val="none" w:sz="0" w:space="0" w:color="auto"/>
      </w:divBdr>
      <w:divsChild>
        <w:div w:id="391198296">
          <w:marLeft w:val="-720"/>
          <w:marRight w:val="0"/>
          <w:marTop w:val="0"/>
          <w:marBottom w:val="0"/>
          <w:divBdr>
            <w:top w:val="none" w:sz="0" w:space="0" w:color="auto"/>
            <w:left w:val="none" w:sz="0" w:space="0" w:color="auto"/>
            <w:bottom w:val="none" w:sz="0" w:space="0" w:color="auto"/>
            <w:right w:val="none" w:sz="0" w:space="0" w:color="auto"/>
          </w:divBdr>
        </w:div>
      </w:divsChild>
    </w:div>
    <w:div w:id="1992757939">
      <w:bodyDiv w:val="1"/>
      <w:marLeft w:val="0"/>
      <w:marRight w:val="0"/>
      <w:marTop w:val="0"/>
      <w:marBottom w:val="0"/>
      <w:divBdr>
        <w:top w:val="none" w:sz="0" w:space="0" w:color="auto"/>
        <w:left w:val="none" w:sz="0" w:space="0" w:color="auto"/>
        <w:bottom w:val="none" w:sz="0" w:space="0" w:color="auto"/>
        <w:right w:val="none" w:sz="0" w:space="0" w:color="auto"/>
      </w:divBdr>
      <w:divsChild>
        <w:div w:id="184250837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1978542.197856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procs.2021.01.19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0574/wjarr.2024.21.3.067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bdcc6040132" TargetMode="External"/><Relationship Id="rId4" Type="http://schemas.openxmlformats.org/officeDocument/2006/relationships/settings" Target="settings.xml"/><Relationship Id="rId9" Type="http://schemas.openxmlformats.org/officeDocument/2006/relationships/hyperlink" Target="https://doi.org/10.2307/417035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0E29B-677D-4941-8E81-79E01C53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11</Pages>
  <Words>2825</Words>
  <Characters>16106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dc:creator>
  <cp:keywords/>
  <dc:description/>
  <cp:lastModifiedBy>klm</cp:lastModifiedBy>
  <cp:revision>1</cp:revision>
  <dcterms:created xsi:type="dcterms:W3CDTF">2026-03-20T22:00:00Z</dcterms:created>
  <dcterms:modified xsi:type="dcterms:W3CDTF">2026-03-20T23:06:00Z</dcterms:modified>
</cp:coreProperties>
</file>