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C6F5A" w:rsidRDefault="001406DA" w:rsidP="001406DA">
      <w:pPr>
        <w:jc w:val="center"/>
        <w:rPr>
          <w:rFonts w:ascii="Garamond" w:hAnsi="Garamond"/>
          <w:b/>
          <w:sz w:val="28"/>
          <w:szCs w:val="28"/>
          <w:u w:val="single"/>
        </w:rPr>
      </w:pPr>
      <w:r w:rsidRPr="001406DA">
        <w:rPr>
          <w:rFonts w:ascii="Garamond" w:hAnsi="Garamond"/>
          <w:b/>
          <w:sz w:val="28"/>
          <w:szCs w:val="28"/>
          <w:u w:val="single"/>
        </w:rPr>
        <w:t>Discuss the Elaboration Likelihood Model of Persuasion</w:t>
      </w:r>
    </w:p>
    <w:p w:rsidR="001406DA" w:rsidRDefault="001406DA" w:rsidP="001406DA">
      <w:pPr>
        <w:jc w:val="center"/>
        <w:rPr>
          <w:rFonts w:ascii="Garamond" w:hAnsi="Garamond"/>
          <w:b/>
          <w:sz w:val="28"/>
          <w:szCs w:val="28"/>
          <w:u w:val="single"/>
        </w:rPr>
      </w:pPr>
    </w:p>
    <w:p w:rsidR="001406DA" w:rsidRDefault="001406DA" w:rsidP="001406DA">
      <w:pPr>
        <w:rPr>
          <w:rFonts w:ascii="Garamond" w:hAnsi="Garamond"/>
          <w:sz w:val="28"/>
          <w:szCs w:val="28"/>
        </w:rPr>
      </w:pPr>
      <w:r>
        <w:rPr>
          <w:rFonts w:ascii="Garamond" w:hAnsi="Garamond"/>
          <w:sz w:val="28"/>
          <w:szCs w:val="28"/>
        </w:rPr>
        <w:t xml:space="preserve">The aim of this assignment is to understand and discuss what is meant by the Elaboration Likelihood model and how individuals attend and respond to the use persuasive messages. </w:t>
      </w:r>
    </w:p>
    <w:p w:rsidR="00E71483" w:rsidRDefault="001727F8" w:rsidP="001406DA">
      <w:pPr>
        <w:rPr>
          <w:rFonts w:ascii="Garamond" w:hAnsi="Garamond"/>
          <w:sz w:val="28"/>
          <w:szCs w:val="28"/>
        </w:rPr>
      </w:pPr>
      <w:r>
        <w:rPr>
          <w:rFonts w:ascii="Garamond" w:hAnsi="Garamond"/>
          <w:sz w:val="28"/>
          <w:szCs w:val="28"/>
        </w:rPr>
        <w:tab/>
        <w:t xml:space="preserve">Persuasion is the area known that addresses the attitude change as a result of processing </w:t>
      </w:r>
      <w:r w:rsidR="00CC3427">
        <w:rPr>
          <w:rFonts w:ascii="Garamond" w:hAnsi="Garamond"/>
          <w:sz w:val="28"/>
          <w:szCs w:val="28"/>
        </w:rPr>
        <w:t xml:space="preserve">information, this would be in response to the messages about the attitude objects. </w:t>
      </w:r>
      <w:r w:rsidR="00C878A2">
        <w:rPr>
          <w:rFonts w:ascii="Garamond" w:hAnsi="Garamond"/>
          <w:sz w:val="28"/>
          <w:szCs w:val="28"/>
        </w:rPr>
        <w:t xml:space="preserve">Petty and </w:t>
      </w:r>
      <w:proofErr w:type="spellStart"/>
      <w:r w:rsidR="00C878A2">
        <w:rPr>
          <w:rFonts w:ascii="Garamond" w:hAnsi="Garamond"/>
          <w:sz w:val="28"/>
          <w:szCs w:val="28"/>
        </w:rPr>
        <w:t>Cacioppo</w:t>
      </w:r>
      <w:proofErr w:type="spellEnd"/>
      <w:r w:rsidR="00C878A2">
        <w:rPr>
          <w:rFonts w:ascii="Garamond" w:hAnsi="Garamond"/>
          <w:sz w:val="28"/>
          <w:szCs w:val="28"/>
        </w:rPr>
        <w:t xml:space="preserve"> (1981) suggest that “the theories of persuasion can be ordered according to the amount of cognitive effort involved in the change processes that they focus on”.</w:t>
      </w:r>
      <w:r w:rsidR="007556CF">
        <w:rPr>
          <w:rFonts w:ascii="Garamond" w:hAnsi="Garamond"/>
          <w:sz w:val="28"/>
          <w:szCs w:val="28"/>
        </w:rPr>
        <w:t xml:space="preserve"> </w:t>
      </w:r>
      <w:r w:rsidR="00975AAB">
        <w:rPr>
          <w:rFonts w:ascii="Garamond" w:hAnsi="Garamond"/>
          <w:sz w:val="28"/>
          <w:szCs w:val="28"/>
        </w:rPr>
        <w:t>(</w:t>
      </w:r>
      <w:r w:rsidR="007556CF">
        <w:rPr>
          <w:rFonts w:ascii="Garamond" w:hAnsi="Garamond"/>
          <w:sz w:val="28"/>
          <w:szCs w:val="28"/>
        </w:rPr>
        <w:t>Cited in</w:t>
      </w:r>
      <w:r w:rsidR="00C878A2">
        <w:rPr>
          <w:rFonts w:ascii="Garamond" w:hAnsi="Garamond"/>
          <w:sz w:val="28"/>
          <w:szCs w:val="28"/>
        </w:rPr>
        <w:t xml:space="preserve"> </w:t>
      </w:r>
      <w:sdt>
        <w:sdtPr>
          <w:rPr>
            <w:rFonts w:ascii="Garamond" w:hAnsi="Garamond"/>
            <w:sz w:val="28"/>
            <w:szCs w:val="28"/>
          </w:rPr>
          <w:id w:val="-1500810589"/>
          <w:citation/>
        </w:sdtPr>
        <w:sdtEndPr/>
        <w:sdtContent>
          <w:r w:rsidR="00C878A2">
            <w:rPr>
              <w:rFonts w:ascii="Garamond" w:hAnsi="Garamond"/>
              <w:sz w:val="28"/>
              <w:szCs w:val="28"/>
            </w:rPr>
            <w:fldChar w:fldCharType="begin"/>
          </w:r>
          <w:r w:rsidR="007556CF">
            <w:rPr>
              <w:rFonts w:ascii="Garamond" w:hAnsi="Garamond"/>
              <w:sz w:val="28"/>
              <w:szCs w:val="28"/>
            </w:rPr>
            <w:instrText xml:space="preserve">CITATION Hew01 \p 249 \l 2057 </w:instrText>
          </w:r>
          <w:r w:rsidR="00C878A2">
            <w:rPr>
              <w:rFonts w:ascii="Garamond" w:hAnsi="Garamond"/>
              <w:sz w:val="28"/>
              <w:szCs w:val="28"/>
            </w:rPr>
            <w:fldChar w:fldCharType="separate"/>
          </w:r>
          <w:r w:rsidR="00E67B41" w:rsidRPr="00E67B41">
            <w:rPr>
              <w:rFonts w:ascii="Garamond" w:hAnsi="Garamond"/>
              <w:noProof/>
              <w:sz w:val="28"/>
              <w:szCs w:val="28"/>
            </w:rPr>
            <w:t>(Hewstone, 2001, p. 249)</w:t>
          </w:r>
          <w:r w:rsidR="00C878A2">
            <w:rPr>
              <w:rFonts w:ascii="Garamond" w:hAnsi="Garamond"/>
              <w:sz w:val="28"/>
              <w:szCs w:val="28"/>
            </w:rPr>
            <w:fldChar w:fldCharType="end"/>
          </w:r>
        </w:sdtContent>
      </w:sdt>
      <w:r w:rsidR="005C7723">
        <w:rPr>
          <w:rFonts w:ascii="Garamond" w:hAnsi="Garamond"/>
          <w:sz w:val="28"/>
          <w:szCs w:val="28"/>
        </w:rPr>
        <w:t xml:space="preserve">. </w:t>
      </w:r>
    </w:p>
    <w:p w:rsidR="004B32A1" w:rsidRDefault="004B32A1" w:rsidP="001406DA">
      <w:pPr>
        <w:rPr>
          <w:rFonts w:ascii="Garamond" w:hAnsi="Garamond"/>
          <w:sz w:val="28"/>
          <w:szCs w:val="28"/>
        </w:rPr>
      </w:pPr>
      <w:r>
        <w:rPr>
          <w:rFonts w:ascii="Garamond" w:hAnsi="Garamond"/>
          <w:sz w:val="28"/>
          <w:szCs w:val="28"/>
        </w:rPr>
        <w:tab/>
        <w:t xml:space="preserve">Research has been carried out between the relationship of persuasive communication and attitude change. This is most associated with advertising. Schwerin and Newell (1981) believe that without attitude change taking place then </w:t>
      </w:r>
      <w:r w:rsidR="0051409B">
        <w:rPr>
          <w:rFonts w:ascii="Garamond" w:hAnsi="Garamond"/>
          <w:sz w:val="28"/>
          <w:szCs w:val="28"/>
        </w:rPr>
        <w:t xml:space="preserve">behavioural change cannot occur. </w:t>
      </w:r>
      <w:r w:rsidR="00A312EF">
        <w:rPr>
          <w:rFonts w:ascii="Garamond" w:hAnsi="Garamond"/>
          <w:sz w:val="28"/>
          <w:szCs w:val="28"/>
        </w:rPr>
        <w:t xml:space="preserve">For a long time, social psychologists have shown a great interest in the nature of successful and unsuccessful persuasion. However, </w:t>
      </w:r>
      <w:proofErr w:type="gramStart"/>
      <w:r w:rsidR="00A312EF">
        <w:rPr>
          <w:rFonts w:ascii="Garamond" w:hAnsi="Garamond"/>
          <w:sz w:val="28"/>
          <w:szCs w:val="28"/>
        </w:rPr>
        <w:t>although</w:t>
      </w:r>
      <w:proofErr w:type="gramEnd"/>
      <w:r w:rsidR="00A312EF">
        <w:rPr>
          <w:rFonts w:ascii="Garamond" w:hAnsi="Garamond"/>
          <w:sz w:val="28"/>
          <w:szCs w:val="28"/>
        </w:rPr>
        <w:t xml:space="preserve"> persuasive messages play a large role in determining human social behaviour, it has only been within the last thirty or so years that social scientists studies that make persuasive messages effective. </w:t>
      </w:r>
      <w:r w:rsidR="00975AAB">
        <w:rPr>
          <w:rFonts w:ascii="Garamond" w:hAnsi="Garamond"/>
          <w:sz w:val="28"/>
          <w:szCs w:val="28"/>
        </w:rPr>
        <w:t xml:space="preserve">(Cited in </w:t>
      </w:r>
      <w:sdt>
        <w:sdtPr>
          <w:rPr>
            <w:rFonts w:ascii="Garamond" w:hAnsi="Garamond"/>
            <w:sz w:val="28"/>
            <w:szCs w:val="28"/>
          </w:rPr>
          <w:id w:val="724027613"/>
          <w:citation/>
        </w:sdtPr>
        <w:sdtEndPr/>
        <w:sdtContent>
          <w:r w:rsidR="00975AAB">
            <w:rPr>
              <w:rFonts w:ascii="Garamond" w:hAnsi="Garamond"/>
              <w:sz w:val="28"/>
              <w:szCs w:val="28"/>
            </w:rPr>
            <w:fldChar w:fldCharType="begin"/>
          </w:r>
          <w:r w:rsidR="00975AAB">
            <w:rPr>
              <w:rFonts w:ascii="Garamond" w:hAnsi="Garamond"/>
              <w:sz w:val="28"/>
              <w:szCs w:val="28"/>
            </w:rPr>
            <w:instrText xml:space="preserve"> CITATION Hog98 \l 2057 </w:instrText>
          </w:r>
          <w:r w:rsidR="00975AAB">
            <w:rPr>
              <w:rFonts w:ascii="Garamond" w:hAnsi="Garamond"/>
              <w:sz w:val="28"/>
              <w:szCs w:val="28"/>
            </w:rPr>
            <w:fldChar w:fldCharType="separate"/>
          </w:r>
          <w:r w:rsidR="00E67B41" w:rsidRPr="00E67B41">
            <w:rPr>
              <w:rFonts w:ascii="Garamond" w:hAnsi="Garamond"/>
              <w:noProof/>
              <w:sz w:val="28"/>
              <w:szCs w:val="28"/>
            </w:rPr>
            <w:t>(Hogg, 1998)</w:t>
          </w:r>
          <w:r w:rsidR="00975AAB">
            <w:rPr>
              <w:rFonts w:ascii="Garamond" w:hAnsi="Garamond"/>
              <w:sz w:val="28"/>
              <w:szCs w:val="28"/>
            </w:rPr>
            <w:fldChar w:fldCharType="end"/>
          </w:r>
        </w:sdtContent>
      </w:sdt>
      <w:r w:rsidR="007E3BE8">
        <w:rPr>
          <w:rFonts w:ascii="Garamond" w:hAnsi="Garamond"/>
          <w:sz w:val="28"/>
          <w:szCs w:val="28"/>
        </w:rPr>
        <w:t>.</w:t>
      </w:r>
    </w:p>
    <w:p w:rsidR="00E71483" w:rsidRDefault="00E71483" w:rsidP="001406DA">
      <w:pPr>
        <w:rPr>
          <w:rFonts w:ascii="Garamond" w:hAnsi="Garamond"/>
          <w:sz w:val="28"/>
          <w:szCs w:val="28"/>
        </w:rPr>
      </w:pPr>
      <w:r>
        <w:rPr>
          <w:rFonts w:ascii="Garamond" w:hAnsi="Garamond"/>
          <w:sz w:val="28"/>
          <w:szCs w:val="28"/>
        </w:rPr>
        <w:tab/>
      </w:r>
      <w:r w:rsidR="00CA2789">
        <w:rPr>
          <w:rFonts w:ascii="Garamond" w:hAnsi="Garamond"/>
          <w:sz w:val="28"/>
          <w:szCs w:val="28"/>
        </w:rPr>
        <w:t>Since the 1980s, most persuasion research has been based on a dual process model. This could either by the elaboration likelihood model or the heuristic-systematic model. Both these models show comprehensive frameworks of persuasion. Both the elaboration likelihood model and the heuristic-systematic model incorporate that the assumption of cognitive response</w:t>
      </w:r>
      <w:r w:rsidR="00D71651">
        <w:rPr>
          <w:rFonts w:ascii="Garamond" w:hAnsi="Garamond"/>
          <w:sz w:val="28"/>
          <w:szCs w:val="28"/>
        </w:rPr>
        <w:t xml:space="preserve"> is about active and effortful processing, but also it addresses persuasion that is based on effortless processing. (Cited in </w:t>
      </w:r>
      <w:sdt>
        <w:sdtPr>
          <w:rPr>
            <w:rFonts w:ascii="Garamond" w:hAnsi="Garamond"/>
            <w:sz w:val="28"/>
            <w:szCs w:val="28"/>
          </w:rPr>
          <w:id w:val="-1333295439"/>
          <w:citation/>
        </w:sdtPr>
        <w:sdtEndPr/>
        <w:sdtContent>
          <w:r w:rsidR="00D71651">
            <w:rPr>
              <w:rFonts w:ascii="Garamond" w:hAnsi="Garamond"/>
              <w:sz w:val="28"/>
              <w:szCs w:val="28"/>
            </w:rPr>
            <w:fldChar w:fldCharType="begin"/>
          </w:r>
          <w:r w:rsidR="00D71651">
            <w:rPr>
              <w:rFonts w:ascii="Garamond" w:hAnsi="Garamond"/>
              <w:sz w:val="28"/>
              <w:szCs w:val="28"/>
            </w:rPr>
            <w:instrText xml:space="preserve"> CITATION Hew01 \l 2057 </w:instrText>
          </w:r>
          <w:r w:rsidR="00D71651">
            <w:rPr>
              <w:rFonts w:ascii="Garamond" w:hAnsi="Garamond"/>
              <w:sz w:val="28"/>
              <w:szCs w:val="28"/>
            </w:rPr>
            <w:fldChar w:fldCharType="separate"/>
          </w:r>
          <w:r w:rsidR="00E67B41" w:rsidRPr="00E67B41">
            <w:rPr>
              <w:rFonts w:ascii="Garamond" w:hAnsi="Garamond"/>
              <w:noProof/>
              <w:sz w:val="28"/>
              <w:szCs w:val="28"/>
            </w:rPr>
            <w:t>(Hewstone, 2001)</w:t>
          </w:r>
          <w:r w:rsidR="00D71651">
            <w:rPr>
              <w:rFonts w:ascii="Garamond" w:hAnsi="Garamond"/>
              <w:sz w:val="28"/>
              <w:szCs w:val="28"/>
            </w:rPr>
            <w:fldChar w:fldCharType="end"/>
          </w:r>
        </w:sdtContent>
      </w:sdt>
      <w:r w:rsidR="00D71651">
        <w:rPr>
          <w:rFonts w:ascii="Garamond" w:hAnsi="Garamond"/>
          <w:sz w:val="28"/>
          <w:szCs w:val="28"/>
        </w:rPr>
        <w:t>.</w:t>
      </w:r>
    </w:p>
    <w:p w:rsidR="004A06E9" w:rsidRDefault="008D305F" w:rsidP="001406DA">
      <w:pPr>
        <w:rPr>
          <w:rFonts w:ascii="Garamond" w:hAnsi="Garamond"/>
          <w:sz w:val="28"/>
          <w:szCs w:val="28"/>
        </w:rPr>
      </w:pPr>
      <w:r>
        <w:rPr>
          <w:rFonts w:ascii="Garamond" w:hAnsi="Garamond"/>
          <w:sz w:val="28"/>
          <w:szCs w:val="28"/>
        </w:rPr>
        <w:tab/>
        <w:t xml:space="preserve">After the second world war Carl </w:t>
      </w:r>
      <w:proofErr w:type="spellStart"/>
      <w:r>
        <w:rPr>
          <w:rFonts w:ascii="Garamond" w:hAnsi="Garamond"/>
          <w:sz w:val="28"/>
          <w:szCs w:val="28"/>
        </w:rPr>
        <w:t>Hovland</w:t>
      </w:r>
      <w:proofErr w:type="spellEnd"/>
      <w:r>
        <w:rPr>
          <w:rFonts w:ascii="Garamond" w:hAnsi="Garamond"/>
          <w:sz w:val="28"/>
          <w:szCs w:val="28"/>
        </w:rPr>
        <w:t xml:space="preserve"> spent his time in Yale University where he conducted the first coordinated research program that was dealing with the social psychology of persuasion.</w:t>
      </w:r>
      <w:r w:rsidR="004A06E9">
        <w:rPr>
          <w:rFonts w:ascii="Garamond" w:hAnsi="Garamond"/>
          <w:sz w:val="28"/>
          <w:szCs w:val="28"/>
        </w:rPr>
        <w:t xml:space="preserve"> They suggested that to understand why people would attend to, understand, remember and accept a persuasive message was to understand and study the characteristics of the person delivering the message, the contents of the message and also the characteristics of the person receiving the message. </w:t>
      </w:r>
      <w:proofErr w:type="spellStart"/>
      <w:r w:rsidR="00CA7843">
        <w:rPr>
          <w:rFonts w:ascii="Garamond" w:hAnsi="Garamond"/>
          <w:sz w:val="28"/>
          <w:szCs w:val="28"/>
        </w:rPr>
        <w:t>Hovland</w:t>
      </w:r>
      <w:proofErr w:type="spellEnd"/>
      <w:r w:rsidR="00CA7843">
        <w:rPr>
          <w:rFonts w:ascii="Garamond" w:hAnsi="Garamond"/>
          <w:sz w:val="28"/>
          <w:szCs w:val="28"/>
        </w:rPr>
        <w:t xml:space="preserve"> along with his colleagues, identified that there were four steps in the persuasion process. These steps were attention, comprehension, acceptance and retention. </w:t>
      </w:r>
      <w:r w:rsidR="00F765FB">
        <w:rPr>
          <w:rFonts w:ascii="Garamond" w:hAnsi="Garamond"/>
          <w:sz w:val="28"/>
          <w:szCs w:val="28"/>
        </w:rPr>
        <w:t xml:space="preserve">Not all findings that were found during the early years of the Yale research have lasted. (Cited in </w:t>
      </w:r>
      <w:sdt>
        <w:sdtPr>
          <w:rPr>
            <w:rFonts w:ascii="Garamond" w:hAnsi="Garamond"/>
            <w:sz w:val="28"/>
            <w:szCs w:val="28"/>
          </w:rPr>
          <w:id w:val="828636855"/>
          <w:citation/>
        </w:sdtPr>
        <w:sdtEndPr/>
        <w:sdtContent>
          <w:r w:rsidR="00F765FB">
            <w:rPr>
              <w:rFonts w:ascii="Garamond" w:hAnsi="Garamond"/>
              <w:sz w:val="28"/>
              <w:szCs w:val="28"/>
            </w:rPr>
            <w:fldChar w:fldCharType="begin"/>
          </w:r>
          <w:r w:rsidR="00F765FB">
            <w:rPr>
              <w:rFonts w:ascii="Garamond" w:hAnsi="Garamond"/>
              <w:sz w:val="28"/>
              <w:szCs w:val="28"/>
            </w:rPr>
            <w:instrText xml:space="preserve"> CITATION Hog98 \l 2057 </w:instrText>
          </w:r>
          <w:r w:rsidR="00F765FB">
            <w:rPr>
              <w:rFonts w:ascii="Garamond" w:hAnsi="Garamond"/>
              <w:sz w:val="28"/>
              <w:szCs w:val="28"/>
            </w:rPr>
            <w:fldChar w:fldCharType="separate"/>
          </w:r>
          <w:r w:rsidR="00E67B41" w:rsidRPr="00E67B41">
            <w:rPr>
              <w:rFonts w:ascii="Garamond" w:hAnsi="Garamond"/>
              <w:noProof/>
              <w:sz w:val="28"/>
              <w:szCs w:val="28"/>
            </w:rPr>
            <w:t>(Hogg, 1998)</w:t>
          </w:r>
          <w:r w:rsidR="00F765FB">
            <w:rPr>
              <w:rFonts w:ascii="Garamond" w:hAnsi="Garamond"/>
              <w:sz w:val="28"/>
              <w:szCs w:val="28"/>
            </w:rPr>
            <w:fldChar w:fldCharType="end"/>
          </w:r>
        </w:sdtContent>
      </w:sdt>
      <w:r w:rsidR="00F765FB">
        <w:rPr>
          <w:rFonts w:ascii="Garamond" w:hAnsi="Garamond"/>
          <w:sz w:val="28"/>
          <w:szCs w:val="28"/>
        </w:rPr>
        <w:t>.</w:t>
      </w:r>
    </w:p>
    <w:p w:rsidR="00F765FB" w:rsidRDefault="00F765FB" w:rsidP="001406DA">
      <w:pPr>
        <w:rPr>
          <w:rFonts w:ascii="Garamond" w:hAnsi="Garamond"/>
          <w:sz w:val="28"/>
          <w:szCs w:val="28"/>
        </w:rPr>
      </w:pPr>
      <w:r>
        <w:rPr>
          <w:rFonts w:ascii="Garamond" w:hAnsi="Garamond"/>
          <w:sz w:val="28"/>
          <w:szCs w:val="28"/>
        </w:rPr>
        <w:tab/>
      </w:r>
      <w:proofErr w:type="spellStart"/>
      <w:r>
        <w:rPr>
          <w:rFonts w:ascii="Garamond" w:hAnsi="Garamond"/>
          <w:sz w:val="28"/>
          <w:szCs w:val="28"/>
        </w:rPr>
        <w:t>Baumeister</w:t>
      </w:r>
      <w:proofErr w:type="spellEnd"/>
      <w:r>
        <w:rPr>
          <w:rFonts w:ascii="Garamond" w:hAnsi="Garamond"/>
          <w:sz w:val="28"/>
          <w:szCs w:val="28"/>
        </w:rPr>
        <w:t xml:space="preserve"> and Covington (1985) found that people with high self-esteem were as easily persuaded as people</w:t>
      </w:r>
      <w:r w:rsidR="009F38EF">
        <w:rPr>
          <w:rFonts w:ascii="Garamond" w:hAnsi="Garamond"/>
          <w:sz w:val="28"/>
          <w:szCs w:val="28"/>
        </w:rPr>
        <w:t xml:space="preserve"> with low self-esteem, but they are less likely to </w:t>
      </w:r>
      <w:r w:rsidR="009F38EF">
        <w:rPr>
          <w:rFonts w:ascii="Garamond" w:hAnsi="Garamond"/>
          <w:sz w:val="28"/>
          <w:szCs w:val="28"/>
        </w:rPr>
        <w:lastRenderedPageBreak/>
        <w:t xml:space="preserve">admit it. </w:t>
      </w:r>
      <w:r w:rsidR="00CA4E6B">
        <w:rPr>
          <w:rFonts w:ascii="Garamond" w:hAnsi="Garamond"/>
          <w:sz w:val="28"/>
          <w:szCs w:val="28"/>
        </w:rPr>
        <w:t xml:space="preserve">When persuasion does happen, people are willing to deny </w:t>
      </w:r>
      <w:r w:rsidR="004E7BFF">
        <w:rPr>
          <w:rFonts w:ascii="Garamond" w:hAnsi="Garamond"/>
          <w:sz w:val="28"/>
          <w:szCs w:val="28"/>
        </w:rPr>
        <w:t>that</w:t>
      </w:r>
      <w:r w:rsidR="00CA4E6B">
        <w:rPr>
          <w:rFonts w:ascii="Garamond" w:hAnsi="Garamond"/>
          <w:sz w:val="28"/>
          <w:szCs w:val="28"/>
        </w:rPr>
        <w:t xml:space="preserve"> </w:t>
      </w:r>
      <w:r w:rsidR="004E7BFF">
        <w:rPr>
          <w:rFonts w:ascii="Garamond" w:hAnsi="Garamond"/>
          <w:sz w:val="28"/>
          <w:szCs w:val="28"/>
        </w:rPr>
        <w:t>it has taken place</w:t>
      </w:r>
      <w:r w:rsidR="00CA4E6B">
        <w:rPr>
          <w:rFonts w:ascii="Garamond" w:hAnsi="Garamond"/>
          <w:sz w:val="28"/>
          <w:szCs w:val="28"/>
        </w:rPr>
        <w:t xml:space="preserve">. </w:t>
      </w:r>
      <w:proofErr w:type="spellStart"/>
      <w:r w:rsidR="00CA4E6B">
        <w:rPr>
          <w:rFonts w:ascii="Garamond" w:hAnsi="Garamond"/>
          <w:sz w:val="28"/>
          <w:szCs w:val="28"/>
        </w:rPr>
        <w:t>Bem</w:t>
      </w:r>
      <w:proofErr w:type="spellEnd"/>
      <w:r w:rsidR="00CA4E6B">
        <w:rPr>
          <w:rFonts w:ascii="Garamond" w:hAnsi="Garamond"/>
          <w:sz w:val="28"/>
          <w:szCs w:val="28"/>
        </w:rPr>
        <w:t xml:space="preserve"> and McConnell (1970) found that when people are persuaded then they conveniently fail to remember their original opinion. People are not oblivious to persuasion attempts. (Cited in </w:t>
      </w:r>
      <w:sdt>
        <w:sdtPr>
          <w:rPr>
            <w:rFonts w:ascii="Garamond" w:hAnsi="Garamond"/>
            <w:sz w:val="28"/>
            <w:szCs w:val="28"/>
          </w:rPr>
          <w:id w:val="791473861"/>
          <w:citation/>
        </w:sdtPr>
        <w:sdtEndPr/>
        <w:sdtContent>
          <w:r w:rsidR="00CA4E6B">
            <w:rPr>
              <w:rFonts w:ascii="Garamond" w:hAnsi="Garamond"/>
              <w:sz w:val="28"/>
              <w:szCs w:val="28"/>
            </w:rPr>
            <w:fldChar w:fldCharType="begin"/>
          </w:r>
          <w:r w:rsidR="00CA4E6B">
            <w:rPr>
              <w:rFonts w:ascii="Garamond" w:hAnsi="Garamond"/>
              <w:sz w:val="28"/>
              <w:szCs w:val="28"/>
            </w:rPr>
            <w:instrText xml:space="preserve"> CITATION Hog98 \l 2057 </w:instrText>
          </w:r>
          <w:r w:rsidR="00CA4E6B">
            <w:rPr>
              <w:rFonts w:ascii="Garamond" w:hAnsi="Garamond"/>
              <w:sz w:val="28"/>
              <w:szCs w:val="28"/>
            </w:rPr>
            <w:fldChar w:fldCharType="separate"/>
          </w:r>
          <w:r w:rsidR="00E67B41" w:rsidRPr="00E67B41">
            <w:rPr>
              <w:rFonts w:ascii="Garamond" w:hAnsi="Garamond"/>
              <w:noProof/>
              <w:sz w:val="28"/>
              <w:szCs w:val="28"/>
            </w:rPr>
            <w:t>(Hogg, 1998)</w:t>
          </w:r>
          <w:r w:rsidR="00CA4E6B">
            <w:rPr>
              <w:rFonts w:ascii="Garamond" w:hAnsi="Garamond"/>
              <w:sz w:val="28"/>
              <w:szCs w:val="28"/>
            </w:rPr>
            <w:fldChar w:fldCharType="end"/>
          </w:r>
        </w:sdtContent>
      </w:sdt>
      <w:r w:rsidR="00CA4E6B">
        <w:rPr>
          <w:rFonts w:ascii="Garamond" w:hAnsi="Garamond"/>
          <w:sz w:val="28"/>
          <w:szCs w:val="28"/>
        </w:rPr>
        <w:t xml:space="preserve">. </w:t>
      </w:r>
    </w:p>
    <w:p w:rsidR="00E67B41" w:rsidRDefault="001406DA" w:rsidP="00E67B41">
      <w:pPr>
        <w:rPr>
          <w:rFonts w:ascii="Garamond" w:hAnsi="Garamond"/>
          <w:sz w:val="28"/>
          <w:szCs w:val="28"/>
        </w:rPr>
      </w:pPr>
      <w:r>
        <w:rPr>
          <w:rFonts w:ascii="Garamond" w:hAnsi="Garamond"/>
          <w:sz w:val="28"/>
          <w:szCs w:val="28"/>
        </w:rPr>
        <w:tab/>
        <w:t>T</w:t>
      </w:r>
      <w:r w:rsidR="001727F8">
        <w:rPr>
          <w:rFonts w:ascii="Garamond" w:hAnsi="Garamond"/>
          <w:sz w:val="28"/>
          <w:szCs w:val="28"/>
        </w:rPr>
        <w:t>his ass</w:t>
      </w:r>
      <w:r w:rsidR="00CA2789">
        <w:rPr>
          <w:rFonts w:ascii="Garamond" w:hAnsi="Garamond"/>
          <w:sz w:val="28"/>
          <w:szCs w:val="28"/>
        </w:rPr>
        <w:t>i</w:t>
      </w:r>
      <w:r w:rsidR="001727F8">
        <w:rPr>
          <w:rFonts w:ascii="Garamond" w:hAnsi="Garamond"/>
          <w:sz w:val="28"/>
          <w:szCs w:val="28"/>
        </w:rPr>
        <w:t>gnment will focus on t</w:t>
      </w:r>
      <w:r>
        <w:rPr>
          <w:rFonts w:ascii="Garamond" w:hAnsi="Garamond"/>
          <w:sz w:val="28"/>
          <w:szCs w:val="28"/>
        </w:rPr>
        <w:t>he elaboration likelihood model</w:t>
      </w:r>
      <w:r w:rsidR="001727F8">
        <w:rPr>
          <w:rFonts w:ascii="Garamond" w:hAnsi="Garamond"/>
          <w:sz w:val="28"/>
          <w:szCs w:val="28"/>
        </w:rPr>
        <w:t xml:space="preserve"> which</w:t>
      </w:r>
      <w:r>
        <w:rPr>
          <w:rFonts w:ascii="Garamond" w:hAnsi="Garamond"/>
          <w:sz w:val="28"/>
          <w:szCs w:val="28"/>
        </w:rPr>
        <w:t xml:space="preserve"> </w:t>
      </w:r>
      <w:r w:rsidR="00CE1989">
        <w:rPr>
          <w:rFonts w:ascii="Garamond" w:hAnsi="Garamond"/>
          <w:sz w:val="28"/>
          <w:szCs w:val="28"/>
        </w:rPr>
        <w:t xml:space="preserve">was developed by Petty and </w:t>
      </w:r>
      <w:proofErr w:type="spellStart"/>
      <w:r w:rsidR="00CE1989">
        <w:rPr>
          <w:rFonts w:ascii="Garamond" w:hAnsi="Garamond"/>
          <w:sz w:val="28"/>
          <w:szCs w:val="28"/>
        </w:rPr>
        <w:t>Cacioppo</w:t>
      </w:r>
      <w:proofErr w:type="spellEnd"/>
      <w:r w:rsidR="00CE1989">
        <w:rPr>
          <w:rFonts w:ascii="Garamond" w:hAnsi="Garamond"/>
          <w:sz w:val="28"/>
          <w:szCs w:val="28"/>
        </w:rPr>
        <w:t xml:space="preserve"> </w:t>
      </w:r>
      <w:r w:rsidR="00CC3427">
        <w:rPr>
          <w:rFonts w:ascii="Garamond" w:hAnsi="Garamond"/>
          <w:sz w:val="28"/>
          <w:szCs w:val="28"/>
        </w:rPr>
        <w:t>(</w:t>
      </w:r>
      <w:r w:rsidR="001727F8">
        <w:rPr>
          <w:rFonts w:ascii="Garamond" w:hAnsi="Garamond"/>
          <w:sz w:val="28"/>
          <w:szCs w:val="28"/>
        </w:rPr>
        <w:t>1986</w:t>
      </w:r>
      <w:r w:rsidR="00CC3427">
        <w:rPr>
          <w:rFonts w:ascii="Garamond" w:hAnsi="Garamond"/>
          <w:sz w:val="28"/>
          <w:szCs w:val="28"/>
        </w:rPr>
        <w:t>)</w:t>
      </w:r>
      <w:r w:rsidR="001727F8">
        <w:rPr>
          <w:rFonts w:ascii="Garamond" w:hAnsi="Garamond"/>
          <w:sz w:val="28"/>
          <w:szCs w:val="28"/>
        </w:rPr>
        <w:t>. They</w:t>
      </w:r>
      <w:r w:rsidR="00CE1989">
        <w:rPr>
          <w:rFonts w:ascii="Garamond" w:hAnsi="Garamond"/>
          <w:sz w:val="28"/>
          <w:szCs w:val="28"/>
        </w:rPr>
        <w:t xml:space="preserve"> would use this model to analyse the cognitive response to persuasive communication. Petty and </w:t>
      </w:r>
      <w:proofErr w:type="spellStart"/>
      <w:r w:rsidR="00CE1989">
        <w:rPr>
          <w:rFonts w:ascii="Garamond" w:hAnsi="Garamond"/>
          <w:sz w:val="28"/>
          <w:szCs w:val="28"/>
        </w:rPr>
        <w:t>Cacioppo</w:t>
      </w:r>
      <w:proofErr w:type="spellEnd"/>
      <w:r w:rsidR="00CE1989">
        <w:rPr>
          <w:rFonts w:ascii="Garamond" w:hAnsi="Garamond"/>
          <w:sz w:val="28"/>
          <w:szCs w:val="28"/>
        </w:rPr>
        <w:t xml:space="preserve"> suggested that people would, under some circumstances, be motivated enough that they would engage in the consideration of the pros and cons of an argument. However, under other conditions people would draw their own conclusions from peripheral cues that would be associated to the communication but irrelevant to the actual argument.</w:t>
      </w:r>
      <w:r w:rsidR="007218A4">
        <w:rPr>
          <w:rFonts w:ascii="Garamond" w:hAnsi="Garamond"/>
          <w:sz w:val="28"/>
          <w:szCs w:val="28"/>
        </w:rPr>
        <w:t xml:space="preserve"> These would include the attractiveness and prestige of the source or the pleasantness of the context. This for example can be a beautiful woman or handsome man smoking a</w:t>
      </w:r>
      <w:r w:rsidR="00696CBD">
        <w:rPr>
          <w:rFonts w:ascii="Garamond" w:hAnsi="Garamond"/>
          <w:sz w:val="28"/>
          <w:szCs w:val="28"/>
        </w:rPr>
        <w:t>n advertised brand of cigarette, or this could be a physically fit man or woman advertising a wellbeing product or fitness centre.</w:t>
      </w:r>
      <w:r w:rsidR="00CE1989">
        <w:rPr>
          <w:rFonts w:ascii="Garamond" w:hAnsi="Garamond"/>
          <w:sz w:val="28"/>
          <w:szCs w:val="28"/>
        </w:rPr>
        <w:t xml:space="preserve"> </w:t>
      </w:r>
      <w:r w:rsidR="009E57C4">
        <w:rPr>
          <w:rFonts w:ascii="Garamond" w:hAnsi="Garamond"/>
          <w:sz w:val="28"/>
          <w:szCs w:val="28"/>
        </w:rPr>
        <w:t xml:space="preserve">Petty and </w:t>
      </w:r>
      <w:proofErr w:type="spellStart"/>
      <w:r w:rsidR="009E57C4">
        <w:rPr>
          <w:rFonts w:ascii="Garamond" w:hAnsi="Garamond"/>
          <w:sz w:val="28"/>
          <w:szCs w:val="28"/>
        </w:rPr>
        <w:t>Cacioppo</w:t>
      </w:r>
      <w:proofErr w:type="spellEnd"/>
      <w:r w:rsidR="009E57C4">
        <w:rPr>
          <w:rFonts w:ascii="Garamond" w:hAnsi="Garamond"/>
          <w:sz w:val="28"/>
          <w:szCs w:val="28"/>
        </w:rPr>
        <w:t xml:space="preserve"> drew conclusions betwe</w:t>
      </w:r>
      <w:r w:rsidR="005C7723">
        <w:rPr>
          <w:rFonts w:ascii="Garamond" w:hAnsi="Garamond"/>
          <w:sz w:val="28"/>
          <w:szCs w:val="28"/>
        </w:rPr>
        <w:t>en central routes and peripheral routes to persuasion.</w:t>
      </w:r>
      <w:r w:rsidR="002269C8">
        <w:rPr>
          <w:rFonts w:ascii="Garamond" w:hAnsi="Garamond"/>
          <w:sz w:val="28"/>
          <w:szCs w:val="28"/>
        </w:rPr>
        <w:t xml:space="preserve"> Detailed information processing, reviewing and evaluation of arguments can characterize the central route of persuasion. </w:t>
      </w:r>
      <w:r w:rsidR="00E67B41">
        <w:rPr>
          <w:rFonts w:ascii="Garamond" w:hAnsi="Garamond"/>
          <w:sz w:val="28"/>
          <w:szCs w:val="28"/>
        </w:rPr>
        <w:t xml:space="preserve"> (Cited in</w:t>
      </w:r>
      <w:r w:rsidR="005C7723">
        <w:rPr>
          <w:rFonts w:ascii="Garamond" w:hAnsi="Garamond"/>
          <w:sz w:val="28"/>
          <w:szCs w:val="28"/>
        </w:rPr>
        <w:t xml:space="preserve"> </w:t>
      </w:r>
      <w:sdt>
        <w:sdtPr>
          <w:rPr>
            <w:rFonts w:ascii="Garamond" w:hAnsi="Garamond"/>
            <w:sz w:val="28"/>
            <w:szCs w:val="28"/>
          </w:rPr>
          <w:id w:val="200212231"/>
          <w:citation/>
        </w:sdtPr>
        <w:sdtEndPr/>
        <w:sdtContent>
          <w:r w:rsidR="00E67B41">
            <w:rPr>
              <w:rFonts w:ascii="Garamond" w:hAnsi="Garamond"/>
              <w:sz w:val="28"/>
              <w:szCs w:val="28"/>
            </w:rPr>
            <w:fldChar w:fldCharType="begin"/>
          </w:r>
          <w:r w:rsidR="00E67B41">
            <w:rPr>
              <w:rFonts w:ascii="Garamond" w:hAnsi="Garamond"/>
              <w:sz w:val="28"/>
              <w:szCs w:val="28"/>
            </w:rPr>
            <w:instrText xml:space="preserve"> CITATION Tay00 \l 2057 </w:instrText>
          </w:r>
          <w:r w:rsidR="00E67B41">
            <w:rPr>
              <w:rFonts w:ascii="Garamond" w:hAnsi="Garamond"/>
              <w:sz w:val="28"/>
              <w:szCs w:val="28"/>
            </w:rPr>
            <w:fldChar w:fldCharType="separate"/>
          </w:r>
          <w:r w:rsidR="00E67B41" w:rsidRPr="00E67B41">
            <w:rPr>
              <w:rFonts w:ascii="Garamond" w:hAnsi="Garamond"/>
              <w:noProof/>
              <w:sz w:val="28"/>
              <w:szCs w:val="28"/>
            </w:rPr>
            <w:t>(Taylor, 2000)</w:t>
          </w:r>
          <w:r w:rsidR="00E67B41">
            <w:rPr>
              <w:rFonts w:ascii="Garamond" w:hAnsi="Garamond"/>
              <w:sz w:val="28"/>
              <w:szCs w:val="28"/>
            </w:rPr>
            <w:fldChar w:fldCharType="end"/>
          </w:r>
        </w:sdtContent>
      </w:sdt>
      <w:r w:rsidR="00E67B41">
        <w:rPr>
          <w:rFonts w:ascii="Garamond" w:hAnsi="Garamond"/>
          <w:sz w:val="28"/>
          <w:szCs w:val="28"/>
        </w:rPr>
        <w:t xml:space="preserve">. </w:t>
      </w:r>
    </w:p>
    <w:p w:rsidR="00E67B41" w:rsidRDefault="00E67B41" w:rsidP="00E67B41">
      <w:pPr>
        <w:rPr>
          <w:rFonts w:ascii="Garamond" w:hAnsi="Garamond"/>
          <w:sz w:val="28"/>
          <w:szCs w:val="28"/>
        </w:rPr>
      </w:pPr>
      <w:r>
        <w:rPr>
          <w:rFonts w:ascii="Garamond" w:hAnsi="Garamond"/>
          <w:sz w:val="28"/>
          <w:szCs w:val="28"/>
        </w:rPr>
        <w:tab/>
        <w:t xml:space="preserve">It is believed that people </w:t>
      </w:r>
      <w:r w:rsidR="00D11D33">
        <w:rPr>
          <w:rFonts w:ascii="Garamond" w:hAnsi="Garamond"/>
          <w:sz w:val="28"/>
          <w:szCs w:val="28"/>
        </w:rPr>
        <w:t xml:space="preserve">draw superficial peripheral cues from thoughtlessness considerations of the importance of the arguments when they chose to use the peripheral route of persuasion. </w:t>
      </w:r>
      <w:r w:rsidR="00206D73">
        <w:rPr>
          <w:rFonts w:ascii="Garamond" w:hAnsi="Garamond"/>
          <w:sz w:val="28"/>
          <w:szCs w:val="28"/>
        </w:rPr>
        <w:t xml:space="preserve">Shelly </w:t>
      </w:r>
      <w:proofErr w:type="spellStart"/>
      <w:r w:rsidR="00206D73">
        <w:rPr>
          <w:rFonts w:ascii="Garamond" w:hAnsi="Garamond"/>
          <w:sz w:val="28"/>
          <w:szCs w:val="28"/>
        </w:rPr>
        <w:t>Chaiken</w:t>
      </w:r>
      <w:proofErr w:type="spellEnd"/>
      <w:r w:rsidR="00206D73">
        <w:rPr>
          <w:rFonts w:ascii="Garamond" w:hAnsi="Garamond"/>
          <w:sz w:val="28"/>
          <w:szCs w:val="28"/>
        </w:rPr>
        <w:t xml:space="preserve"> (1980, 1987) distinguished that systematic processing involves careful cons</w:t>
      </w:r>
      <w:r w:rsidR="001E39D4">
        <w:rPr>
          <w:rFonts w:ascii="Garamond" w:hAnsi="Garamond"/>
          <w:sz w:val="28"/>
          <w:szCs w:val="28"/>
        </w:rPr>
        <w:t>ideration and reviews of</w:t>
      </w:r>
      <w:r w:rsidR="00206D73">
        <w:rPr>
          <w:rFonts w:ascii="Garamond" w:hAnsi="Garamond"/>
          <w:sz w:val="28"/>
          <w:szCs w:val="28"/>
        </w:rPr>
        <w:t xml:space="preserve"> arguments from heuristic processing which involved simple decision making. </w:t>
      </w:r>
      <w:r w:rsidR="008A53FF">
        <w:rPr>
          <w:rFonts w:ascii="Garamond" w:hAnsi="Garamond"/>
          <w:sz w:val="28"/>
          <w:szCs w:val="28"/>
        </w:rPr>
        <w:t xml:space="preserve">The dual processing has distinction between the central and peripheral processing that can be used in attitude change research. </w:t>
      </w:r>
      <w:r w:rsidR="007139DA">
        <w:rPr>
          <w:rFonts w:ascii="Garamond" w:hAnsi="Garamond"/>
          <w:sz w:val="28"/>
          <w:szCs w:val="28"/>
        </w:rPr>
        <w:t>It plays an important part as it bears directly on the question of how people</w:t>
      </w:r>
      <w:r w:rsidR="00A91BAD">
        <w:rPr>
          <w:rFonts w:ascii="Garamond" w:hAnsi="Garamond"/>
          <w:sz w:val="28"/>
          <w:szCs w:val="28"/>
        </w:rPr>
        <w:t xml:space="preserve"> rationally</w:t>
      </w:r>
      <w:r w:rsidR="007139DA">
        <w:rPr>
          <w:rFonts w:ascii="Garamond" w:hAnsi="Garamond"/>
          <w:sz w:val="28"/>
          <w:szCs w:val="28"/>
        </w:rPr>
        <w:t xml:space="preserve"> respond to persuasion attempts.  </w:t>
      </w:r>
      <w:r w:rsidR="001E39D4">
        <w:rPr>
          <w:rFonts w:ascii="Garamond" w:hAnsi="Garamond"/>
          <w:sz w:val="28"/>
          <w:szCs w:val="28"/>
        </w:rPr>
        <w:t xml:space="preserve">(Cited in </w:t>
      </w:r>
      <w:sdt>
        <w:sdtPr>
          <w:rPr>
            <w:rFonts w:ascii="Garamond" w:hAnsi="Garamond"/>
            <w:sz w:val="28"/>
            <w:szCs w:val="28"/>
          </w:rPr>
          <w:id w:val="1908416485"/>
          <w:citation/>
        </w:sdtPr>
        <w:sdtEndPr/>
        <w:sdtContent>
          <w:r w:rsidR="001E39D4">
            <w:rPr>
              <w:rFonts w:ascii="Garamond" w:hAnsi="Garamond"/>
              <w:sz w:val="28"/>
              <w:szCs w:val="28"/>
            </w:rPr>
            <w:fldChar w:fldCharType="begin"/>
          </w:r>
          <w:r w:rsidR="001E39D4">
            <w:rPr>
              <w:rFonts w:ascii="Garamond" w:hAnsi="Garamond"/>
              <w:sz w:val="28"/>
              <w:szCs w:val="28"/>
            </w:rPr>
            <w:instrText xml:space="preserve"> CITATION Tay00 \l 2057 </w:instrText>
          </w:r>
          <w:r w:rsidR="001E39D4">
            <w:rPr>
              <w:rFonts w:ascii="Garamond" w:hAnsi="Garamond"/>
              <w:sz w:val="28"/>
              <w:szCs w:val="28"/>
            </w:rPr>
            <w:fldChar w:fldCharType="separate"/>
          </w:r>
          <w:r w:rsidR="001E39D4" w:rsidRPr="001E39D4">
            <w:rPr>
              <w:rFonts w:ascii="Garamond" w:hAnsi="Garamond"/>
              <w:noProof/>
              <w:sz w:val="28"/>
              <w:szCs w:val="28"/>
            </w:rPr>
            <w:t>(Taylor, 2000)</w:t>
          </w:r>
          <w:r w:rsidR="001E39D4">
            <w:rPr>
              <w:rFonts w:ascii="Garamond" w:hAnsi="Garamond"/>
              <w:sz w:val="28"/>
              <w:szCs w:val="28"/>
            </w:rPr>
            <w:fldChar w:fldCharType="end"/>
          </w:r>
        </w:sdtContent>
      </w:sdt>
      <w:r w:rsidR="001E39D4">
        <w:rPr>
          <w:rFonts w:ascii="Garamond" w:hAnsi="Garamond"/>
          <w:sz w:val="28"/>
          <w:szCs w:val="28"/>
        </w:rPr>
        <w:t>.</w:t>
      </w:r>
    </w:p>
    <w:p w:rsidR="00EE7CD8" w:rsidRDefault="00EE7CD8" w:rsidP="00E67B41">
      <w:pPr>
        <w:rPr>
          <w:rFonts w:ascii="Garamond" w:hAnsi="Garamond"/>
          <w:sz w:val="28"/>
          <w:szCs w:val="28"/>
        </w:rPr>
      </w:pPr>
      <w:r>
        <w:rPr>
          <w:rFonts w:ascii="Garamond" w:hAnsi="Garamond"/>
          <w:sz w:val="28"/>
          <w:szCs w:val="28"/>
        </w:rPr>
        <w:tab/>
        <w:t xml:space="preserve">Within </w:t>
      </w:r>
      <w:r w:rsidR="00F0016C">
        <w:rPr>
          <w:rFonts w:ascii="Garamond" w:hAnsi="Garamond"/>
          <w:sz w:val="28"/>
          <w:szCs w:val="28"/>
        </w:rPr>
        <w:t xml:space="preserve">the ELM, people who receive persuasive messages think about the arguments that they make but not necessarily deeply or carefully. This would be because it requires significant cognitive effort which is only likely to be expanded if the issue is recognised as important. </w:t>
      </w:r>
      <w:r w:rsidR="00F20318">
        <w:rPr>
          <w:rFonts w:ascii="Garamond" w:hAnsi="Garamond"/>
          <w:sz w:val="28"/>
          <w:szCs w:val="28"/>
        </w:rPr>
        <w:t xml:space="preserve">Persuasion follows from either of two different processes and that one that it selected depends </w:t>
      </w:r>
      <w:r w:rsidR="00434554">
        <w:rPr>
          <w:rFonts w:ascii="Garamond" w:hAnsi="Garamond"/>
          <w:sz w:val="28"/>
          <w:szCs w:val="28"/>
        </w:rPr>
        <w:t>up</w:t>
      </w:r>
      <w:r w:rsidR="00F20318">
        <w:rPr>
          <w:rFonts w:ascii="Garamond" w:hAnsi="Garamond"/>
          <w:sz w:val="28"/>
          <w:szCs w:val="28"/>
        </w:rPr>
        <w:t>on the amount of elaboration or scrutiny required.</w:t>
      </w:r>
      <w:r w:rsidR="0045614B">
        <w:rPr>
          <w:rFonts w:ascii="Garamond" w:hAnsi="Garamond"/>
          <w:sz w:val="28"/>
          <w:szCs w:val="28"/>
        </w:rPr>
        <w:t xml:space="preserve"> The central route of persuasion is used if the argument is closely followed. Also if the central route is going to be used then the message needs to be convincingly put as considerable cognitive effort will be expended.</w:t>
      </w:r>
      <w:r w:rsidR="00F20318">
        <w:rPr>
          <w:rFonts w:ascii="Garamond" w:hAnsi="Garamond"/>
          <w:sz w:val="28"/>
          <w:szCs w:val="28"/>
        </w:rPr>
        <w:t xml:space="preserve"> </w:t>
      </w:r>
      <w:r w:rsidR="004D214D">
        <w:rPr>
          <w:rFonts w:ascii="Garamond" w:hAnsi="Garamond"/>
          <w:sz w:val="28"/>
          <w:szCs w:val="28"/>
        </w:rPr>
        <w:t xml:space="preserve">For example, if you are told by a doctor that you need a major surgical operation then you are more likely to take a considerable amount of time to be convinced that this is the right thing. This would be because you listen carefully to </w:t>
      </w:r>
      <w:r w:rsidR="004D214D">
        <w:rPr>
          <w:rFonts w:ascii="Garamond" w:hAnsi="Garamond"/>
          <w:sz w:val="28"/>
          <w:szCs w:val="28"/>
        </w:rPr>
        <w:lastRenderedPageBreak/>
        <w:t>what the doctor has said, read the information that has been given to you, seek another medical opinion. However, when an argument is not well attended to then a peripheral route is followed.</w:t>
      </w:r>
      <w:r w:rsidR="006B722F">
        <w:rPr>
          <w:rFonts w:ascii="Garamond" w:hAnsi="Garamond"/>
          <w:sz w:val="28"/>
          <w:szCs w:val="28"/>
        </w:rPr>
        <w:t xml:space="preserve"> By following peripheral cues, people act in a less diligent manner. This could be by viewing an advert</w:t>
      </w:r>
      <w:r w:rsidR="00A41249">
        <w:rPr>
          <w:rFonts w:ascii="Garamond" w:hAnsi="Garamond"/>
          <w:sz w:val="28"/>
          <w:szCs w:val="28"/>
        </w:rPr>
        <w:t>ising or promotions</w:t>
      </w:r>
      <w:r w:rsidR="006B722F">
        <w:rPr>
          <w:rFonts w:ascii="Garamond" w:hAnsi="Garamond"/>
          <w:sz w:val="28"/>
          <w:szCs w:val="28"/>
        </w:rPr>
        <w:t>. People</w:t>
      </w:r>
      <w:r w:rsidR="00A41249">
        <w:rPr>
          <w:rFonts w:ascii="Garamond" w:hAnsi="Garamond"/>
          <w:sz w:val="28"/>
          <w:szCs w:val="28"/>
        </w:rPr>
        <w:t xml:space="preserve"> are </w:t>
      </w:r>
      <w:r w:rsidR="006B722F">
        <w:rPr>
          <w:rFonts w:ascii="Garamond" w:hAnsi="Garamond"/>
          <w:sz w:val="28"/>
          <w:szCs w:val="28"/>
        </w:rPr>
        <w:t>more likely to be persuaded if the product that is being advertised is used by an attractive model.</w:t>
      </w:r>
      <w:r w:rsidR="004D214D">
        <w:rPr>
          <w:rFonts w:ascii="Garamond" w:hAnsi="Garamond"/>
          <w:sz w:val="28"/>
          <w:szCs w:val="28"/>
        </w:rPr>
        <w:t xml:space="preserve"> </w:t>
      </w:r>
      <w:r w:rsidR="000A303F">
        <w:rPr>
          <w:rFonts w:ascii="Garamond" w:hAnsi="Garamond"/>
          <w:sz w:val="28"/>
          <w:szCs w:val="28"/>
        </w:rPr>
        <w:t xml:space="preserve">(Cited in </w:t>
      </w:r>
      <w:sdt>
        <w:sdtPr>
          <w:rPr>
            <w:rFonts w:ascii="Garamond" w:hAnsi="Garamond"/>
            <w:sz w:val="28"/>
            <w:szCs w:val="28"/>
          </w:rPr>
          <w:id w:val="1949510587"/>
          <w:citation/>
        </w:sdtPr>
        <w:sdtEndPr/>
        <w:sdtContent>
          <w:r w:rsidR="0045614B">
            <w:rPr>
              <w:rFonts w:ascii="Garamond" w:hAnsi="Garamond"/>
              <w:sz w:val="28"/>
              <w:szCs w:val="28"/>
            </w:rPr>
            <w:fldChar w:fldCharType="begin"/>
          </w:r>
          <w:r w:rsidR="0045614B">
            <w:rPr>
              <w:rFonts w:ascii="Garamond" w:hAnsi="Garamond"/>
              <w:sz w:val="28"/>
              <w:szCs w:val="28"/>
            </w:rPr>
            <w:instrText xml:space="preserve"> CITATION Hog98 \l 2057 </w:instrText>
          </w:r>
          <w:r w:rsidR="0045614B">
            <w:rPr>
              <w:rFonts w:ascii="Garamond" w:hAnsi="Garamond"/>
              <w:sz w:val="28"/>
              <w:szCs w:val="28"/>
            </w:rPr>
            <w:fldChar w:fldCharType="separate"/>
          </w:r>
          <w:r w:rsidR="0045614B" w:rsidRPr="0045614B">
            <w:rPr>
              <w:rFonts w:ascii="Garamond" w:hAnsi="Garamond"/>
              <w:noProof/>
              <w:sz w:val="28"/>
              <w:szCs w:val="28"/>
            </w:rPr>
            <w:t>(Hogg, 1998)</w:t>
          </w:r>
          <w:r w:rsidR="0045614B">
            <w:rPr>
              <w:rFonts w:ascii="Garamond" w:hAnsi="Garamond"/>
              <w:sz w:val="28"/>
              <w:szCs w:val="28"/>
            </w:rPr>
            <w:fldChar w:fldCharType="end"/>
          </w:r>
        </w:sdtContent>
      </w:sdt>
      <w:r w:rsidR="004D214D">
        <w:rPr>
          <w:rFonts w:ascii="Garamond" w:hAnsi="Garamond"/>
          <w:sz w:val="28"/>
          <w:szCs w:val="28"/>
        </w:rPr>
        <w:t xml:space="preserve">. </w:t>
      </w:r>
    </w:p>
    <w:p w:rsidR="00E366BD" w:rsidRDefault="00E366BD" w:rsidP="002269C8">
      <w:pPr>
        <w:ind w:firstLine="720"/>
        <w:rPr>
          <w:rFonts w:ascii="Garamond" w:hAnsi="Garamond"/>
          <w:sz w:val="28"/>
          <w:szCs w:val="28"/>
        </w:rPr>
      </w:pPr>
      <w:r>
        <w:rPr>
          <w:rFonts w:ascii="Garamond" w:hAnsi="Garamond"/>
          <w:sz w:val="28"/>
          <w:szCs w:val="28"/>
        </w:rPr>
        <w:t xml:space="preserve">As people have limited time and resources then they cannot elaborate on the details of every persuasive message they receive. Petty and </w:t>
      </w:r>
      <w:proofErr w:type="spellStart"/>
      <w:r>
        <w:rPr>
          <w:rFonts w:ascii="Garamond" w:hAnsi="Garamond"/>
          <w:sz w:val="28"/>
          <w:szCs w:val="28"/>
        </w:rPr>
        <w:t>Cacioppo</w:t>
      </w:r>
      <w:proofErr w:type="spellEnd"/>
      <w:r>
        <w:rPr>
          <w:rFonts w:ascii="Garamond" w:hAnsi="Garamond"/>
          <w:sz w:val="28"/>
          <w:szCs w:val="28"/>
        </w:rPr>
        <w:t xml:space="preserve"> (1986a</w:t>
      </w:r>
      <w:proofErr w:type="gramStart"/>
      <w:r>
        <w:rPr>
          <w:rFonts w:ascii="Garamond" w:hAnsi="Garamond"/>
          <w:sz w:val="28"/>
          <w:szCs w:val="28"/>
        </w:rPr>
        <w:t>,b</w:t>
      </w:r>
      <w:proofErr w:type="gramEnd"/>
      <w:r>
        <w:rPr>
          <w:rFonts w:ascii="Garamond" w:hAnsi="Garamond"/>
          <w:sz w:val="28"/>
          <w:szCs w:val="28"/>
        </w:rPr>
        <w:t xml:space="preserve">) suggest that there are two modes within the ELM, these are the peripheral route and the central route. They believe that people who use the central route use effortful scrutiny of message arguments and other relevant information and </w:t>
      </w:r>
      <w:r w:rsidR="00F23426">
        <w:rPr>
          <w:rFonts w:ascii="Garamond" w:hAnsi="Garamond"/>
          <w:sz w:val="28"/>
          <w:szCs w:val="28"/>
        </w:rPr>
        <w:t xml:space="preserve">people who use the peripheral route use a variety of low-effort mechanisms such as conditioning, social identification and the use of heuristics. </w:t>
      </w:r>
      <w:r w:rsidR="00FA131A">
        <w:rPr>
          <w:rFonts w:ascii="Garamond" w:hAnsi="Garamond"/>
          <w:sz w:val="28"/>
          <w:szCs w:val="28"/>
        </w:rPr>
        <w:t xml:space="preserve">A person’s motivation and ability to process a given message determines the elaboration likelihood. (Cited in </w:t>
      </w:r>
      <w:sdt>
        <w:sdtPr>
          <w:rPr>
            <w:rFonts w:ascii="Garamond" w:hAnsi="Garamond"/>
            <w:sz w:val="28"/>
            <w:szCs w:val="28"/>
          </w:rPr>
          <w:id w:val="625745066"/>
          <w:citation/>
        </w:sdtPr>
        <w:sdtEndPr/>
        <w:sdtContent>
          <w:r w:rsidR="00FA131A">
            <w:rPr>
              <w:rFonts w:ascii="Garamond" w:hAnsi="Garamond"/>
              <w:sz w:val="28"/>
              <w:szCs w:val="28"/>
            </w:rPr>
            <w:fldChar w:fldCharType="begin"/>
          </w:r>
          <w:r w:rsidR="00FA131A">
            <w:rPr>
              <w:rFonts w:ascii="Garamond" w:hAnsi="Garamond"/>
              <w:sz w:val="28"/>
              <w:szCs w:val="28"/>
            </w:rPr>
            <w:instrText xml:space="preserve"> CITATION Hew01 \l 2057 </w:instrText>
          </w:r>
          <w:r w:rsidR="00FA131A">
            <w:rPr>
              <w:rFonts w:ascii="Garamond" w:hAnsi="Garamond"/>
              <w:sz w:val="28"/>
              <w:szCs w:val="28"/>
            </w:rPr>
            <w:fldChar w:fldCharType="separate"/>
          </w:r>
          <w:r w:rsidR="00FA131A" w:rsidRPr="00FA131A">
            <w:rPr>
              <w:rFonts w:ascii="Garamond" w:hAnsi="Garamond"/>
              <w:noProof/>
              <w:sz w:val="28"/>
              <w:szCs w:val="28"/>
            </w:rPr>
            <w:t>(Hewstone, 2001)</w:t>
          </w:r>
          <w:r w:rsidR="00FA131A">
            <w:rPr>
              <w:rFonts w:ascii="Garamond" w:hAnsi="Garamond"/>
              <w:sz w:val="28"/>
              <w:szCs w:val="28"/>
            </w:rPr>
            <w:fldChar w:fldCharType="end"/>
          </w:r>
        </w:sdtContent>
      </w:sdt>
      <w:r w:rsidR="00FA131A">
        <w:rPr>
          <w:rFonts w:ascii="Garamond" w:hAnsi="Garamond"/>
          <w:sz w:val="28"/>
          <w:szCs w:val="28"/>
        </w:rPr>
        <w:t>.</w:t>
      </w:r>
    </w:p>
    <w:p w:rsidR="0094692D" w:rsidRDefault="0094692D" w:rsidP="00E67B41">
      <w:pPr>
        <w:rPr>
          <w:rFonts w:ascii="Garamond" w:hAnsi="Garamond"/>
          <w:sz w:val="28"/>
          <w:szCs w:val="28"/>
        </w:rPr>
      </w:pPr>
      <w:r>
        <w:rPr>
          <w:rFonts w:ascii="Garamond" w:hAnsi="Garamond"/>
          <w:sz w:val="28"/>
          <w:szCs w:val="28"/>
        </w:rPr>
        <w:tab/>
        <w:t xml:space="preserve"> </w:t>
      </w:r>
      <w:r w:rsidR="00084F27">
        <w:rPr>
          <w:rFonts w:ascii="Garamond" w:hAnsi="Garamond"/>
          <w:sz w:val="28"/>
          <w:szCs w:val="28"/>
        </w:rPr>
        <w:t xml:space="preserve">Cognitive response theory (Greenwald, 1968; Petty, </w:t>
      </w:r>
      <w:proofErr w:type="spellStart"/>
      <w:r w:rsidR="00084F27">
        <w:rPr>
          <w:rFonts w:ascii="Garamond" w:hAnsi="Garamond"/>
          <w:sz w:val="28"/>
          <w:szCs w:val="28"/>
        </w:rPr>
        <w:t>Ostrom</w:t>
      </w:r>
      <w:proofErr w:type="spellEnd"/>
      <w:r w:rsidR="00084F27">
        <w:rPr>
          <w:rFonts w:ascii="Garamond" w:hAnsi="Garamond"/>
          <w:sz w:val="28"/>
          <w:szCs w:val="28"/>
        </w:rPr>
        <w:t xml:space="preserve">, &amp; Brock, 1981) pursues to understand attitudes and attitude change processes by understanding the thoughts that people generate in response to persuasive communications. This theory assumes that people will react to various aspects of a particular position with either positive or negative thoughts or cognitive responses. Romero, Agnew, &amp; </w:t>
      </w:r>
      <w:proofErr w:type="spellStart"/>
      <w:r w:rsidR="00084F27">
        <w:rPr>
          <w:rFonts w:ascii="Garamond" w:hAnsi="Garamond"/>
          <w:sz w:val="28"/>
          <w:szCs w:val="28"/>
        </w:rPr>
        <w:t>Insko</w:t>
      </w:r>
      <w:proofErr w:type="spellEnd"/>
      <w:r w:rsidR="00084F27">
        <w:rPr>
          <w:rFonts w:ascii="Garamond" w:hAnsi="Garamond"/>
          <w:sz w:val="28"/>
          <w:szCs w:val="28"/>
        </w:rPr>
        <w:t xml:space="preserve"> (1996) believe that to determine whether or not the individual will support the position will rely upon these thoughts. </w:t>
      </w:r>
      <w:r w:rsidR="00185C8A">
        <w:rPr>
          <w:rFonts w:ascii="Garamond" w:hAnsi="Garamond"/>
          <w:sz w:val="28"/>
          <w:szCs w:val="28"/>
        </w:rPr>
        <w:t>(Cited in</w:t>
      </w:r>
      <w:sdt>
        <w:sdtPr>
          <w:rPr>
            <w:rFonts w:ascii="Garamond" w:hAnsi="Garamond"/>
            <w:sz w:val="28"/>
            <w:szCs w:val="28"/>
          </w:rPr>
          <w:id w:val="-1113822980"/>
          <w:citation/>
        </w:sdtPr>
        <w:sdtEndPr/>
        <w:sdtContent>
          <w:r w:rsidR="00185C8A">
            <w:rPr>
              <w:rFonts w:ascii="Garamond" w:hAnsi="Garamond"/>
              <w:sz w:val="28"/>
              <w:szCs w:val="28"/>
            </w:rPr>
            <w:fldChar w:fldCharType="begin"/>
          </w:r>
          <w:r w:rsidR="00185C8A">
            <w:rPr>
              <w:rFonts w:ascii="Garamond" w:hAnsi="Garamond"/>
              <w:sz w:val="28"/>
              <w:szCs w:val="28"/>
            </w:rPr>
            <w:instrText xml:space="preserve"> CITATION Tay00 \l 2057 </w:instrText>
          </w:r>
          <w:r w:rsidR="00185C8A">
            <w:rPr>
              <w:rFonts w:ascii="Garamond" w:hAnsi="Garamond"/>
              <w:sz w:val="28"/>
              <w:szCs w:val="28"/>
            </w:rPr>
            <w:fldChar w:fldCharType="separate"/>
          </w:r>
          <w:r w:rsidR="00185C8A">
            <w:rPr>
              <w:rFonts w:ascii="Garamond" w:hAnsi="Garamond"/>
              <w:noProof/>
              <w:sz w:val="28"/>
              <w:szCs w:val="28"/>
            </w:rPr>
            <w:t xml:space="preserve"> </w:t>
          </w:r>
          <w:r w:rsidR="00185C8A" w:rsidRPr="00185C8A">
            <w:rPr>
              <w:rFonts w:ascii="Garamond" w:hAnsi="Garamond"/>
              <w:noProof/>
              <w:sz w:val="28"/>
              <w:szCs w:val="28"/>
            </w:rPr>
            <w:t>(Taylor, 2000)</w:t>
          </w:r>
          <w:r w:rsidR="00185C8A">
            <w:rPr>
              <w:rFonts w:ascii="Garamond" w:hAnsi="Garamond"/>
              <w:sz w:val="28"/>
              <w:szCs w:val="28"/>
            </w:rPr>
            <w:fldChar w:fldCharType="end"/>
          </w:r>
        </w:sdtContent>
      </w:sdt>
      <w:r w:rsidR="00F665C8">
        <w:rPr>
          <w:rFonts w:ascii="Garamond" w:hAnsi="Garamond"/>
          <w:sz w:val="28"/>
          <w:szCs w:val="28"/>
        </w:rPr>
        <w:t xml:space="preserve">. </w:t>
      </w:r>
    </w:p>
    <w:p w:rsidR="00F665C8" w:rsidRDefault="00F665C8" w:rsidP="00E67B41">
      <w:pPr>
        <w:rPr>
          <w:rFonts w:ascii="Garamond" w:hAnsi="Garamond"/>
          <w:sz w:val="28"/>
          <w:szCs w:val="28"/>
        </w:rPr>
      </w:pPr>
      <w:r>
        <w:rPr>
          <w:rFonts w:ascii="Garamond" w:hAnsi="Garamond"/>
          <w:sz w:val="28"/>
          <w:szCs w:val="28"/>
        </w:rPr>
        <w:tab/>
      </w:r>
      <w:r w:rsidR="000038D7">
        <w:rPr>
          <w:rFonts w:ascii="Garamond" w:hAnsi="Garamond"/>
          <w:sz w:val="28"/>
          <w:szCs w:val="28"/>
        </w:rPr>
        <w:t xml:space="preserve">Cognitive response theory predicts that a person’s attitude change depends on how much and what kind of </w:t>
      </w:r>
      <w:proofErr w:type="spellStart"/>
      <w:r w:rsidR="000038D7">
        <w:rPr>
          <w:rFonts w:ascii="Garamond" w:hAnsi="Garamond"/>
          <w:sz w:val="28"/>
          <w:szCs w:val="28"/>
        </w:rPr>
        <w:t>counterarguing</w:t>
      </w:r>
      <w:proofErr w:type="spellEnd"/>
      <w:r w:rsidR="000038D7">
        <w:rPr>
          <w:rFonts w:ascii="Garamond" w:hAnsi="Garamond"/>
          <w:sz w:val="28"/>
          <w:szCs w:val="28"/>
        </w:rPr>
        <w:t xml:space="preserve"> a message triggers. If messages produce a strong and effective </w:t>
      </w:r>
      <w:proofErr w:type="spellStart"/>
      <w:r w:rsidR="000038D7">
        <w:rPr>
          <w:rFonts w:ascii="Garamond" w:hAnsi="Garamond"/>
          <w:sz w:val="28"/>
          <w:szCs w:val="28"/>
        </w:rPr>
        <w:t>counterarguing</w:t>
      </w:r>
      <w:proofErr w:type="spellEnd"/>
      <w:r w:rsidR="000038D7">
        <w:rPr>
          <w:rFonts w:ascii="Garamond" w:hAnsi="Garamond"/>
          <w:sz w:val="28"/>
          <w:szCs w:val="28"/>
        </w:rPr>
        <w:t xml:space="preserve">, then resistance to change will follow. </w:t>
      </w:r>
      <w:r w:rsidR="00800A42">
        <w:rPr>
          <w:rFonts w:ascii="Garamond" w:hAnsi="Garamond"/>
          <w:sz w:val="28"/>
          <w:szCs w:val="28"/>
        </w:rPr>
        <w:t xml:space="preserve">Conversely, persuasion can be produced by interfering with the </w:t>
      </w:r>
      <w:proofErr w:type="spellStart"/>
      <w:r w:rsidR="00800A42">
        <w:rPr>
          <w:rFonts w:ascii="Garamond" w:hAnsi="Garamond"/>
          <w:sz w:val="28"/>
          <w:szCs w:val="28"/>
        </w:rPr>
        <w:t>counterarguing</w:t>
      </w:r>
      <w:proofErr w:type="spellEnd"/>
      <w:r w:rsidR="00800A42">
        <w:rPr>
          <w:rFonts w:ascii="Garamond" w:hAnsi="Garamond"/>
          <w:sz w:val="28"/>
          <w:szCs w:val="28"/>
        </w:rPr>
        <w:t xml:space="preserve"> process. </w:t>
      </w:r>
      <w:r w:rsidR="001A538D">
        <w:rPr>
          <w:rFonts w:ascii="Garamond" w:hAnsi="Garamond"/>
          <w:sz w:val="28"/>
          <w:szCs w:val="28"/>
        </w:rPr>
        <w:t>People are more likely to accept the communication if they cannot think of any good counterarguments or they can be distracted from thinking about them when listening to a message.</w:t>
      </w:r>
      <w:r w:rsidR="008357F5">
        <w:rPr>
          <w:rFonts w:ascii="Garamond" w:hAnsi="Garamond"/>
          <w:sz w:val="28"/>
          <w:szCs w:val="28"/>
        </w:rPr>
        <w:t xml:space="preserve"> (Cited in </w:t>
      </w:r>
      <w:sdt>
        <w:sdtPr>
          <w:rPr>
            <w:rFonts w:ascii="Garamond" w:hAnsi="Garamond"/>
            <w:sz w:val="28"/>
            <w:szCs w:val="28"/>
          </w:rPr>
          <w:id w:val="-522476179"/>
          <w:citation/>
        </w:sdtPr>
        <w:sdtContent>
          <w:r w:rsidR="008357F5">
            <w:rPr>
              <w:rFonts w:ascii="Garamond" w:hAnsi="Garamond"/>
              <w:sz w:val="28"/>
              <w:szCs w:val="28"/>
            </w:rPr>
            <w:fldChar w:fldCharType="begin"/>
          </w:r>
          <w:r w:rsidR="008357F5">
            <w:rPr>
              <w:rFonts w:ascii="Garamond" w:hAnsi="Garamond"/>
              <w:sz w:val="28"/>
              <w:szCs w:val="28"/>
            </w:rPr>
            <w:instrText xml:space="preserve"> CITATION Tay00 \l 2057 </w:instrText>
          </w:r>
          <w:r w:rsidR="008357F5">
            <w:rPr>
              <w:rFonts w:ascii="Garamond" w:hAnsi="Garamond"/>
              <w:sz w:val="28"/>
              <w:szCs w:val="28"/>
            </w:rPr>
            <w:fldChar w:fldCharType="separate"/>
          </w:r>
          <w:r w:rsidR="008357F5" w:rsidRPr="008357F5">
            <w:rPr>
              <w:rFonts w:ascii="Garamond" w:hAnsi="Garamond"/>
              <w:noProof/>
              <w:sz w:val="28"/>
              <w:szCs w:val="28"/>
            </w:rPr>
            <w:t>(Taylor, 2000)</w:t>
          </w:r>
          <w:r w:rsidR="008357F5">
            <w:rPr>
              <w:rFonts w:ascii="Garamond" w:hAnsi="Garamond"/>
              <w:sz w:val="28"/>
              <w:szCs w:val="28"/>
            </w:rPr>
            <w:fldChar w:fldCharType="end"/>
          </w:r>
        </w:sdtContent>
      </w:sdt>
      <w:r w:rsidR="008357F5">
        <w:rPr>
          <w:rFonts w:ascii="Garamond" w:hAnsi="Garamond"/>
          <w:sz w:val="28"/>
          <w:szCs w:val="28"/>
        </w:rPr>
        <w:t>.</w:t>
      </w:r>
      <w:r w:rsidR="001A538D">
        <w:rPr>
          <w:rFonts w:ascii="Garamond" w:hAnsi="Garamond"/>
          <w:sz w:val="28"/>
          <w:szCs w:val="28"/>
        </w:rPr>
        <w:t xml:space="preserve"> </w:t>
      </w:r>
    </w:p>
    <w:p w:rsidR="00F665C8" w:rsidRDefault="00AA3E0C" w:rsidP="00F665C8">
      <w:pPr>
        <w:rPr>
          <w:rFonts w:ascii="Garamond" w:hAnsi="Garamond"/>
          <w:sz w:val="28"/>
          <w:szCs w:val="28"/>
        </w:rPr>
      </w:pPr>
      <w:r>
        <w:rPr>
          <w:rFonts w:ascii="Garamond" w:hAnsi="Garamond"/>
          <w:sz w:val="28"/>
          <w:szCs w:val="28"/>
        </w:rPr>
        <w:tab/>
        <w:t xml:space="preserve">In conclusion, </w:t>
      </w:r>
      <w:r w:rsidR="00FB3622">
        <w:rPr>
          <w:rFonts w:ascii="Garamond" w:hAnsi="Garamond"/>
          <w:sz w:val="28"/>
          <w:szCs w:val="28"/>
        </w:rPr>
        <w:t>the elaboration likelihood model of persuasion can be used to help when sending persuasive messages. However, the route that is taken is completely dependable on the individual that is receiving or how they receive the message that are being given to them.</w:t>
      </w:r>
      <w:r w:rsidR="00EB3BA6">
        <w:rPr>
          <w:rFonts w:ascii="Garamond" w:hAnsi="Garamond"/>
          <w:sz w:val="28"/>
          <w:szCs w:val="28"/>
        </w:rPr>
        <w:t xml:space="preserve"> They could either use the central route or the peripheral route to make their decisions but it will be completely dependent on how they interpret the messages.</w:t>
      </w:r>
      <w:r w:rsidR="00FB3622">
        <w:rPr>
          <w:rFonts w:ascii="Garamond" w:hAnsi="Garamond"/>
          <w:sz w:val="28"/>
          <w:szCs w:val="28"/>
        </w:rPr>
        <w:t xml:space="preserve"> This could also be down to the communicator and how they deliver the persuasive message and if it has any real impact on a person’s decision. </w:t>
      </w:r>
      <w:r w:rsidR="00F665C8">
        <w:rPr>
          <w:rFonts w:ascii="Garamond" w:hAnsi="Garamond"/>
          <w:sz w:val="28"/>
          <w:szCs w:val="28"/>
        </w:rPr>
        <w:t xml:space="preserve">There are many different elements that contribute to persuasion </w:t>
      </w:r>
      <w:r w:rsidR="00F665C8">
        <w:rPr>
          <w:rFonts w:ascii="Garamond" w:hAnsi="Garamond"/>
          <w:sz w:val="28"/>
          <w:szCs w:val="28"/>
        </w:rPr>
        <w:lastRenderedPageBreak/>
        <w:t>and how people respond to persuasive messages.</w:t>
      </w:r>
      <w:r w:rsidR="00B67F91">
        <w:rPr>
          <w:rFonts w:ascii="Garamond" w:hAnsi="Garamond"/>
          <w:sz w:val="28"/>
          <w:szCs w:val="28"/>
        </w:rPr>
        <w:t xml:space="preserve"> These elements can range from communicator, expertise, credibility and trustworthiness. </w:t>
      </w:r>
    </w:p>
    <w:p w:rsidR="00E67B41" w:rsidRDefault="00E67B41" w:rsidP="00E67B41">
      <w:pPr>
        <w:rPr>
          <w:rFonts w:ascii="Garamond" w:hAnsi="Garamond"/>
          <w:sz w:val="28"/>
          <w:szCs w:val="28"/>
        </w:rPr>
      </w:pPr>
    </w:p>
    <w:sdt>
      <w:sdtPr>
        <w:rPr>
          <w:rFonts w:asciiTheme="minorHAnsi" w:eastAsiaTheme="minorHAnsi" w:hAnsiTheme="minorHAnsi" w:cstheme="minorBidi"/>
          <w:color w:val="auto"/>
          <w:sz w:val="22"/>
          <w:szCs w:val="22"/>
          <w:lang w:val="en-GB"/>
        </w:rPr>
        <w:id w:val="850926460"/>
        <w:docPartObj>
          <w:docPartGallery w:val="Bibliographies"/>
          <w:docPartUnique/>
        </w:docPartObj>
      </w:sdtPr>
      <w:sdtEndPr/>
      <w:sdtContent>
        <w:p w:rsidR="005C7723" w:rsidRDefault="005C7723">
          <w:pPr>
            <w:pStyle w:val="Heading1"/>
          </w:pPr>
          <w:r>
            <w:t>References</w:t>
          </w:r>
        </w:p>
        <w:sdt>
          <w:sdtPr>
            <w:id w:val="-573587230"/>
            <w:bibliography/>
          </w:sdtPr>
          <w:sdtEndPr/>
          <w:sdtContent>
            <w:p w:rsidR="00E67B41" w:rsidRDefault="005C7723" w:rsidP="00E67B41">
              <w:pPr>
                <w:pStyle w:val="Bibliography"/>
                <w:ind w:left="720" w:hanging="720"/>
                <w:rPr>
                  <w:noProof/>
                  <w:sz w:val="24"/>
                  <w:szCs w:val="24"/>
                  <w:lang w:val="en-US"/>
                </w:rPr>
              </w:pPr>
              <w:r>
                <w:fldChar w:fldCharType="begin"/>
              </w:r>
              <w:r>
                <w:instrText xml:space="preserve"> BIBLIOGRAPHY </w:instrText>
              </w:r>
              <w:r>
                <w:fldChar w:fldCharType="separate"/>
              </w:r>
              <w:r w:rsidR="00E67B41">
                <w:rPr>
                  <w:noProof/>
                  <w:lang w:val="en-US"/>
                </w:rPr>
                <w:t>Hewstone, M. &amp;.</w:t>
              </w:r>
              <w:r w:rsidR="00EB3BA6">
                <w:rPr>
                  <w:noProof/>
                  <w:lang w:val="en-US"/>
                </w:rPr>
                <w:t xml:space="preserve"> Stroebe, W.</w:t>
              </w:r>
              <w:r w:rsidR="00E67B41">
                <w:rPr>
                  <w:noProof/>
                  <w:lang w:val="en-US"/>
                </w:rPr>
                <w:t xml:space="preserve"> (2001). Introduction to Social Psychology. Oxford: Blackwell.</w:t>
              </w:r>
            </w:p>
            <w:p w:rsidR="00E67B41" w:rsidRDefault="00E67B41" w:rsidP="00E67B41">
              <w:pPr>
                <w:pStyle w:val="Bibliography"/>
                <w:ind w:left="720" w:hanging="720"/>
                <w:rPr>
                  <w:noProof/>
                  <w:lang w:val="en-US"/>
                </w:rPr>
              </w:pPr>
              <w:r>
                <w:rPr>
                  <w:noProof/>
                  <w:lang w:val="en-US"/>
                </w:rPr>
                <w:t>Hogg, M. &amp;.</w:t>
              </w:r>
              <w:r w:rsidR="00EB3BA6">
                <w:rPr>
                  <w:noProof/>
                  <w:lang w:val="en-US"/>
                </w:rPr>
                <w:t xml:space="preserve"> Vaughan, G.</w:t>
              </w:r>
              <w:r>
                <w:rPr>
                  <w:noProof/>
                  <w:lang w:val="en-US"/>
                </w:rPr>
                <w:t xml:space="preserve"> (1998). Social Psychology. Hertfordshire: Prentice Hall.</w:t>
              </w:r>
            </w:p>
            <w:p w:rsidR="00E67B41" w:rsidRDefault="00E67B41" w:rsidP="00E67B41">
              <w:pPr>
                <w:pStyle w:val="Bibliography"/>
                <w:ind w:left="720" w:hanging="720"/>
                <w:rPr>
                  <w:noProof/>
                  <w:lang w:val="en-US"/>
                </w:rPr>
              </w:pPr>
              <w:r>
                <w:rPr>
                  <w:noProof/>
                  <w:lang w:val="en-US"/>
                </w:rPr>
                <w:t>Taylor, S. &amp;.</w:t>
              </w:r>
              <w:r w:rsidR="00EB3BA6">
                <w:rPr>
                  <w:noProof/>
                  <w:lang w:val="en-US"/>
                </w:rPr>
                <w:t xml:space="preserve"> Peplau, L. &amp; Sears, D.</w:t>
              </w:r>
              <w:r>
                <w:rPr>
                  <w:noProof/>
                  <w:lang w:val="en-US"/>
                </w:rPr>
                <w:t xml:space="preserve"> (2000). Social Psychology . New Jersey: Prentice-Hall.</w:t>
              </w:r>
            </w:p>
            <w:p w:rsidR="005C7723" w:rsidRDefault="005C7723" w:rsidP="00E67B41">
              <w:r>
                <w:rPr>
                  <w:b/>
                  <w:bCs/>
                  <w:noProof/>
                </w:rPr>
                <w:fldChar w:fldCharType="end"/>
              </w:r>
            </w:p>
          </w:sdtContent>
        </w:sdt>
      </w:sdtContent>
    </w:sdt>
    <w:p w:rsidR="005C7723" w:rsidRDefault="005C7723" w:rsidP="001406DA">
      <w:pPr>
        <w:rPr>
          <w:rFonts w:ascii="Garamond" w:hAnsi="Garamond"/>
          <w:sz w:val="28"/>
          <w:szCs w:val="28"/>
        </w:rPr>
      </w:pPr>
    </w:p>
    <w:p w:rsidR="005C7723" w:rsidRDefault="005C7723" w:rsidP="001406DA">
      <w:pPr>
        <w:rPr>
          <w:rFonts w:ascii="Garamond" w:hAnsi="Garamond"/>
          <w:sz w:val="28"/>
          <w:szCs w:val="28"/>
        </w:rPr>
      </w:pPr>
      <w:bookmarkStart w:id="0" w:name="_GoBack"/>
      <w:bookmarkEnd w:id="0"/>
    </w:p>
    <w:p w:rsidR="005C7723" w:rsidRDefault="005C7723" w:rsidP="001406DA">
      <w:pPr>
        <w:rPr>
          <w:rFonts w:ascii="Garamond" w:hAnsi="Garamond"/>
          <w:sz w:val="28"/>
          <w:szCs w:val="28"/>
        </w:rPr>
      </w:pPr>
    </w:p>
    <w:p w:rsidR="005C7723" w:rsidRPr="001406DA" w:rsidRDefault="005C7723" w:rsidP="001406DA">
      <w:pPr>
        <w:rPr>
          <w:rFonts w:ascii="Garamond" w:hAnsi="Garamond"/>
          <w:sz w:val="28"/>
          <w:szCs w:val="28"/>
        </w:rPr>
      </w:pPr>
    </w:p>
    <w:sectPr w:rsidR="005C7723" w:rsidRPr="001406D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72E3"/>
    <w:rsid w:val="000038D7"/>
    <w:rsid w:val="00084F27"/>
    <w:rsid w:val="0008714F"/>
    <w:rsid w:val="000A303F"/>
    <w:rsid w:val="001406DA"/>
    <w:rsid w:val="001727F8"/>
    <w:rsid w:val="00185C8A"/>
    <w:rsid w:val="001A538D"/>
    <w:rsid w:val="001E39D4"/>
    <w:rsid w:val="00206D73"/>
    <w:rsid w:val="002269C8"/>
    <w:rsid w:val="002472E3"/>
    <w:rsid w:val="00434554"/>
    <w:rsid w:val="0045614B"/>
    <w:rsid w:val="004A06E9"/>
    <w:rsid w:val="004B32A1"/>
    <w:rsid w:val="004D214D"/>
    <w:rsid w:val="004E7BFF"/>
    <w:rsid w:val="0051409B"/>
    <w:rsid w:val="005C7723"/>
    <w:rsid w:val="005D086C"/>
    <w:rsid w:val="00696CBD"/>
    <w:rsid w:val="006B722F"/>
    <w:rsid w:val="006C1F23"/>
    <w:rsid w:val="007139DA"/>
    <w:rsid w:val="007218A4"/>
    <w:rsid w:val="007556CF"/>
    <w:rsid w:val="007E3BE8"/>
    <w:rsid w:val="00800A42"/>
    <w:rsid w:val="008357F5"/>
    <w:rsid w:val="008A53FF"/>
    <w:rsid w:val="008D305F"/>
    <w:rsid w:val="0094692D"/>
    <w:rsid w:val="00975AAB"/>
    <w:rsid w:val="009E57C4"/>
    <w:rsid w:val="009F38EF"/>
    <w:rsid w:val="00A312EF"/>
    <w:rsid w:val="00A41249"/>
    <w:rsid w:val="00A65BC9"/>
    <w:rsid w:val="00A91BAD"/>
    <w:rsid w:val="00AA3E0C"/>
    <w:rsid w:val="00B46CB1"/>
    <w:rsid w:val="00B60130"/>
    <w:rsid w:val="00B67F91"/>
    <w:rsid w:val="00C878A2"/>
    <w:rsid w:val="00CA2789"/>
    <w:rsid w:val="00CA4E6B"/>
    <w:rsid w:val="00CA7843"/>
    <w:rsid w:val="00CC3427"/>
    <w:rsid w:val="00CE1989"/>
    <w:rsid w:val="00D11D33"/>
    <w:rsid w:val="00D71651"/>
    <w:rsid w:val="00DC3ABF"/>
    <w:rsid w:val="00E366BD"/>
    <w:rsid w:val="00E67B41"/>
    <w:rsid w:val="00E71483"/>
    <w:rsid w:val="00EB3BA6"/>
    <w:rsid w:val="00EE7CD8"/>
    <w:rsid w:val="00F0016C"/>
    <w:rsid w:val="00F20318"/>
    <w:rsid w:val="00F23426"/>
    <w:rsid w:val="00F665C8"/>
    <w:rsid w:val="00F765FB"/>
    <w:rsid w:val="00FA131A"/>
    <w:rsid w:val="00FB3622"/>
    <w:rsid w:val="00FC6F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D2CA859-887E-413B-99E1-EBF33633BD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C7723"/>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7723"/>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5C7723"/>
  </w:style>
  <w:style w:type="paragraph" w:styleId="BalloonText">
    <w:name w:val="Balloon Text"/>
    <w:basedOn w:val="Normal"/>
    <w:link w:val="BalloonTextChar"/>
    <w:uiPriority w:val="99"/>
    <w:semiHidden/>
    <w:unhideWhenUsed/>
    <w:rsid w:val="004B32A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B32A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418882">
      <w:bodyDiv w:val="1"/>
      <w:marLeft w:val="0"/>
      <w:marRight w:val="0"/>
      <w:marTop w:val="0"/>
      <w:marBottom w:val="0"/>
      <w:divBdr>
        <w:top w:val="none" w:sz="0" w:space="0" w:color="auto"/>
        <w:left w:val="none" w:sz="0" w:space="0" w:color="auto"/>
        <w:bottom w:val="none" w:sz="0" w:space="0" w:color="auto"/>
        <w:right w:val="none" w:sz="0" w:space="0" w:color="auto"/>
      </w:divBdr>
    </w:div>
    <w:div w:id="52433674">
      <w:bodyDiv w:val="1"/>
      <w:marLeft w:val="0"/>
      <w:marRight w:val="0"/>
      <w:marTop w:val="0"/>
      <w:marBottom w:val="0"/>
      <w:divBdr>
        <w:top w:val="none" w:sz="0" w:space="0" w:color="auto"/>
        <w:left w:val="none" w:sz="0" w:space="0" w:color="auto"/>
        <w:bottom w:val="none" w:sz="0" w:space="0" w:color="auto"/>
        <w:right w:val="none" w:sz="0" w:space="0" w:color="auto"/>
      </w:divBdr>
    </w:div>
    <w:div w:id="140927490">
      <w:bodyDiv w:val="1"/>
      <w:marLeft w:val="0"/>
      <w:marRight w:val="0"/>
      <w:marTop w:val="0"/>
      <w:marBottom w:val="0"/>
      <w:divBdr>
        <w:top w:val="none" w:sz="0" w:space="0" w:color="auto"/>
        <w:left w:val="none" w:sz="0" w:space="0" w:color="auto"/>
        <w:bottom w:val="none" w:sz="0" w:space="0" w:color="auto"/>
        <w:right w:val="none" w:sz="0" w:space="0" w:color="auto"/>
      </w:divBdr>
    </w:div>
    <w:div w:id="238714459">
      <w:bodyDiv w:val="1"/>
      <w:marLeft w:val="0"/>
      <w:marRight w:val="0"/>
      <w:marTop w:val="0"/>
      <w:marBottom w:val="0"/>
      <w:divBdr>
        <w:top w:val="none" w:sz="0" w:space="0" w:color="auto"/>
        <w:left w:val="none" w:sz="0" w:space="0" w:color="auto"/>
        <w:bottom w:val="none" w:sz="0" w:space="0" w:color="auto"/>
        <w:right w:val="none" w:sz="0" w:space="0" w:color="auto"/>
      </w:divBdr>
    </w:div>
    <w:div w:id="309285703">
      <w:bodyDiv w:val="1"/>
      <w:marLeft w:val="0"/>
      <w:marRight w:val="0"/>
      <w:marTop w:val="0"/>
      <w:marBottom w:val="0"/>
      <w:divBdr>
        <w:top w:val="none" w:sz="0" w:space="0" w:color="auto"/>
        <w:left w:val="none" w:sz="0" w:space="0" w:color="auto"/>
        <w:bottom w:val="none" w:sz="0" w:space="0" w:color="auto"/>
        <w:right w:val="none" w:sz="0" w:space="0" w:color="auto"/>
      </w:divBdr>
    </w:div>
    <w:div w:id="320038785">
      <w:bodyDiv w:val="1"/>
      <w:marLeft w:val="0"/>
      <w:marRight w:val="0"/>
      <w:marTop w:val="0"/>
      <w:marBottom w:val="0"/>
      <w:divBdr>
        <w:top w:val="none" w:sz="0" w:space="0" w:color="auto"/>
        <w:left w:val="none" w:sz="0" w:space="0" w:color="auto"/>
        <w:bottom w:val="none" w:sz="0" w:space="0" w:color="auto"/>
        <w:right w:val="none" w:sz="0" w:space="0" w:color="auto"/>
      </w:divBdr>
    </w:div>
    <w:div w:id="394159759">
      <w:bodyDiv w:val="1"/>
      <w:marLeft w:val="0"/>
      <w:marRight w:val="0"/>
      <w:marTop w:val="0"/>
      <w:marBottom w:val="0"/>
      <w:divBdr>
        <w:top w:val="none" w:sz="0" w:space="0" w:color="auto"/>
        <w:left w:val="none" w:sz="0" w:space="0" w:color="auto"/>
        <w:bottom w:val="none" w:sz="0" w:space="0" w:color="auto"/>
        <w:right w:val="none" w:sz="0" w:space="0" w:color="auto"/>
      </w:divBdr>
    </w:div>
    <w:div w:id="491914082">
      <w:bodyDiv w:val="1"/>
      <w:marLeft w:val="0"/>
      <w:marRight w:val="0"/>
      <w:marTop w:val="0"/>
      <w:marBottom w:val="0"/>
      <w:divBdr>
        <w:top w:val="none" w:sz="0" w:space="0" w:color="auto"/>
        <w:left w:val="none" w:sz="0" w:space="0" w:color="auto"/>
        <w:bottom w:val="none" w:sz="0" w:space="0" w:color="auto"/>
        <w:right w:val="none" w:sz="0" w:space="0" w:color="auto"/>
      </w:divBdr>
    </w:div>
    <w:div w:id="500849610">
      <w:bodyDiv w:val="1"/>
      <w:marLeft w:val="0"/>
      <w:marRight w:val="0"/>
      <w:marTop w:val="0"/>
      <w:marBottom w:val="0"/>
      <w:divBdr>
        <w:top w:val="none" w:sz="0" w:space="0" w:color="auto"/>
        <w:left w:val="none" w:sz="0" w:space="0" w:color="auto"/>
        <w:bottom w:val="none" w:sz="0" w:space="0" w:color="auto"/>
        <w:right w:val="none" w:sz="0" w:space="0" w:color="auto"/>
      </w:divBdr>
    </w:div>
    <w:div w:id="581960634">
      <w:bodyDiv w:val="1"/>
      <w:marLeft w:val="0"/>
      <w:marRight w:val="0"/>
      <w:marTop w:val="0"/>
      <w:marBottom w:val="0"/>
      <w:divBdr>
        <w:top w:val="none" w:sz="0" w:space="0" w:color="auto"/>
        <w:left w:val="none" w:sz="0" w:space="0" w:color="auto"/>
        <w:bottom w:val="none" w:sz="0" w:space="0" w:color="auto"/>
        <w:right w:val="none" w:sz="0" w:space="0" w:color="auto"/>
      </w:divBdr>
    </w:div>
    <w:div w:id="680395028">
      <w:bodyDiv w:val="1"/>
      <w:marLeft w:val="0"/>
      <w:marRight w:val="0"/>
      <w:marTop w:val="0"/>
      <w:marBottom w:val="0"/>
      <w:divBdr>
        <w:top w:val="none" w:sz="0" w:space="0" w:color="auto"/>
        <w:left w:val="none" w:sz="0" w:space="0" w:color="auto"/>
        <w:bottom w:val="none" w:sz="0" w:space="0" w:color="auto"/>
        <w:right w:val="none" w:sz="0" w:space="0" w:color="auto"/>
      </w:divBdr>
    </w:div>
    <w:div w:id="799302735">
      <w:bodyDiv w:val="1"/>
      <w:marLeft w:val="0"/>
      <w:marRight w:val="0"/>
      <w:marTop w:val="0"/>
      <w:marBottom w:val="0"/>
      <w:divBdr>
        <w:top w:val="none" w:sz="0" w:space="0" w:color="auto"/>
        <w:left w:val="none" w:sz="0" w:space="0" w:color="auto"/>
        <w:bottom w:val="none" w:sz="0" w:space="0" w:color="auto"/>
        <w:right w:val="none" w:sz="0" w:space="0" w:color="auto"/>
      </w:divBdr>
    </w:div>
    <w:div w:id="895049521">
      <w:bodyDiv w:val="1"/>
      <w:marLeft w:val="0"/>
      <w:marRight w:val="0"/>
      <w:marTop w:val="0"/>
      <w:marBottom w:val="0"/>
      <w:divBdr>
        <w:top w:val="none" w:sz="0" w:space="0" w:color="auto"/>
        <w:left w:val="none" w:sz="0" w:space="0" w:color="auto"/>
        <w:bottom w:val="none" w:sz="0" w:space="0" w:color="auto"/>
        <w:right w:val="none" w:sz="0" w:space="0" w:color="auto"/>
      </w:divBdr>
    </w:div>
    <w:div w:id="961422510">
      <w:bodyDiv w:val="1"/>
      <w:marLeft w:val="0"/>
      <w:marRight w:val="0"/>
      <w:marTop w:val="0"/>
      <w:marBottom w:val="0"/>
      <w:divBdr>
        <w:top w:val="none" w:sz="0" w:space="0" w:color="auto"/>
        <w:left w:val="none" w:sz="0" w:space="0" w:color="auto"/>
        <w:bottom w:val="none" w:sz="0" w:space="0" w:color="auto"/>
        <w:right w:val="none" w:sz="0" w:space="0" w:color="auto"/>
      </w:divBdr>
    </w:div>
    <w:div w:id="1150289509">
      <w:bodyDiv w:val="1"/>
      <w:marLeft w:val="0"/>
      <w:marRight w:val="0"/>
      <w:marTop w:val="0"/>
      <w:marBottom w:val="0"/>
      <w:divBdr>
        <w:top w:val="none" w:sz="0" w:space="0" w:color="auto"/>
        <w:left w:val="none" w:sz="0" w:space="0" w:color="auto"/>
        <w:bottom w:val="none" w:sz="0" w:space="0" w:color="auto"/>
        <w:right w:val="none" w:sz="0" w:space="0" w:color="auto"/>
      </w:divBdr>
    </w:div>
    <w:div w:id="1449933460">
      <w:bodyDiv w:val="1"/>
      <w:marLeft w:val="0"/>
      <w:marRight w:val="0"/>
      <w:marTop w:val="0"/>
      <w:marBottom w:val="0"/>
      <w:divBdr>
        <w:top w:val="none" w:sz="0" w:space="0" w:color="auto"/>
        <w:left w:val="none" w:sz="0" w:space="0" w:color="auto"/>
        <w:bottom w:val="none" w:sz="0" w:space="0" w:color="auto"/>
        <w:right w:val="none" w:sz="0" w:space="0" w:color="auto"/>
      </w:divBdr>
    </w:div>
    <w:div w:id="1546286619">
      <w:bodyDiv w:val="1"/>
      <w:marLeft w:val="0"/>
      <w:marRight w:val="0"/>
      <w:marTop w:val="0"/>
      <w:marBottom w:val="0"/>
      <w:divBdr>
        <w:top w:val="none" w:sz="0" w:space="0" w:color="auto"/>
        <w:left w:val="none" w:sz="0" w:space="0" w:color="auto"/>
        <w:bottom w:val="none" w:sz="0" w:space="0" w:color="auto"/>
        <w:right w:val="none" w:sz="0" w:space="0" w:color="auto"/>
      </w:divBdr>
    </w:div>
    <w:div w:id="1608581566">
      <w:bodyDiv w:val="1"/>
      <w:marLeft w:val="0"/>
      <w:marRight w:val="0"/>
      <w:marTop w:val="0"/>
      <w:marBottom w:val="0"/>
      <w:divBdr>
        <w:top w:val="none" w:sz="0" w:space="0" w:color="auto"/>
        <w:left w:val="none" w:sz="0" w:space="0" w:color="auto"/>
        <w:bottom w:val="none" w:sz="0" w:space="0" w:color="auto"/>
        <w:right w:val="none" w:sz="0" w:space="0" w:color="auto"/>
      </w:divBdr>
    </w:div>
    <w:div w:id="1644457712">
      <w:bodyDiv w:val="1"/>
      <w:marLeft w:val="0"/>
      <w:marRight w:val="0"/>
      <w:marTop w:val="0"/>
      <w:marBottom w:val="0"/>
      <w:divBdr>
        <w:top w:val="none" w:sz="0" w:space="0" w:color="auto"/>
        <w:left w:val="none" w:sz="0" w:space="0" w:color="auto"/>
        <w:bottom w:val="none" w:sz="0" w:space="0" w:color="auto"/>
        <w:right w:val="none" w:sz="0" w:space="0" w:color="auto"/>
      </w:divBdr>
    </w:div>
    <w:div w:id="1670215396">
      <w:bodyDiv w:val="1"/>
      <w:marLeft w:val="0"/>
      <w:marRight w:val="0"/>
      <w:marTop w:val="0"/>
      <w:marBottom w:val="0"/>
      <w:divBdr>
        <w:top w:val="none" w:sz="0" w:space="0" w:color="auto"/>
        <w:left w:val="none" w:sz="0" w:space="0" w:color="auto"/>
        <w:bottom w:val="none" w:sz="0" w:space="0" w:color="auto"/>
        <w:right w:val="none" w:sz="0" w:space="0" w:color="auto"/>
      </w:divBdr>
    </w:div>
    <w:div w:id="1678146241">
      <w:bodyDiv w:val="1"/>
      <w:marLeft w:val="0"/>
      <w:marRight w:val="0"/>
      <w:marTop w:val="0"/>
      <w:marBottom w:val="0"/>
      <w:divBdr>
        <w:top w:val="none" w:sz="0" w:space="0" w:color="auto"/>
        <w:left w:val="none" w:sz="0" w:space="0" w:color="auto"/>
        <w:bottom w:val="none" w:sz="0" w:space="0" w:color="auto"/>
        <w:right w:val="none" w:sz="0" w:space="0" w:color="auto"/>
      </w:divBdr>
    </w:div>
    <w:div w:id="1798907613">
      <w:bodyDiv w:val="1"/>
      <w:marLeft w:val="0"/>
      <w:marRight w:val="0"/>
      <w:marTop w:val="0"/>
      <w:marBottom w:val="0"/>
      <w:divBdr>
        <w:top w:val="none" w:sz="0" w:space="0" w:color="auto"/>
        <w:left w:val="none" w:sz="0" w:space="0" w:color="auto"/>
        <w:bottom w:val="none" w:sz="0" w:space="0" w:color="auto"/>
        <w:right w:val="none" w:sz="0" w:space="0" w:color="auto"/>
      </w:divBdr>
    </w:div>
    <w:div w:id="1821116320">
      <w:bodyDiv w:val="1"/>
      <w:marLeft w:val="0"/>
      <w:marRight w:val="0"/>
      <w:marTop w:val="0"/>
      <w:marBottom w:val="0"/>
      <w:divBdr>
        <w:top w:val="none" w:sz="0" w:space="0" w:color="auto"/>
        <w:left w:val="none" w:sz="0" w:space="0" w:color="auto"/>
        <w:bottom w:val="none" w:sz="0" w:space="0" w:color="auto"/>
        <w:right w:val="none" w:sz="0" w:space="0" w:color="auto"/>
      </w:divBdr>
    </w:div>
    <w:div w:id="1863011467">
      <w:bodyDiv w:val="1"/>
      <w:marLeft w:val="0"/>
      <w:marRight w:val="0"/>
      <w:marTop w:val="0"/>
      <w:marBottom w:val="0"/>
      <w:divBdr>
        <w:top w:val="none" w:sz="0" w:space="0" w:color="auto"/>
        <w:left w:val="none" w:sz="0" w:space="0" w:color="auto"/>
        <w:bottom w:val="none" w:sz="0" w:space="0" w:color="auto"/>
        <w:right w:val="none" w:sz="0" w:space="0" w:color="auto"/>
      </w:divBdr>
    </w:div>
    <w:div w:id="2031830951">
      <w:bodyDiv w:val="1"/>
      <w:marLeft w:val="0"/>
      <w:marRight w:val="0"/>
      <w:marTop w:val="0"/>
      <w:marBottom w:val="0"/>
      <w:divBdr>
        <w:top w:val="none" w:sz="0" w:space="0" w:color="auto"/>
        <w:left w:val="none" w:sz="0" w:space="0" w:color="auto"/>
        <w:bottom w:val="none" w:sz="0" w:space="0" w:color="auto"/>
        <w:right w:val="none" w:sz="0" w:space="0" w:color="auto"/>
      </w:divBdr>
    </w:div>
    <w:div w:id="2084063973">
      <w:bodyDiv w:val="1"/>
      <w:marLeft w:val="0"/>
      <w:marRight w:val="0"/>
      <w:marTop w:val="0"/>
      <w:marBottom w:val="0"/>
      <w:divBdr>
        <w:top w:val="none" w:sz="0" w:space="0" w:color="auto"/>
        <w:left w:val="none" w:sz="0" w:space="0" w:color="auto"/>
        <w:bottom w:val="none" w:sz="0" w:space="0" w:color="auto"/>
        <w:right w:val="none" w:sz="0" w:space="0" w:color="auto"/>
      </w:divBdr>
    </w:div>
    <w:div w:id="2098672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Hew01</b:Tag>
    <b:SourceType>BookSection</b:SourceType>
    <b:Guid>{DD57E21B-86EB-4BBB-96D3-2106D3C71BD2}</b:Guid>
    <b:Title>Introduction to Social Psychology</b:Title>
    <b:Year>2001</b:Year>
    <b:Pages>249</b:Pages>
    <b:City>Oxford</b:City>
    <b:Publisher>Blackwell</b:Publisher>
    <b:Author>
      <b:Author>
        <b:NameList>
          <b:Person>
            <b:Last>Hewstone</b:Last>
            <b:First>M</b:First>
            <b:Middle>&amp; Stroebe, W</b:Middle>
          </b:Person>
        </b:NameList>
      </b:Author>
    </b:Author>
    <b:Edition>3rd</b:Edition>
    <b:RefOrder>1</b:RefOrder>
  </b:Source>
  <b:Source>
    <b:Tag>Hog98</b:Tag>
    <b:SourceType>BookSection</b:SourceType>
    <b:Guid>{7E29A42E-E8C2-4192-B180-ACE71471C04D}</b:Guid>
    <b:Author>
      <b:Author>
        <b:NameList>
          <b:Person>
            <b:Last>Hogg</b:Last>
            <b:First>M</b:First>
            <b:Middle>&amp; Vaughan, G</b:Middle>
          </b:Person>
        </b:NameList>
      </b:Author>
    </b:Author>
    <b:Title>Social Psychology</b:Title>
    <b:Year>1998</b:Year>
    <b:City>Hertfordshire</b:City>
    <b:Publisher>Prentice Hall</b:Publisher>
    <b:Edition>2nd</b:Edition>
    <b:RefOrder>2</b:RefOrder>
  </b:Source>
  <b:Source>
    <b:Tag>Tay00</b:Tag>
    <b:SourceType>BookSection</b:SourceType>
    <b:Guid>{3D2FE94E-5F4C-4D3F-99F7-A764B2C0D5FB}</b:Guid>
    <b:Author>
      <b:Author>
        <b:NameList>
          <b:Person>
            <b:Last>Taylor</b:Last>
            <b:First>S</b:First>
            <b:Middle>&amp; Peplau, L &amp; Sears, D</b:Middle>
          </b:Person>
        </b:NameList>
      </b:Author>
    </b:Author>
    <b:Title>Social Psychology </b:Title>
    <b:Year>2000</b:Year>
    <b:City>New Jersey</b:City>
    <b:Publisher>Prentice-Hall</b:Publisher>
    <b:RefOrder>3</b:RefOrder>
  </b:Source>
</b:Sources>
</file>

<file path=customXml/itemProps1.xml><?xml version="1.0" encoding="utf-8"?>
<ds:datastoreItem xmlns:ds="http://schemas.openxmlformats.org/officeDocument/2006/customXml" ds:itemID="{67AD4463-705C-4E16-A7E6-786A9CDDD2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1376</Words>
  <Characters>7844</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9202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morgan</dc:creator>
  <cp:keywords/>
  <dc:description/>
  <cp:lastModifiedBy>michelle morgan</cp:lastModifiedBy>
  <cp:revision>67</cp:revision>
  <dcterms:created xsi:type="dcterms:W3CDTF">2018-03-15T17:31:00Z</dcterms:created>
  <dcterms:modified xsi:type="dcterms:W3CDTF">2018-03-20T09:39:00Z</dcterms:modified>
</cp:coreProperties>
</file>