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D048DC" w14:textId="77777777" w:rsidR="00762044" w:rsidRDefault="00762044">
      <w:pPr>
        <w:rPr>
          <w:rFonts w:ascii="Arial" w:hAnsi="Arial" w:cs="Arial"/>
          <w:sz w:val="28"/>
          <w:szCs w:val="28"/>
          <w:u w:val="single"/>
        </w:rPr>
      </w:pPr>
    </w:p>
    <w:p w14:paraId="3061CD70" w14:textId="3416C3D5" w:rsidR="00762044" w:rsidRDefault="00762044" w:rsidP="00762044">
      <w:pPr>
        <w:jc w:val="center"/>
        <w:rPr>
          <w:rFonts w:cstheme="minorHAnsi"/>
          <w:sz w:val="44"/>
          <w:szCs w:val="44"/>
        </w:rPr>
      </w:pPr>
      <w:r>
        <w:rPr>
          <w:noProof/>
        </w:rPr>
        <w:drawing>
          <wp:anchor distT="0" distB="0" distL="114300" distR="114300" simplePos="0" relativeHeight="251658240" behindDoc="1" locked="0" layoutInCell="1" allowOverlap="1" wp14:anchorId="008CB0A8" wp14:editId="474819E8">
            <wp:simplePos x="0" y="0"/>
            <wp:positionH relativeFrom="margin">
              <wp:posOffset>897255</wp:posOffset>
            </wp:positionH>
            <wp:positionV relativeFrom="page">
              <wp:posOffset>614045</wp:posOffset>
            </wp:positionV>
            <wp:extent cx="3918585" cy="1419225"/>
            <wp:effectExtent l="0" t="0" r="5715" b="9525"/>
            <wp:wrapSquare wrapText="bothSides"/>
            <wp:docPr id="1" name="Llun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l="31364" t="33772" r="30672" b="41783"/>
                    <a:stretch>
                      <a:fillRect/>
                    </a:stretch>
                  </pic:blipFill>
                  <pic:spPr bwMode="auto">
                    <a:xfrm>
                      <a:off x="0" y="0"/>
                      <a:ext cx="3918585" cy="1419225"/>
                    </a:xfrm>
                    <a:prstGeom prst="rect">
                      <a:avLst/>
                    </a:prstGeom>
                    <a:noFill/>
                  </pic:spPr>
                </pic:pic>
              </a:graphicData>
            </a:graphic>
            <wp14:sizeRelH relativeFrom="page">
              <wp14:pctWidth>0</wp14:pctWidth>
            </wp14:sizeRelH>
            <wp14:sizeRelV relativeFrom="page">
              <wp14:pctHeight>0</wp14:pctHeight>
            </wp14:sizeRelV>
          </wp:anchor>
        </w:drawing>
      </w:r>
    </w:p>
    <w:p w14:paraId="33130234" w14:textId="77777777" w:rsidR="00762044" w:rsidRDefault="00762044" w:rsidP="00762044">
      <w:pPr>
        <w:jc w:val="center"/>
        <w:rPr>
          <w:rFonts w:cstheme="minorHAnsi"/>
          <w:sz w:val="48"/>
          <w:szCs w:val="48"/>
        </w:rPr>
      </w:pPr>
    </w:p>
    <w:p w14:paraId="594B251F" w14:textId="77777777" w:rsidR="00762044" w:rsidRDefault="00762044" w:rsidP="00762044">
      <w:pPr>
        <w:jc w:val="center"/>
        <w:rPr>
          <w:rFonts w:cstheme="minorHAnsi"/>
          <w:sz w:val="36"/>
          <w:szCs w:val="36"/>
        </w:rPr>
      </w:pPr>
      <w:r>
        <w:rPr>
          <w:rFonts w:cstheme="minorHAnsi"/>
          <w:sz w:val="36"/>
          <w:szCs w:val="36"/>
        </w:rPr>
        <w:t>Dylunio, cynnal a gwerthuso prosiect ymchwil (astudiaeth gwers) yn feirniadol gan ganolbwyntio ar fodel yr athro trawsnewidiol wrth ddatblygu ymarfer sy’n cael effaith gadarnhaol ar y dysgwr.</w:t>
      </w:r>
    </w:p>
    <w:p w14:paraId="32DC0096" w14:textId="77777777" w:rsidR="00762044" w:rsidRDefault="00762044" w:rsidP="00762044">
      <w:pPr>
        <w:jc w:val="center"/>
        <w:rPr>
          <w:rFonts w:cstheme="minorHAnsi"/>
          <w:sz w:val="36"/>
          <w:szCs w:val="36"/>
        </w:rPr>
      </w:pPr>
    </w:p>
    <w:p w14:paraId="3D0F4AAA" w14:textId="77777777" w:rsidR="00762044" w:rsidRDefault="00762044" w:rsidP="00762044">
      <w:pPr>
        <w:jc w:val="center"/>
        <w:rPr>
          <w:rFonts w:cstheme="minorHAnsi"/>
          <w:sz w:val="36"/>
          <w:szCs w:val="36"/>
        </w:rPr>
      </w:pPr>
    </w:p>
    <w:p w14:paraId="0EB0433D" w14:textId="77777777" w:rsidR="00762044" w:rsidRDefault="00762044" w:rsidP="00762044">
      <w:pPr>
        <w:jc w:val="center"/>
        <w:rPr>
          <w:rFonts w:cstheme="minorHAnsi"/>
          <w:sz w:val="36"/>
          <w:szCs w:val="36"/>
        </w:rPr>
      </w:pPr>
    </w:p>
    <w:p w14:paraId="55F6DF1A" w14:textId="3CA913CA" w:rsidR="00762044" w:rsidRDefault="00762044" w:rsidP="00762044">
      <w:pPr>
        <w:jc w:val="center"/>
        <w:rPr>
          <w:rFonts w:cstheme="minorHAnsi"/>
          <w:sz w:val="36"/>
          <w:szCs w:val="36"/>
        </w:rPr>
      </w:pPr>
      <w:r>
        <w:rPr>
          <w:rFonts w:cstheme="minorHAnsi"/>
          <w:sz w:val="36"/>
          <w:szCs w:val="36"/>
        </w:rPr>
        <w:t>I ba raddau mae amseru pendant megis defnydd o amseryddion ac atgyfnerthu ar lafar yn cynyddu cyflawniad disgyblion mewn gwers?</w:t>
      </w:r>
    </w:p>
    <w:p w14:paraId="7AD9D47D" w14:textId="77777777" w:rsidR="00762044" w:rsidRDefault="00762044" w:rsidP="00762044">
      <w:pPr>
        <w:jc w:val="center"/>
        <w:rPr>
          <w:rFonts w:cstheme="minorHAnsi"/>
          <w:sz w:val="36"/>
          <w:szCs w:val="36"/>
        </w:rPr>
      </w:pPr>
    </w:p>
    <w:p w14:paraId="11B9BCC5" w14:textId="77777777" w:rsidR="00762044" w:rsidRDefault="00762044" w:rsidP="00762044">
      <w:pPr>
        <w:jc w:val="center"/>
        <w:rPr>
          <w:rFonts w:cstheme="minorHAnsi"/>
          <w:sz w:val="36"/>
          <w:szCs w:val="36"/>
        </w:rPr>
      </w:pPr>
    </w:p>
    <w:p w14:paraId="1D8B80B3" w14:textId="77777777" w:rsidR="00762044" w:rsidRDefault="00762044" w:rsidP="00762044">
      <w:pPr>
        <w:jc w:val="center"/>
        <w:rPr>
          <w:rFonts w:cstheme="minorHAnsi"/>
          <w:sz w:val="36"/>
          <w:szCs w:val="36"/>
        </w:rPr>
      </w:pPr>
    </w:p>
    <w:p w14:paraId="0BD5102C" w14:textId="6FD4FD7F" w:rsidR="00762044" w:rsidRDefault="00762044" w:rsidP="00762044">
      <w:pPr>
        <w:jc w:val="center"/>
        <w:rPr>
          <w:rFonts w:cstheme="minorHAnsi"/>
          <w:sz w:val="36"/>
          <w:szCs w:val="36"/>
        </w:rPr>
      </w:pPr>
      <w:r>
        <w:rPr>
          <w:rFonts w:cstheme="minorHAnsi"/>
          <w:sz w:val="36"/>
          <w:szCs w:val="36"/>
        </w:rPr>
        <w:t>Gruffydd Ioan Davies</w:t>
      </w:r>
    </w:p>
    <w:p w14:paraId="07DA23DB" w14:textId="1BA5A863" w:rsidR="00762044" w:rsidRDefault="00762044" w:rsidP="00762044">
      <w:pPr>
        <w:spacing w:line="360" w:lineRule="auto"/>
        <w:jc w:val="center"/>
        <w:rPr>
          <w:rFonts w:cstheme="minorHAnsi"/>
          <w:sz w:val="36"/>
          <w:szCs w:val="36"/>
        </w:rPr>
      </w:pPr>
      <w:r>
        <w:rPr>
          <w:rFonts w:cstheme="minorHAnsi"/>
          <w:sz w:val="36"/>
          <w:szCs w:val="36"/>
        </w:rPr>
        <w:t>1905402</w:t>
      </w:r>
    </w:p>
    <w:p w14:paraId="569E410E" w14:textId="77777777" w:rsidR="00762044" w:rsidRDefault="00762044" w:rsidP="00762044">
      <w:pPr>
        <w:jc w:val="center"/>
        <w:rPr>
          <w:rFonts w:cstheme="minorHAnsi"/>
          <w:sz w:val="36"/>
          <w:szCs w:val="36"/>
        </w:rPr>
      </w:pPr>
    </w:p>
    <w:p w14:paraId="10328E48" w14:textId="77777777" w:rsidR="00762044" w:rsidRDefault="00762044" w:rsidP="00762044">
      <w:pPr>
        <w:jc w:val="center"/>
        <w:rPr>
          <w:rFonts w:cstheme="minorHAnsi"/>
          <w:sz w:val="36"/>
          <w:szCs w:val="36"/>
        </w:rPr>
      </w:pPr>
    </w:p>
    <w:p w14:paraId="7E890B9C" w14:textId="77777777" w:rsidR="00762044" w:rsidRDefault="00762044" w:rsidP="00762044">
      <w:pPr>
        <w:jc w:val="center"/>
        <w:rPr>
          <w:rFonts w:cstheme="minorHAnsi"/>
          <w:sz w:val="36"/>
          <w:szCs w:val="36"/>
        </w:rPr>
      </w:pPr>
    </w:p>
    <w:p w14:paraId="6A8F6D5C" w14:textId="77777777" w:rsidR="00762044" w:rsidRDefault="00762044" w:rsidP="00762044">
      <w:pPr>
        <w:jc w:val="center"/>
        <w:rPr>
          <w:rFonts w:cstheme="minorHAnsi"/>
          <w:sz w:val="36"/>
          <w:szCs w:val="36"/>
        </w:rPr>
      </w:pPr>
    </w:p>
    <w:p w14:paraId="1B634ED8" w14:textId="40023ECB" w:rsidR="00762044" w:rsidRDefault="00762044" w:rsidP="00762044">
      <w:pPr>
        <w:jc w:val="center"/>
        <w:rPr>
          <w:rFonts w:cstheme="minorHAnsi"/>
          <w:sz w:val="36"/>
          <w:szCs w:val="36"/>
        </w:rPr>
      </w:pPr>
      <w:r>
        <w:rPr>
          <w:rFonts w:cstheme="minorHAnsi"/>
          <w:sz w:val="36"/>
          <w:szCs w:val="36"/>
        </w:rPr>
        <w:t xml:space="preserve">Cwrs TAR Uwchradd </w:t>
      </w:r>
      <w:r>
        <w:rPr>
          <w:rFonts w:cstheme="minorHAnsi"/>
          <w:sz w:val="36"/>
          <w:szCs w:val="36"/>
        </w:rPr>
        <w:t>Mathemateg</w:t>
      </w:r>
    </w:p>
    <w:p w14:paraId="77C6F628" w14:textId="77777777" w:rsidR="00AB44D9" w:rsidRDefault="00AB44D9" w:rsidP="00AB44D9">
      <w:pPr>
        <w:pStyle w:val="AssignBody"/>
      </w:pPr>
      <w:r>
        <w:lastRenderedPageBreak/>
        <w:t>Gallwch ychwanegu’ch targedau o’ch aseiniad diwethaf gan ddefnyddio’r tabl isod. /</w:t>
      </w:r>
    </w:p>
    <w:p w14:paraId="26DE4B21" w14:textId="77777777" w:rsidR="00AB44D9" w:rsidRDefault="00AB44D9" w:rsidP="00AB44D9">
      <w:pPr>
        <w:pStyle w:val="AssignBody"/>
      </w:pPr>
      <w:r>
        <w:t>Please add your targets from the previous assignment using the table below.</w:t>
      </w:r>
    </w:p>
    <w:p w14:paraId="38F4E85C" w14:textId="77777777" w:rsidR="00AB44D9" w:rsidRDefault="00AB44D9" w:rsidP="00AB44D9">
      <w:pPr>
        <w:pStyle w:val="AssignBody"/>
      </w:pPr>
    </w:p>
    <w:tbl>
      <w:tblPr>
        <w:tblStyle w:val="GridTabl"/>
        <w:tblW w:w="0" w:type="auto"/>
        <w:tblInd w:w="0" w:type="dxa"/>
        <w:tblLook w:val="04A0" w:firstRow="1" w:lastRow="0" w:firstColumn="1" w:lastColumn="0" w:noHBand="0" w:noVBand="1"/>
      </w:tblPr>
      <w:tblGrid>
        <w:gridCol w:w="1722"/>
        <w:gridCol w:w="3647"/>
        <w:gridCol w:w="3647"/>
      </w:tblGrid>
      <w:tr w:rsidR="00AB44D9" w14:paraId="3B68100D" w14:textId="77777777" w:rsidTr="00AB44D9">
        <w:tc>
          <w:tcPr>
            <w:tcW w:w="1722" w:type="dxa"/>
            <w:tcBorders>
              <w:top w:val="single" w:sz="4" w:space="0" w:color="auto"/>
              <w:left w:val="single" w:sz="4" w:space="0" w:color="auto"/>
              <w:bottom w:val="single" w:sz="4" w:space="0" w:color="auto"/>
              <w:right w:val="single" w:sz="4" w:space="0" w:color="auto"/>
            </w:tcBorders>
          </w:tcPr>
          <w:p w14:paraId="2682F42E" w14:textId="77777777" w:rsidR="00AB44D9" w:rsidRPr="00B823C1" w:rsidRDefault="00AB44D9">
            <w:pPr>
              <w:pStyle w:val="AssignBody"/>
              <w:rPr>
                <w:lang w:val="cy-GB"/>
              </w:rPr>
            </w:pPr>
          </w:p>
        </w:tc>
        <w:tc>
          <w:tcPr>
            <w:tcW w:w="3647" w:type="dxa"/>
            <w:tcBorders>
              <w:top w:val="single" w:sz="4" w:space="0" w:color="auto"/>
              <w:left w:val="single" w:sz="4" w:space="0" w:color="auto"/>
              <w:bottom w:val="single" w:sz="4" w:space="0" w:color="auto"/>
              <w:right w:val="single" w:sz="4" w:space="0" w:color="auto"/>
            </w:tcBorders>
            <w:hideMark/>
          </w:tcPr>
          <w:p w14:paraId="08DE4BA0" w14:textId="77777777" w:rsidR="00AB44D9" w:rsidRPr="00B823C1" w:rsidRDefault="00AB44D9">
            <w:pPr>
              <w:pStyle w:val="AssignBody"/>
              <w:rPr>
                <w:lang w:val="cy-GB"/>
              </w:rPr>
            </w:pPr>
            <w:r w:rsidRPr="00B823C1">
              <w:rPr>
                <w:lang w:val="cy-GB"/>
              </w:rPr>
              <w:t>Targed/Target</w:t>
            </w:r>
          </w:p>
        </w:tc>
        <w:tc>
          <w:tcPr>
            <w:tcW w:w="3647" w:type="dxa"/>
            <w:tcBorders>
              <w:top w:val="single" w:sz="4" w:space="0" w:color="auto"/>
              <w:left w:val="single" w:sz="4" w:space="0" w:color="auto"/>
              <w:bottom w:val="single" w:sz="4" w:space="0" w:color="auto"/>
              <w:right w:val="single" w:sz="4" w:space="0" w:color="auto"/>
            </w:tcBorders>
          </w:tcPr>
          <w:p w14:paraId="5307F478" w14:textId="77777777" w:rsidR="00AB44D9" w:rsidRDefault="00AB44D9">
            <w:pPr>
              <w:pStyle w:val="NormalGwe"/>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Yr hyn yr wyf wedi'i wneud yn yr aseiniad hwn.</w:t>
            </w:r>
          </w:p>
          <w:p w14:paraId="733A7409" w14:textId="77777777" w:rsidR="00AB44D9" w:rsidRDefault="00AB44D9">
            <w:pPr>
              <w:pStyle w:val="NormalGwe"/>
              <w:spacing w:before="0" w:beforeAutospacing="0" w:after="0" w:afterAutospacing="0"/>
              <w:rPr>
                <w:rFonts w:ascii="Arial" w:hAnsi="Arial" w:cs="Arial"/>
                <w:color w:val="222222"/>
                <w:sz w:val="22"/>
                <w:szCs w:val="22"/>
                <w:lang w:val="en-US" w:eastAsia="en-US"/>
              </w:rPr>
            </w:pPr>
          </w:p>
          <w:p w14:paraId="2482724F" w14:textId="77777777" w:rsidR="00AB44D9" w:rsidRDefault="00AB44D9">
            <w:pPr>
              <w:pStyle w:val="NormalGwe"/>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B44D9" w14:paraId="6949B7B3" w14:textId="77777777" w:rsidTr="00AB44D9">
        <w:tc>
          <w:tcPr>
            <w:tcW w:w="1722" w:type="dxa"/>
            <w:tcBorders>
              <w:top w:val="single" w:sz="4" w:space="0" w:color="auto"/>
              <w:left w:val="single" w:sz="4" w:space="0" w:color="auto"/>
              <w:bottom w:val="single" w:sz="4" w:space="0" w:color="auto"/>
              <w:right w:val="single" w:sz="4" w:space="0" w:color="auto"/>
            </w:tcBorders>
            <w:hideMark/>
          </w:tcPr>
          <w:p w14:paraId="223C83EA" w14:textId="77777777" w:rsidR="00AB44D9" w:rsidRPr="00B823C1" w:rsidRDefault="00AB44D9">
            <w:pPr>
              <w:pStyle w:val="AssignBody"/>
              <w:rPr>
                <w:rFonts w:cstheme="minorBidi"/>
                <w:lang w:val="cy-GB"/>
              </w:rPr>
            </w:pPr>
            <w:r w:rsidRPr="00B823C1">
              <w:rPr>
                <w:lang w:val="cy-GB"/>
              </w:rPr>
              <w:t>T</w:t>
            </w:r>
            <w:bookmarkStart w:id="0" w:name="cysill"/>
            <w:bookmarkEnd w:id="0"/>
            <w:r w:rsidRPr="00B823C1">
              <w:rPr>
                <w:lang w:val="cy-GB"/>
              </w:rPr>
              <w:t>arged/Target 1</w:t>
            </w:r>
          </w:p>
        </w:tc>
        <w:tc>
          <w:tcPr>
            <w:tcW w:w="3647" w:type="dxa"/>
            <w:tcBorders>
              <w:top w:val="single" w:sz="4" w:space="0" w:color="auto"/>
              <w:left w:val="single" w:sz="4" w:space="0" w:color="auto"/>
              <w:bottom w:val="single" w:sz="4" w:space="0" w:color="auto"/>
              <w:right w:val="single" w:sz="4" w:space="0" w:color="auto"/>
            </w:tcBorders>
          </w:tcPr>
          <w:p w14:paraId="19BC2FC3" w14:textId="77777777" w:rsidR="00B823C1" w:rsidRPr="00B823C1" w:rsidRDefault="00B823C1" w:rsidP="00B823C1">
            <w:pPr>
              <w:pStyle w:val="NormalGwe"/>
              <w:shd w:val="clear" w:color="auto" w:fill="FFFFFF"/>
              <w:spacing w:before="0" w:beforeAutospacing="0" w:after="0" w:afterAutospacing="0"/>
              <w:rPr>
                <w:rFonts w:ascii="Arial" w:hAnsi="Arial" w:cs="Arial"/>
                <w:color w:val="283041"/>
                <w:sz w:val="21"/>
                <w:szCs w:val="21"/>
                <w:lang w:val="cy-GB"/>
              </w:rPr>
            </w:pPr>
            <w:r w:rsidRPr="00B823C1">
              <w:rPr>
                <w:rFonts w:ascii="Arial" w:hAnsi="Arial" w:cs="Arial"/>
                <w:color w:val="283041"/>
                <w:sz w:val="21"/>
                <w:szCs w:val="21"/>
                <w:lang w:val="cy-GB"/>
              </w:rPr>
              <w:t>1. Byddai tynnu ynghyd dy argymhellion am ffyrdd ymlaen mewn diweddglo wedi bod yn fanteisiol er mwyn arddangos yn glir bod yr adfyfyrio beirniadol wedi arwain at gamau nesaf penodol. </w:t>
            </w:r>
          </w:p>
          <w:p w14:paraId="069D5C89" w14:textId="77777777" w:rsidR="00AB44D9" w:rsidRPr="00B823C1" w:rsidRDefault="00AB44D9">
            <w:pPr>
              <w:pStyle w:val="AssignBody"/>
              <w:rPr>
                <w:lang w:val="cy-GB"/>
              </w:rPr>
            </w:pPr>
          </w:p>
        </w:tc>
        <w:tc>
          <w:tcPr>
            <w:tcW w:w="3647" w:type="dxa"/>
            <w:tcBorders>
              <w:top w:val="single" w:sz="4" w:space="0" w:color="auto"/>
              <w:left w:val="single" w:sz="4" w:space="0" w:color="auto"/>
              <w:bottom w:val="single" w:sz="4" w:space="0" w:color="auto"/>
              <w:right w:val="single" w:sz="4" w:space="0" w:color="auto"/>
            </w:tcBorders>
          </w:tcPr>
          <w:p w14:paraId="5DF3B3E8" w14:textId="1AC2DE49" w:rsidR="00AB44D9" w:rsidRDefault="00B823C1">
            <w:pPr>
              <w:pStyle w:val="AssignBody"/>
            </w:pPr>
            <w:r>
              <w:t>Wedi cynnwys rhan ar argymhellion ar ddiwedd yr aseiniad.</w:t>
            </w:r>
          </w:p>
        </w:tc>
      </w:tr>
      <w:tr w:rsidR="00AB44D9" w14:paraId="3E143985" w14:textId="77777777" w:rsidTr="00AB44D9">
        <w:tc>
          <w:tcPr>
            <w:tcW w:w="1722" w:type="dxa"/>
            <w:tcBorders>
              <w:top w:val="single" w:sz="4" w:space="0" w:color="auto"/>
              <w:left w:val="single" w:sz="4" w:space="0" w:color="auto"/>
              <w:bottom w:val="single" w:sz="4" w:space="0" w:color="auto"/>
              <w:right w:val="single" w:sz="4" w:space="0" w:color="auto"/>
            </w:tcBorders>
            <w:hideMark/>
          </w:tcPr>
          <w:p w14:paraId="4C1947DC" w14:textId="77777777" w:rsidR="00AB44D9" w:rsidRPr="00B823C1" w:rsidRDefault="00AB44D9">
            <w:pPr>
              <w:pStyle w:val="AssignBody"/>
              <w:rPr>
                <w:lang w:val="cy-GB"/>
              </w:rPr>
            </w:pPr>
            <w:r w:rsidRPr="00B823C1">
              <w:rPr>
                <w:lang w:val="cy-GB"/>
              </w:rPr>
              <w:t>Targed/Target 2</w:t>
            </w:r>
          </w:p>
        </w:tc>
        <w:tc>
          <w:tcPr>
            <w:tcW w:w="3647" w:type="dxa"/>
            <w:tcBorders>
              <w:top w:val="single" w:sz="4" w:space="0" w:color="auto"/>
              <w:left w:val="single" w:sz="4" w:space="0" w:color="auto"/>
              <w:bottom w:val="single" w:sz="4" w:space="0" w:color="auto"/>
              <w:right w:val="single" w:sz="4" w:space="0" w:color="auto"/>
            </w:tcBorders>
          </w:tcPr>
          <w:p w14:paraId="1324F365" w14:textId="77777777" w:rsidR="00B823C1" w:rsidRPr="00B823C1" w:rsidRDefault="00B823C1" w:rsidP="00B823C1">
            <w:pPr>
              <w:pStyle w:val="NormalGwe"/>
              <w:shd w:val="clear" w:color="auto" w:fill="FFFFFF"/>
              <w:spacing w:before="0" w:beforeAutospacing="0" w:after="0" w:afterAutospacing="0"/>
              <w:rPr>
                <w:rFonts w:ascii="Arial" w:hAnsi="Arial" w:cs="Arial"/>
                <w:color w:val="283041"/>
                <w:sz w:val="21"/>
                <w:szCs w:val="21"/>
                <w:lang w:val="cy-GB"/>
              </w:rPr>
            </w:pPr>
            <w:r w:rsidRPr="00B823C1">
              <w:rPr>
                <w:rFonts w:ascii="Arial" w:hAnsi="Arial" w:cs="Arial"/>
                <w:color w:val="283041"/>
                <w:sz w:val="21"/>
                <w:szCs w:val="21"/>
                <w:lang w:val="cy-GB"/>
              </w:rPr>
              <w:t>2. Ehanga dy ddarllen ymhellach i gynnwys ychwaneg o ffynonellau cyfredol sy'n cefnogi safbwyntiau ac sy'n awgrymu datblygiadau pellach yn dy ymarfer.</w:t>
            </w:r>
          </w:p>
          <w:p w14:paraId="00E6AA1A" w14:textId="77777777" w:rsidR="00AB44D9" w:rsidRPr="00B823C1" w:rsidRDefault="00AB44D9">
            <w:pPr>
              <w:pStyle w:val="AssignBody"/>
              <w:rPr>
                <w:lang w:val="cy-GB"/>
              </w:rPr>
            </w:pPr>
          </w:p>
        </w:tc>
        <w:tc>
          <w:tcPr>
            <w:tcW w:w="3647" w:type="dxa"/>
            <w:tcBorders>
              <w:top w:val="single" w:sz="4" w:space="0" w:color="auto"/>
              <w:left w:val="single" w:sz="4" w:space="0" w:color="auto"/>
              <w:bottom w:val="single" w:sz="4" w:space="0" w:color="auto"/>
              <w:right w:val="single" w:sz="4" w:space="0" w:color="auto"/>
            </w:tcBorders>
          </w:tcPr>
          <w:p w14:paraId="2C185F7E" w14:textId="23FE5B2B" w:rsidR="00AB44D9" w:rsidRDefault="00B823C1">
            <w:pPr>
              <w:pStyle w:val="AssignBody"/>
            </w:pPr>
            <w:r>
              <w:t>Wedi cynnwys nifer o ffynonellau sy’n awgrymu datblygiadau ac yn fuddiol i fy nysgu proffesiynol.</w:t>
            </w:r>
          </w:p>
        </w:tc>
      </w:tr>
      <w:tr w:rsidR="00AB44D9" w14:paraId="0E9244F7" w14:textId="77777777" w:rsidTr="00AB44D9">
        <w:tc>
          <w:tcPr>
            <w:tcW w:w="1722" w:type="dxa"/>
            <w:tcBorders>
              <w:top w:val="single" w:sz="4" w:space="0" w:color="auto"/>
              <w:left w:val="single" w:sz="4" w:space="0" w:color="auto"/>
              <w:bottom w:val="single" w:sz="4" w:space="0" w:color="auto"/>
              <w:right w:val="single" w:sz="4" w:space="0" w:color="auto"/>
            </w:tcBorders>
            <w:hideMark/>
          </w:tcPr>
          <w:p w14:paraId="28EF7301" w14:textId="77777777" w:rsidR="00AB44D9" w:rsidRPr="00B823C1" w:rsidRDefault="00AB44D9">
            <w:pPr>
              <w:pStyle w:val="AssignBody"/>
              <w:rPr>
                <w:lang w:val="cy-GB"/>
              </w:rPr>
            </w:pPr>
            <w:r w:rsidRPr="00B823C1">
              <w:rPr>
                <w:lang w:val="cy-GB"/>
              </w:rPr>
              <w:t>Targed/Target 3</w:t>
            </w:r>
          </w:p>
        </w:tc>
        <w:tc>
          <w:tcPr>
            <w:tcW w:w="3647" w:type="dxa"/>
            <w:tcBorders>
              <w:top w:val="single" w:sz="4" w:space="0" w:color="auto"/>
              <w:left w:val="single" w:sz="4" w:space="0" w:color="auto"/>
              <w:bottom w:val="single" w:sz="4" w:space="0" w:color="auto"/>
              <w:right w:val="single" w:sz="4" w:space="0" w:color="auto"/>
            </w:tcBorders>
          </w:tcPr>
          <w:p w14:paraId="051BBAB1" w14:textId="067AD6B1" w:rsidR="00AB44D9" w:rsidRPr="00B823C1" w:rsidRDefault="00B823C1">
            <w:pPr>
              <w:pStyle w:val="AssignBody"/>
              <w:rPr>
                <w:lang w:val="cy-GB"/>
              </w:rPr>
            </w:pPr>
            <w:r w:rsidRPr="00B823C1">
              <w:rPr>
                <w:color w:val="283041"/>
                <w:sz w:val="21"/>
                <w:szCs w:val="21"/>
                <w:lang w:val="cy-GB"/>
              </w:rPr>
              <w:t>3. Parha i ddefnyddio Cysill er mwyn gwirio dy iaith</w:t>
            </w:r>
          </w:p>
        </w:tc>
        <w:tc>
          <w:tcPr>
            <w:tcW w:w="3647" w:type="dxa"/>
            <w:tcBorders>
              <w:top w:val="single" w:sz="4" w:space="0" w:color="auto"/>
              <w:left w:val="single" w:sz="4" w:space="0" w:color="auto"/>
              <w:bottom w:val="single" w:sz="4" w:space="0" w:color="auto"/>
              <w:right w:val="single" w:sz="4" w:space="0" w:color="auto"/>
            </w:tcBorders>
          </w:tcPr>
          <w:p w14:paraId="13D5DD2A" w14:textId="03351524" w:rsidR="00AB44D9" w:rsidRDefault="00B823C1">
            <w:pPr>
              <w:pStyle w:val="AssignBody"/>
            </w:pPr>
            <w:r>
              <w:t>Wedi defnyddio Cysill trwy fy ngwaith.</w:t>
            </w:r>
          </w:p>
        </w:tc>
      </w:tr>
    </w:tbl>
    <w:p w14:paraId="045B3B01" w14:textId="77777777" w:rsidR="00762044" w:rsidRDefault="00762044">
      <w:pPr>
        <w:rPr>
          <w:rFonts w:ascii="Arial" w:hAnsi="Arial" w:cs="Arial"/>
          <w:sz w:val="28"/>
          <w:szCs w:val="28"/>
          <w:u w:val="single"/>
        </w:rPr>
      </w:pPr>
    </w:p>
    <w:p w14:paraId="248E5723" w14:textId="77777777" w:rsidR="00762044" w:rsidRDefault="00762044">
      <w:pPr>
        <w:rPr>
          <w:rFonts w:ascii="Arial" w:hAnsi="Arial" w:cs="Arial"/>
          <w:sz w:val="28"/>
          <w:szCs w:val="28"/>
          <w:u w:val="single"/>
        </w:rPr>
      </w:pPr>
    </w:p>
    <w:p w14:paraId="52732992" w14:textId="77777777" w:rsidR="00762044" w:rsidRDefault="00762044">
      <w:pPr>
        <w:rPr>
          <w:rFonts w:ascii="Arial" w:hAnsi="Arial" w:cs="Arial"/>
          <w:sz w:val="28"/>
          <w:szCs w:val="28"/>
          <w:u w:val="single"/>
        </w:rPr>
      </w:pPr>
    </w:p>
    <w:p w14:paraId="29B188C0" w14:textId="77777777" w:rsidR="00B823C1" w:rsidRDefault="00B823C1" w:rsidP="00B823C1">
      <w:pPr>
        <w:pStyle w:val="NormalGwe"/>
        <w:shd w:val="clear" w:color="auto" w:fill="FFFFFF"/>
        <w:spacing w:before="0" w:beforeAutospacing="0" w:after="0" w:afterAutospacing="0"/>
        <w:rPr>
          <w:rFonts w:ascii="&amp;quot" w:hAnsi="&amp;quot"/>
          <w:color w:val="283041"/>
          <w:sz w:val="21"/>
          <w:szCs w:val="21"/>
        </w:rPr>
      </w:pPr>
      <w:r>
        <w:rPr>
          <w:rFonts w:ascii="&amp;quot" w:hAnsi="&amp;quot"/>
          <w:color w:val="283041"/>
          <w:sz w:val="21"/>
          <w:szCs w:val="21"/>
        </w:rPr>
        <w:br/>
      </w:r>
    </w:p>
    <w:p w14:paraId="6B746B5D" w14:textId="77777777" w:rsidR="00B823C1" w:rsidRDefault="00B823C1" w:rsidP="00B823C1">
      <w:pPr>
        <w:pStyle w:val="NormalGwe"/>
        <w:shd w:val="clear" w:color="auto" w:fill="FFFFFF"/>
        <w:spacing w:before="0" w:beforeAutospacing="0" w:after="0" w:afterAutospacing="0"/>
        <w:rPr>
          <w:rFonts w:ascii="&amp;quot" w:hAnsi="&amp;quot"/>
          <w:color w:val="283041"/>
          <w:sz w:val="21"/>
          <w:szCs w:val="21"/>
        </w:rPr>
      </w:pPr>
      <w:r>
        <w:rPr>
          <w:rFonts w:ascii="&amp;quot" w:hAnsi="&amp;quot"/>
          <w:color w:val="283041"/>
          <w:sz w:val="21"/>
          <w:szCs w:val="21"/>
        </w:rPr>
        <w:br/>
      </w:r>
    </w:p>
    <w:p w14:paraId="6C47BB21" w14:textId="33636086" w:rsidR="00B823C1" w:rsidRDefault="00B823C1" w:rsidP="00B823C1">
      <w:pPr>
        <w:pStyle w:val="NormalGwe"/>
        <w:shd w:val="clear" w:color="auto" w:fill="FFFFFF"/>
        <w:spacing w:before="0" w:beforeAutospacing="0" w:after="0" w:afterAutospacing="0"/>
        <w:rPr>
          <w:rFonts w:ascii="&amp;quot" w:hAnsi="&amp;quot"/>
          <w:color w:val="283041"/>
          <w:sz w:val="21"/>
          <w:szCs w:val="21"/>
        </w:rPr>
      </w:pPr>
      <w:r>
        <w:rPr>
          <w:rFonts w:ascii="&amp;quot" w:hAnsi="&amp;quot"/>
          <w:color w:val="283041"/>
          <w:sz w:val="21"/>
          <w:szCs w:val="21"/>
        </w:rPr>
        <w:t>.</w:t>
      </w:r>
    </w:p>
    <w:p w14:paraId="75801EC5" w14:textId="77777777" w:rsidR="00762044" w:rsidRDefault="00762044">
      <w:pPr>
        <w:rPr>
          <w:rFonts w:ascii="Arial" w:hAnsi="Arial" w:cs="Arial"/>
          <w:sz w:val="28"/>
          <w:szCs w:val="28"/>
          <w:u w:val="single"/>
        </w:rPr>
      </w:pPr>
    </w:p>
    <w:p w14:paraId="06BB5D88" w14:textId="77777777" w:rsidR="00AB44D9" w:rsidRDefault="00AB44D9">
      <w:pPr>
        <w:rPr>
          <w:rFonts w:ascii="Arial" w:hAnsi="Arial" w:cs="Arial"/>
          <w:sz w:val="28"/>
          <w:szCs w:val="28"/>
          <w:u w:val="single"/>
        </w:rPr>
      </w:pPr>
    </w:p>
    <w:p w14:paraId="60DE6287" w14:textId="77777777" w:rsidR="00AB44D9" w:rsidRDefault="00AB44D9">
      <w:pPr>
        <w:rPr>
          <w:rFonts w:ascii="Arial" w:hAnsi="Arial" w:cs="Arial"/>
          <w:sz w:val="28"/>
          <w:szCs w:val="28"/>
          <w:u w:val="single"/>
        </w:rPr>
      </w:pPr>
    </w:p>
    <w:p w14:paraId="3D1103E4" w14:textId="77777777" w:rsidR="00AB44D9" w:rsidRDefault="00AB44D9">
      <w:pPr>
        <w:rPr>
          <w:rFonts w:ascii="Arial" w:hAnsi="Arial" w:cs="Arial"/>
          <w:sz w:val="28"/>
          <w:szCs w:val="28"/>
          <w:u w:val="single"/>
        </w:rPr>
      </w:pPr>
    </w:p>
    <w:p w14:paraId="337F4B24" w14:textId="77777777" w:rsidR="00AB44D9" w:rsidRDefault="00AB44D9">
      <w:pPr>
        <w:rPr>
          <w:rFonts w:ascii="Arial" w:hAnsi="Arial" w:cs="Arial"/>
          <w:sz w:val="28"/>
          <w:szCs w:val="28"/>
          <w:u w:val="single"/>
        </w:rPr>
      </w:pPr>
    </w:p>
    <w:p w14:paraId="01EE4DB9" w14:textId="77777777" w:rsidR="00AB44D9" w:rsidRDefault="00AB44D9">
      <w:pPr>
        <w:rPr>
          <w:rFonts w:ascii="Arial" w:hAnsi="Arial" w:cs="Arial"/>
          <w:sz w:val="28"/>
          <w:szCs w:val="28"/>
          <w:u w:val="single"/>
        </w:rPr>
      </w:pPr>
    </w:p>
    <w:p w14:paraId="5EAF3DCC" w14:textId="77777777" w:rsidR="00AB44D9" w:rsidRDefault="00AB44D9">
      <w:pPr>
        <w:rPr>
          <w:rFonts w:ascii="Arial" w:hAnsi="Arial" w:cs="Arial"/>
          <w:sz w:val="28"/>
          <w:szCs w:val="28"/>
          <w:u w:val="single"/>
        </w:rPr>
      </w:pPr>
    </w:p>
    <w:p w14:paraId="2B83A5E2" w14:textId="77777777" w:rsidR="00AB44D9" w:rsidRDefault="00AB44D9">
      <w:pPr>
        <w:rPr>
          <w:rFonts w:ascii="Arial" w:hAnsi="Arial" w:cs="Arial"/>
          <w:sz w:val="28"/>
          <w:szCs w:val="28"/>
          <w:u w:val="single"/>
        </w:rPr>
      </w:pPr>
    </w:p>
    <w:p w14:paraId="68D02CE2" w14:textId="77777777" w:rsidR="003D13AF" w:rsidRDefault="003D13AF" w:rsidP="00AB44D9">
      <w:pPr>
        <w:spacing w:line="360" w:lineRule="auto"/>
        <w:rPr>
          <w:rFonts w:ascii="Arial" w:hAnsi="Arial" w:cs="Arial"/>
          <w:sz w:val="28"/>
          <w:szCs w:val="28"/>
          <w:u w:val="single"/>
        </w:rPr>
      </w:pPr>
    </w:p>
    <w:p w14:paraId="2CFEF83C" w14:textId="62977E2B" w:rsidR="002706A4" w:rsidRPr="001C3E73" w:rsidRDefault="002706A4" w:rsidP="00AB44D9">
      <w:pPr>
        <w:spacing w:line="360" w:lineRule="auto"/>
        <w:rPr>
          <w:rFonts w:ascii="Arial" w:hAnsi="Arial" w:cs="Arial"/>
          <w:sz w:val="28"/>
          <w:szCs w:val="28"/>
          <w:u w:val="single"/>
        </w:rPr>
      </w:pPr>
      <w:bookmarkStart w:id="1" w:name="_GoBack"/>
      <w:bookmarkEnd w:id="1"/>
      <w:r w:rsidRPr="001C3E73">
        <w:rPr>
          <w:rFonts w:ascii="Arial" w:hAnsi="Arial" w:cs="Arial"/>
          <w:sz w:val="28"/>
          <w:szCs w:val="28"/>
          <w:u w:val="single"/>
        </w:rPr>
        <w:lastRenderedPageBreak/>
        <w:t>Nod, ffocws a phwrpas yr ymchwil</w:t>
      </w:r>
      <w:r w:rsidR="00FD1986" w:rsidRPr="001C3E73">
        <w:rPr>
          <w:rFonts w:ascii="Arial" w:hAnsi="Arial" w:cs="Arial"/>
          <w:sz w:val="28"/>
          <w:szCs w:val="28"/>
          <w:u w:val="single"/>
        </w:rPr>
        <w:t xml:space="preserve"> </w:t>
      </w:r>
    </w:p>
    <w:p w14:paraId="75549C41" w14:textId="49FB5D14" w:rsidR="0065008F" w:rsidRPr="005F727D" w:rsidRDefault="0065008F" w:rsidP="00AB44D9">
      <w:pPr>
        <w:spacing w:line="360" w:lineRule="auto"/>
        <w:rPr>
          <w:rFonts w:ascii="Arial" w:hAnsi="Arial" w:cs="Arial"/>
          <w:u w:val="single"/>
        </w:rPr>
      </w:pPr>
      <w:r>
        <w:rPr>
          <w:rFonts w:ascii="Arial" w:hAnsi="Arial" w:cs="Arial"/>
        </w:rPr>
        <w:t>Nod yr ymchwil yma oedd darganfod pa mor effeithiol roedd defnyddio dulliau o atgyfnerthu faint o amser mae gan ddisgyblion mewn dosbarth i wneud gwahanol weithgareddau ar gyflawniad y disgyblion yn y wers. Mae amseru wedi bod yn darged hir dymor i mi wrth fod ar brofiad dysgu. Mae gallu amseru’n effeithiol yn ystod gwersi yn galluogi asesu mwy effeithiol a gwell rheolaeth o’r dosbarth a’r amgylchedd dysgu.  Mae hyn yn gysylltiedig gyda chyflymder gwersi, a ddiffinnir fel y rhythm a’r amseru o weithgareddau o fewn y dosbarth, sy’n cynnwys faint o amser dyrannir i bob cydran dosbarth a’r broses o bryd mae’r athro’n penderfynu’r amser cywir i newid gweithgaredd (Goldsmith, 2009, tud. 33).</w:t>
      </w:r>
    </w:p>
    <w:p w14:paraId="6F10E34B" w14:textId="38A5B73A" w:rsidR="002706A4" w:rsidRPr="001C3E73" w:rsidRDefault="002706A4" w:rsidP="00AB44D9">
      <w:pPr>
        <w:spacing w:line="360" w:lineRule="auto"/>
        <w:rPr>
          <w:rFonts w:ascii="Arial" w:hAnsi="Arial" w:cs="Arial"/>
          <w:sz w:val="28"/>
          <w:szCs w:val="28"/>
          <w:u w:val="single"/>
        </w:rPr>
      </w:pPr>
      <w:r w:rsidRPr="001C3E73">
        <w:rPr>
          <w:rFonts w:ascii="Arial" w:hAnsi="Arial" w:cs="Arial"/>
          <w:sz w:val="28"/>
          <w:szCs w:val="28"/>
          <w:u w:val="single"/>
        </w:rPr>
        <w:t>Cyd-destun yr ymchwil</w:t>
      </w:r>
      <w:r w:rsidR="00FD1986" w:rsidRPr="001C3E73">
        <w:rPr>
          <w:rFonts w:ascii="Arial" w:hAnsi="Arial" w:cs="Arial"/>
          <w:sz w:val="28"/>
          <w:szCs w:val="28"/>
          <w:u w:val="single"/>
        </w:rPr>
        <w:t xml:space="preserve"> </w:t>
      </w:r>
    </w:p>
    <w:p w14:paraId="4872EC35" w14:textId="7BDC99AC" w:rsidR="0065008F" w:rsidRPr="005F727D" w:rsidRDefault="0065008F" w:rsidP="00AB44D9">
      <w:pPr>
        <w:spacing w:line="360" w:lineRule="auto"/>
        <w:rPr>
          <w:rFonts w:ascii="Arial" w:hAnsi="Arial" w:cs="Arial"/>
        </w:rPr>
      </w:pPr>
      <w:r>
        <w:rPr>
          <w:rFonts w:ascii="Arial" w:hAnsi="Arial" w:cs="Arial"/>
        </w:rPr>
        <w:t>Ar gyfer ein hymchwiliad, roedd rhaid i mi a fy mhartner gwneud astudiaeth gwers gyda dosbarth o’n dewis ni. Roedd rhaid i mi a fy mhartner dewis un dosbarth yr un, a thra oedd un yn dysgu’r wers, roedd y  llall yn arsylwi trwy ddilyn taflen arsylwi. Hefyd, dewisom grŵp ffocws yr un o’n dosbarthiadau, yn cynnwys 3 disgybl er mwyn cyfweld â nhw. Roeddwn i a fy mhartner ar leoliad profiad dysgu yn yr un ysgol, a dewisais ddosbarth ym Mlwyddyn 7 a dewisodd fy mhartner dosbarth ym Mlwyddyn 8. Ein cwestiwn ymchwil yw ‘I ba raddau mae amseru pendant megis defnydd o amseryddion gweladwy ac atgyfnerthol yn cynyddu cyflawniad disgyblion mewn gwers?’. Y rheswm dros fy newis o fy nosbarth i oedd oherwydd bod gan y dosbarth cymysgedd o alluoedd a fydd yn rhoi darlun mwy eang a chlir o effaith y weithred ymchwil.</w:t>
      </w:r>
    </w:p>
    <w:p w14:paraId="04DD4AAC" w14:textId="339781D3" w:rsidR="002706A4" w:rsidRPr="001C3E73" w:rsidRDefault="002706A4" w:rsidP="00AB44D9">
      <w:pPr>
        <w:spacing w:line="360" w:lineRule="auto"/>
        <w:rPr>
          <w:rFonts w:ascii="Arial" w:hAnsi="Arial" w:cs="Arial"/>
          <w:sz w:val="28"/>
          <w:szCs w:val="28"/>
          <w:u w:val="single"/>
        </w:rPr>
      </w:pPr>
      <w:r w:rsidRPr="001C3E73">
        <w:rPr>
          <w:rFonts w:ascii="Arial" w:hAnsi="Arial" w:cs="Arial"/>
          <w:sz w:val="28"/>
          <w:szCs w:val="28"/>
          <w:u w:val="single"/>
        </w:rPr>
        <w:t xml:space="preserve">Trosolwg byr o lenyddiaeth berthnasol </w:t>
      </w:r>
    </w:p>
    <w:p w14:paraId="5BC96613" w14:textId="77777777" w:rsidR="00C17115" w:rsidRDefault="00C17115" w:rsidP="00AB44D9">
      <w:pPr>
        <w:autoSpaceDE w:val="0"/>
        <w:autoSpaceDN w:val="0"/>
        <w:adjustRightInd w:val="0"/>
        <w:spacing w:line="360" w:lineRule="auto"/>
        <w:rPr>
          <w:rFonts w:ascii="Arial" w:hAnsi="Arial" w:cs="Arial"/>
        </w:rPr>
      </w:pPr>
      <w:r>
        <w:rPr>
          <w:rFonts w:ascii="Arial" w:hAnsi="Arial" w:cs="Arial"/>
        </w:rPr>
        <w:t xml:space="preserve">Mae ein hymchwiliad yn ymwneud gydag amseru gweithgareddau a thasgau o fewn gwersi a’r effaith mae hyn yn cael ar gyflawniad y disgyblion. I ddechrau byddaf yn edrych ar pam mae amseru yn bwysig o fewn gwersi ac yn edrych yn fanylach ar bwysigrwydd cynnal cyflymder gwersi trwy edrych ar amseryddion. Mae pwysigrwydd amseru o fewn gwersi yn allweddol tu hwnt, fel dywed Foster (2012, tud. 150), o fewn gwers Mathemateg, mae amseru yn gallu neud gwahaniaeth mawr i ba mor dda mae tasg yn mynd.  Dywed Doyle (1980, tud. 25) bod rhaid i athrawon penderfynu pa mor hir dylai gweithgaredd cymryd. Parhaodd trwy ddweud ei fod yn bwysig, yn ystod gweithgaredd, bo’r athro’n ymwybodol o arwyddion bo’r gweithgaredd yn parhau am ormod o amser  oherwydd gall arwain at aflonyddwch yn y dosbarth. Mae’n pwysleisio bo’r penderfyniad o ymestyn neu fyrhau’r amser ar gyfer gweithgaredd yn effeithio ar yr amser sydd ar gael ar gyfer gweithgareddau eraill. Awgrymir os mae gweithgaredd yn rhy fyr, bydd gwastraff amser ar ddiwedd y wers. Mae Doyle (1980) felly’n awgrymu bod amseru’n rhan bwysig wrth addysgu er mwyn cadw </w:t>
      </w:r>
      <w:r>
        <w:rPr>
          <w:rFonts w:ascii="Arial" w:hAnsi="Arial" w:cs="Arial"/>
        </w:rPr>
        <w:lastRenderedPageBreak/>
        <w:t>rheolaeth o’r dosbarth ac osgoi unrhyw aflonyddwch. Mae’n amlwg i ddweud bod cynllunio a pharatoi gwersi’n allweddol er mwyn cynnal gwers effeithiol a llwyddiannus. Mae Snow a Campbell (2017, tud. 66) yn dweud bod ysgrifennu faint o amser bydd gweithgaredd yn cymryd ar gynllun gwers yn ddefnyddiol ac yn syniad da. Cefnogir y pwynt yma gan Gorman a Norris (2019, tud. 2), sy’n pwysleisio bod rhaid cael syniad da o faint o amser mae gweithgareddau’n mynd i gymryd er mwyn rheoli amseru a chyflymder. Maent yn ychwanegu bod rheoli cyflymder ac amser gweithgareddau yn helpu sicrhau bod amser y wers yn cael ei threulio ar y gweithgareddau mwyaf defnyddiol er mwyn cefnogi dysgu. Mae’r ffynonellau uchod yn amlinellu’r pwysigrwydd o amseru gweithgareddau a gosod yr amser priodol ar gyfer pob gweithgaredd. Mae Gorman a Norris (2019, tud.6) hefyd yn sôn bod gweithgareddau gwahanol yn para am wahanol amseroedd, er weithiau gall yr un gweithgaredd cymryd gwahanol amseroedd yn dibynnu ar y math o ddosbarth, sy’n gwrthwynebu safbwynt Snow a Campbell (2017, tud. 66). Mae’n bwysig ystyried bod nifer o wahanol ffactorau i feddwl amdano cyn rhagfynegi'r amser delfrydol ar gyfer gweithgaredd. Dywed Gorman a Norris (2019, tud. 6) ei fod yn ddefnyddiol i ragweld, yn ystod gwers, tua faint o amser mae gweithgaredd yn mynd i gymryd. Galluogir i neud penderfyniadau ynglŷn â phryd mae rhaid cyflymu’r wers er mwyn cyrraedd rhannau o’r wers lle gall dysgu mwy pwysig digwydd, neu fethu rhywbeth allan. Mae Snow a Campbell (2017, tud. 66) yn ychwanegu bo’r gallu i adnabod amseroedd ar gyfer gweithgareddau yn golygu bod athro yn gallu gweld sut mae ei gynnydd cronolegol o fewn y wers yn cyd-fynd gyda beth gynlluniwyd, felly’n fwy ymwybodol os oes angen cyflymu agwedd o’r wers fyny neu arafu. Wrth sôn am gyflymder y wers, mae Gorman a Norris (2019, tud. 6) yn diffinio’n debyg i Goldsmith (2009, tud. 33) uchod; dywed ei fod yn golygu faint o amser rydych yn meddwl mae gweithgareddau’n cymryd o fewn gwers. Parhawyd trwy ddweud gall rhai gweithgareddau teimlo’n araf os maent yn cynnwys canolbwyntio ar un peth am gyfnod o amser, neu’n gyflym os yw'n cynnwys edrych ar nifer o bethau ar unwaith neu gydag elfen o gystadleuaeth. Dywed Foster (2012, tud. 151) bod dysgwyr gwahanol yn gweithio mewn gwahanol ffurf ac ar gyflymderau gwahanol, felly gall fod yn anodd meddwl am faint o amser sydd angen. Weithiau mae’r lefel o egni yn y dosbarth yn gallu newid, felly does dim ‘amser cywir’ i symud ymlaen. Gall fod yn ddefnyddiol i awgrymu tua faint o amser sydd ganddynt ar ôl cyn symud nhw ymlaen i rywbeth arall.</w:t>
      </w:r>
    </w:p>
    <w:p w14:paraId="565C4010" w14:textId="7F61E2BB" w:rsidR="00C17115" w:rsidRPr="00C17115" w:rsidRDefault="00C17115" w:rsidP="00AB44D9">
      <w:pPr>
        <w:autoSpaceDE w:val="0"/>
        <w:autoSpaceDN w:val="0"/>
        <w:adjustRightInd w:val="0"/>
        <w:spacing w:line="360" w:lineRule="auto"/>
        <w:rPr>
          <w:rFonts w:ascii="Arial" w:hAnsi="Arial" w:cs="Arial"/>
        </w:rPr>
      </w:pPr>
      <w:r>
        <w:rPr>
          <w:rFonts w:ascii="Arial" w:hAnsi="Arial" w:cs="Arial"/>
        </w:rPr>
        <w:t xml:space="preserve">Yn yr ymchwiliad yma, rydym yn edrych ar yr effaith mae amseru yn cael ar gyflawniad disgyblion ac yn benodol yn canolbwyntio ar y defnydd o amseryddion. Mae Gorman a Norris (2019, tud. 27) yn awgrymu defnyddio amseryddion er mwyn amseru gweithgareddau er mwyn dod yn fwy ymwybodol o faint o amser mae gweithgareddau’n cymryd gyda gwahanol grwpiau o ddisgyblion. Dywed bod cofnodi’r amseroedd o wahanol </w:t>
      </w:r>
      <w:r>
        <w:rPr>
          <w:rFonts w:ascii="Arial" w:hAnsi="Arial" w:cs="Arial"/>
        </w:rPr>
        <w:lastRenderedPageBreak/>
        <w:t xml:space="preserve">weithgareddau’n syniad da, sydd felly’n gallu ffurfio darlun cliriach a mwy cywir. Awgrymir bo’r defnydd o amseryddion yn ystod gwersi yn rhoi syniad gwell o faint o amser mae gweithgareddau’n cymryd gyda gwahanol ddosbarthiadau. Mae Wright (2006, tud. 1) yn dweud bod amseryddion yn helpu disgyblion i fod yn fwy ymwybodol o’r amser ac yn eu datblygu i fod yn rheolwyr-amser gwell. Hefyd nodwyd sut gall defnydd o amseryddion gwella agweddau gwahanol o fewn y dosbarth megis; annog dyweddïad disgyblion, helpu disgyblion i fonitro eu hamser gweithio, cynyddu llithrigrwydd gweithio disgyblion, cynyddu cymhelliant disgyblion trwy roi lan faint o amser sydd ar ôl yn y wers a gwella ymddygiad dosbarth trwy dynnu ‘dyled amser’ am gam-ymddwyn. Mae Aban a Fontanil (2015, tud. 7) yn cytuno gyda hyn oherwydd ffeindiwyd bod amseryddion sy’n cyfri lawr yn cymhelli disgyblion ac yn gwella’u canolbwyntio. Roedd disgyblion eu hastudiaeth yn sylweddoli bo’r amseryddion yma’n cael effaith cadarnhaol arnynt. Mae Jones (2007, tud. 11) yn ychwanegu bod gosod terfyn amser yn well i ddisgyblion, er mwyn iddynt allu cyflymu eu hunain. Os mae disgyblion yn gwybod faint o amser sydd ganddynt ar ôl, maent yn teimlo eu bod yn gallu dweud mwy a rhannu eu syniadau a’u barnau mewn ffordd fwy cyfforddus. Mae terfyn amser yn annog disgyblion i gymryd eu hamser, ac felly’n ysgogi cyfnewid o safbwyntiau wrth iddynt archwilio mewn i dopig mewn dyfnder a rhannu syniadau. Mae beirniadu faint o amser dylai’r terfyn amser fod yn dibynnu ar faint o amser sydd ar gael a pa mor siaradus yw’r dosbarth. Mae rhybuddio disgyblion o faint o amser sydd ar ôl yn ddefnyddiol, felly maent yn gallu gorffen y gweithgaredd yn foddhaol. Er dywed bod rhaid bod yn hyblyg fel athro, os dyw disgyblion ddim yn mwynhau neu ddim yn cyflawni llawer, gall penderfynu stopio’r gweithgaredd. Ar y llaw arall, os mae’r disgyblion y mwynhau ac yn cyflawni’r gweithgaredd yn dda, rhoi mwy o amser iddynt orffen y dasg o safon.    </w:t>
      </w:r>
    </w:p>
    <w:p w14:paraId="53F54D99" w14:textId="5E29659D" w:rsidR="002706A4" w:rsidRPr="001C3E73" w:rsidRDefault="002706A4" w:rsidP="00AB44D9">
      <w:pPr>
        <w:spacing w:line="360" w:lineRule="auto"/>
        <w:rPr>
          <w:rFonts w:ascii="Arial" w:hAnsi="Arial" w:cs="Arial"/>
          <w:sz w:val="28"/>
          <w:szCs w:val="28"/>
          <w:u w:val="single"/>
        </w:rPr>
      </w:pPr>
      <w:r w:rsidRPr="001C3E73">
        <w:rPr>
          <w:rFonts w:ascii="Arial" w:hAnsi="Arial" w:cs="Arial"/>
          <w:sz w:val="28"/>
          <w:szCs w:val="28"/>
          <w:u w:val="single"/>
        </w:rPr>
        <w:t>Esboniad o Astudiaeth Gwers</w:t>
      </w:r>
      <w:r w:rsidR="00FD1986" w:rsidRPr="001C3E73">
        <w:rPr>
          <w:rFonts w:ascii="Arial" w:hAnsi="Arial" w:cs="Arial"/>
          <w:sz w:val="28"/>
          <w:szCs w:val="28"/>
          <w:u w:val="single"/>
        </w:rPr>
        <w:t xml:space="preserve"> </w:t>
      </w:r>
    </w:p>
    <w:p w14:paraId="06D527D9" w14:textId="77777777" w:rsidR="00C17115" w:rsidRDefault="00C17115" w:rsidP="00AB44D9">
      <w:pPr>
        <w:autoSpaceDE w:val="0"/>
        <w:autoSpaceDN w:val="0"/>
        <w:adjustRightInd w:val="0"/>
        <w:spacing w:line="360" w:lineRule="auto"/>
        <w:rPr>
          <w:rFonts w:ascii="Arial" w:hAnsi="Arial" w:cs="Arial"/>
        </w:rPr>
      </w:pPr>
      <w:r>
        <w:rPr>
          <w:rFonts w:ascii="Arial" w:hAnsi="Arial" w:cs="Arial"/>
        </w:rPr>
        <w:t>Defnyddiom astudiaeth gwers fel rhan o’n ymchwiliad er mwyn casglu’r prif ddata ar gyfer yr ymchwil. Amlinellir Peter Dudley (2014, tud. 1) am yr effaith ceir astudiaeth gwers ar ddatblygu a mireinio addysgeg. Dywed bod astudiaeth gwers yn cynnwys grŵp o athrawon yn cynllunio, addysgu, arsylwi a dadansoddi yn gydweithredol o fewn ‘gwersi ymchwil’. Mae astudiaeth gwers yn ddull penodol o ymchwil sy’n ffocysu ar y datblygiad o wybodaeth am addysgeg athrawon (Dudley, 2014, tud. 1). Dyfynnwyd Robinson, et al (2009) a ddywed bod cyfrannu mewn ymholiadau cydweithredol er mwyn gwella dysgu ac addysgu yw’r gweithrediad mwyaf effeithiol gall arweinwr ysgol cymryd er mwyn gwella canlyniadau addysgiadol ar gyfer disgyblion. Fel rhan o’n hastudiaeth gwers ar gyfer yr ymchwiliad yma, roeddem wedi arsylwi gwersi ein gilydd sydd yn cyd-fynd gyda'r llenyddiaeth uchod. Roedd yr arsylwadau yma’n casglu data ansoddol ar destun yr ymchwil a doedd yr arsylwr ddim yn cyfrannu tuag at y wers.</w:t>
      </w:r>
    </w:p>
    <w:p w14:paraId="02A3DA67" w14:textId="77777777" w:rsidR="00C17115" w:rsidRDefault="00C17115" w:rsidP="00AB44D9">
      <w:pPr>
        <w:autoSpaceDE w:val="0"/>
        <w:autoSpaceDN w:val="0"/>
        <w:adjustRightInd w:val="0"/>
        <w:spacing w:line="360" w:lineRule="auto"/>
        <w:rPr>
          <w:rFonts w:ascii="Arial" w:hAnsi="Arial" w:cs="Arial"/>
        </w:rPr>
      </w:pPr>
      <w:r>
        <w:rPr>
          <w:rFonts w:ascii="Arial" w:hAnsi="Arial" w:cs="Arial"/>
        </w:rPr>
        <w:lastRenderedPageBreak/>
        <w:t xml:space="preserve">Mae Lewis (2002, dyfynnwyd gan Perry a Lewis (2008, tud. 2)) yn cytuno gyda’r esboniad blaenorol trwy ddatgan bod astudiaeth gwers yn gylchred o welliant cyfarwyddol. Parhaodd trwy ddweud bod athrawon yn gweithio gyda’i gilydd er mwyn; ffurfio nodau ar gyfer dysgu a datblygiad hirdymor disgyblion, cynllunio gwers ymchwilio ar y cyd er mwyn dangos y nodau yma, ac ar ôl arsylwi’r wers, adfyfyrio a thrafod y wers er mwyn ei wella. Yn ein hastudiaeth gwers, roeddem yn canolbwyntio ar effaith dulliau o amseru ar gyflawniad y disgyblion yn y wers. Stigler a Hierbert (1999, tud.17) oedd yr awduron cyntaf i ddod ar syniad o astudiaeth gwers draw i’r UDA, a chrynhoir bod y syniad wedi’i seilio ar fodel gwelliant hir-dymor a di-dor, ac yn cynnal ffocws cyson ar ddysgu disgyblion. Mae Lewis (2002, tud. 6) hefyd yn dangos y pwysigrwydd o astudiaethau gwers i Siapan, lle darddwyd y dull ymchwil yma. Mae’n dyfynnu athro o Siapan, sy’n sôn bod astudiaethau gwers gyda gwerth uchel i athrawon Siapaneaidd a byddech ddim yn ffeindio ysgol sydd heb hyn, dyna un rheswm pam mae addysg ledled Siapan yn eithaf safonol. Mae Dudley (2014, tud. 1) yn ychwanegu, fel rhan o astudiaeth gwers, mae rhaid adnabod tair ‘disgybl achos’ sy’n nodweddu holl ddisgyblion y dosbarth. Yna, ar ôl y wers, cyfweld â’r disgyblion achos yma er mwyn darganfod eu mewnwelediad i’r astudiaeth gwers. Fe wnaethom ddefnyddio’r dull yma o ddewis grŵp ffocws er mwyn canolbwyntio arnynt ac yna cyfweld ar ôl y wers.    </w:t>
      </w:r>
    </w:p>
    <w:p w14:paraId="0FF06E14" w14:textId="77777777" w:rsidR="00C17115" w:rsidRDefault="00C17115" w:rsidP="00AB44D9">
      <w:pPr>
        <w:autoSpaceDE w:val="0"/>
        <w:autoSpaceDN w:val="0"/>
        <w:adjustRightInd w:val="0"/>
        <w:spacing w:line="360" w:lineRule="auto"/>
        <w:rPr>
          <w:rFonts w:ascii="Arial" w:hAnsi="Arial" w:cs="Arial"/>
        </w:rPr>
      </w:pPr>
      <w:r>
        <w:rPr>
          <w:rFonts w:ascii="Arial" w:hAnsi="Arial" w:cs="Arial"/>
        </w:rPr>
        <w:t xml:space="preserve">Mae astudiaethau gwers yn ffordd bwerus o wella addysgeg athrawon ac wedi chwarae rôl bwysig mewn datblygiad proffesiynol athrawon Siapan ers dechreuad addysg gyhoeddus y wlad mwy na 100 mlynedd yn ôl. Mae astudiaethau gwers yn galluogi athrawon i wneud synnwyr o’u syniadau addysgiadol gyda’u hymarfer, newid eu safbwyntiau am addysgu a dysgu, dysgu i weld eu hymarfer o safbwynt disgybl a mwynhau cefnogaeth ar y cyd ymhlith cyd-weithwyr (Takahashi a Yoshida, 2004, tud. 438). Mae Lewis (2002, tud. 1) yn cytuno taw un o gryfderau astudiaeth gwers yw datblygiad proffesiynol unigol. Ychwanegir bod lledaenu cynnwys a dulliau newydd ynghyd â chysylltu ymarferion athrawon gyda nodau ysgolion a nodau ehangach yn gryfderau o astudiaeth gwers. Mae hyn yn cyd-fynd gyda chasgliadau Ogegbo, Gaigher a Salagaram (2019, tud. 7), lle drafodwyd bod cynllunio ar y cyd yn brofiad buddiol i’w cyfranogwyr. Mae Archer (2016, tud. 17) yn crynhoi effaith astudiaeth gwers yn dda gan gyfeirio at yr effaith ceir ar ddarpar-athrawon. Dywed bod y dull ymchwil yma’n rhoi’r cyfle i ddarpar-athrawon i weld eu hunain fel arbenigwyr gyda phŵer a ddeilliwyd o’r wybodaeth a’r adfyfyrio o’u cynlluniau. Ar y llaw arall, mae yna rhai cyfyngiadau i’r math yma o ddull ymchwil. Fel darpar-athrawon, mae defnyddio astudiaethau gwers er mwyn gwella gwybodaeth bedagogaidd yn un delfrydol ac effeithiol, fel gwelir uchod. Er, gall rhai problemau codi i athrawon cymhwysol. Mae yna alwad mawr yn ddiweddar i athrawon i gymryd pob cyfle i wella eu dysgu proffesiynol a’u gwybodaeth bedagogaidd, yn unol gyda’r Safonau SAC newydd (Llywodraeth Cymru, 2018, tud. 4). Dywed Chiew, Dali a Lim (2016, </w:t>
      </w:r>
      <w:r>
        <w:rPr>
          <w:rFonts w:ascii="Arial" w:hAnsi="Arial" w:cs="Arial"/>
        </w:rPr>
        <w:lastRenderedPageBreak/>
        <w:t xml:space="preserve">tud. 81) am wahanol resymau posib gall astudiaethau gwers bod yn ddull ymchwil aneffeithiol. Un o’r pwyntiau trafodir yw’r cyfyngiad o amser sydd gan athrawon i gymryd rhan a gweithredu astudiaethau gwers. Golygir dyw athrawon ddim gydag unrhyw ddiddordeb o wella eu dysgu proffesiynol. </w:t>
      </w:r>
    </w:p>
    <w:p w14:paraId="752C1757" w14:textId="32BB8BA5" w:rsidR="00C17115" w:rsidRPr="00C17115" w:rsidRDefault="00C17115" w:rsidP="00AB44D9">
      <w:pPr>
        <w:autoSpaceDE w:val="0"/>
        <w:autoSpaceDN w:val="0"/>
        <w:adjustRightInd w:val="0"/>
        <w:spacing w:line="360" w:lineRule="auto"/>
        <w:rPr>
          <w:rFonts w:ascii="Arial" w:hAnsi="Arial" w:cs="Arial"/>
        </w:rPr>
      </w:pPr>
      <w:r>
        <w:rPr>
          <w:rFonts w:ascii="Arial" w:hAnsi="Arial" w:cs="Arial"/>
        </w:rPr>
        <w:t xml:space="preserve">Trafodwyd y rheswm dros ddefnyddio grwpiau ffocws gan Gibbs (1997), lle ddywed y pwrpas yw darganfod agweddau, teimladau, credoau, profiadau ac ymatebion yr atebwyr. Dywed wrth gymharu gyda chyfweliad unigol, bu’r cyfranogwyr yn cymryd mwy o flaenoriaeth mewn grŵp ffocws. Edrychodd Jarrell (2000, tud. 7) ar y manteision o grwpiau ffocws, a dyfynnwyd Emerson a Maddox (1997, tud. 11), a ddywed eu bod yn hybu trafodaethau rhyngweithiol. Hefyd dyfynnwyd Quible (1998), a ddatganwyd gall sylwadau un cyfranogwr helpu ysgogi ymatebion o bobl eraill. Er dywed Jarrell (2000, tud. 7) gall un cyfranogwr cymryd mwy o reolaeth o’r drafodaeth nag eraill, a gall fod pwysau i ymateb mewn ffordd benodol. Hefyd dywed gall rhai cyfranogwyr teimlo’n anghyfforddus gyda’r diffyg cyfrinachedd. Wrth wneud yr astudiaeth gwers, defnyddiom ddull arsylwi anghyfrannol. Diffinnir arsylwi anghyfrannol  gan Kumar (2019, tud. 174) fel arsylwi lle dyw’r arsylwr ddim yn cyfrannu i weithgareddau’r dosbarth ond yn aros yn arsylwr goddefol, yn gwylio ac yn gwrando ar y gweithgareddau ac yn llunio casgliadau o hyn. Er mae Kumar (2019, tud. 174) hefyd yn nodi’r anfanteision o ddefnyddio arsylwi o fewn ein hastudiaeth gwers. Amlinellwyd bod cael arsylwr o fewn y dosbarth yn gallu newid ymddygiad y disgyblion am y wers hynny, yn gadarnhaol neu’n negyddol, yn dibynnu ar y sefyllfa. Mae’r effaith yma’n cael ei alw yn yr effaith Hawthorne. Ychwanegwyd bod posibilrwydd o fias gan yr arsylwr os dydyn nhw ddim yn ddiduedd. </w:t>
      </w:r>
    </w:p>
    <w:p w14:paraId="20A3AB25" w14:textId="1E5CBCBC" w:rsidR="002706A4" w:rsidRPr="001C3E73" w:rsidRDefault="002706A4" w:rsidP="00AB44D9">
      <w:pPr>
        <w:spacing w:line="360" w:lineRule="auto"/>
        <w:rPr>
          <w:rFonts w:ascii="Arial" w:hAnsi="Arial" w:cs="Arial"/>
          <w:sz w:val="28"/>
          <w:szCs w:val="28"/>
          <w:u w:val="single"/>
        </w:rPr>
      </w:pPr>
      <w:r w:rsidRPr="001C3E73">
        <w:rPr>
          <w:rFonts w:ascii="Arial" w:hAnsi="Arial" w:cs="Arial"/>
          <w:sz w:val="28"/>
          <w:szCs w:val="28"/>
          <w:u w:val="single"/>
        </w:rPr>
        <w:t>Ystyriaethau Moesegol</w:t>
      </w:r>
      <w:r w:rsidR="00FD1986" w:rsidRPr="001C3E73">
        <w:rPr>
          <w:rFonts w:ascii="Arial" w:hAnsi="Arial" w:cs="Arial"/>
          <w:sz w:val="28"/>
          <w:szCs w:val="28"/>
          <w:u w:val="single"/>
        </w:rPr>
        <w:t xml:space="preserve"> </w:t>
      </w:r>
    </w:p>
    <w:p w14:paraId="66C1318A" w14:textId="1C9672A5" w:rsidR="00C17115" w:rsidRPr="005F727D" w:rsidRDefault="00C17115" w:rsidP="00AB44D9">
      <w:pPr>
        <w:spacing w:line="360" w:lineRule="auto"/>
        <w:rPr>
          <w:rFonts w:ascii="Arial" w:hAnsi="Arial" w:cs="Arial"/>
          <w:u w:val="single"/>
        </w:rPr>
      </w:pPr>
      <w:r>
        <w:rPr>
          <w:rFonts w:ascii="Arial" w:hAnsi="Arial" w:cs="Arial"/>
        </w:rPr>
        <w:t>Roedd rhaid ystyried ffactorau moesegol cyn gweithredu’r astudiaeth gwers. Llenwom ffurflen moeseg a gymeradwywyd gan y Brifysgol a oedd yn gwirio pob ystyriaeth foesegol. Roedd yn bwysig ein bod yn trin unigolion a oedd yn cymryd rhan yn yr astudiaeth yn deg, yn sensitif, gydag urddas a rhyddhad o ragfarn yn ôl BERA (2018, tud. 6). Roedd rhaid i ni ystyried y risgiau moesegol i’r cyfranogwyr, yr ymchwilwyr a’r Brifysgol. Roedd rhaid derbyn cydsyniad y cyfranogwyr (y tri disgybl o’r grŵp ffocws) trwy ddanfon llythyr yn esbonio’r trefniadau iddynt i gael llofnod rhiant. Er mwyn cadw cyfrinachedd, doeddem ddim yn enwi’r cyfranogwyr neu’r ysgol. Hefyd doeddem ddim yn rhannu’r data gydag unrhyw un ac roeddem yn cadw’r data’n ddiogel ac ar ôl derbyn canlyniadau’r modiwl, gwaredu’r data.</w:t>
      </w:r>
    </w:p>
    <w:p w14:paraId="6719664C" w14:textId="306CF686" w:rsidR="002706A4" w:rsidRPr="001C3E73" w:rsidRDefault="002706A4" w:rsidP="00AB44D9">
      <w:pPr>
        <w:spacing w:line="360" w:lineRule="auto"/>
        <w:rPr>
          <w:rFonts w:ascii="Arial" w:hAnsi="Arial" w:cs="Arial"/>
          <w:sz w:val="28"/>
          <w:szCs w:val="28"/>
          <w:u w:val="single"/>
        </w:rPr>
      </w:pPr>
      <w:r w:rsidRPr="001C3E73">
        <w:rPr>
          <w:rFonts w:ascii="Arial" w:hAnsi="Arial" w:cs="Arial"/>
          <w:sz w:val="28"/>
          <w:szCs w:val="28"/>
          <w:u w:val="single"/>
        </w:rPr>
        <w:t>Canlyniadau Astudiaeth Gwers 1 a 2 a dadansoddiadau</w:t>
      </w:r>
    </w:p>
    <w:p w14:paraId="5F3A2E65" w14:textId="282E2CED" w:rsidR="00C17115" w:rsidRDefault="00C17115" w:rsidP="00AB44D9">
      <w:pPr>
        <w:autoSpaceDE w:val="0"/>
        <w:autoSpaceDN w:val="0"/>
        <w:adjustRightInd w:val="0"/>
        <w:spacing w:line="360" w:lineRule="auto"/>
        <w:rPr>
          <w:rFonts w:ascii="Arial" w:hAnsi="Arial" w:cs="Arial"/>
        </w:rPr>
      </w:pPr>
      <w:r>
        <w:rPr>
          <w:rFonts w:ascii="Arial" w:hAnsi="Arial" w:cs="Arial"/>
        </w:rPr>
        <w:lastRenderedPageBreak/>
        <w:t xml:space="preserve">I ddechrau ateb ein cwestiwn ymchwil, cynlluniom ein hastudiaethau gwers. Pwrpas yr astudiaethau gwers yma oedd gweld os oedd defnydd o amseryddion ac atgyfnerthu faint o amser sydd ar ôl i neud gweithgaredd yn Nod y wers ar gyfer Astudiaeth Gwers 1 oedd cynyddu a lleihau rhifau trwy ddefnyddio canrannau. Defnyddiais amrywiaeth o weithgareddau er mwyn helpu’r plant i gyrraedd nod y wers. Dechreuodd y wers trwy atgofio gwybodaeth o wersi blaenorol a oedd yn angenrheidiol ar gyfer y wers yma. Roedd y gweithgareddau yma’n ymestyn gallu’r disgyblion ac yn ystyried yr amrywiaeth o alluoedd yn y dosbarth canol yma. Roedd y wers hefyd yn cyd-blethu cyd-destunau bywyd go iawn er mwyn ymestyn a herio’r disgyblion. Sicrheais bo’r disgyblion yn dod mewn i’r dosbarth ac yn canolbwyntio ar y dasg gychwynnol yn effeithiol, fel gwelir yn Atodiad 1. Roedd y defnydd o amserydd gweladwy ar y bwrdd gwyn rhyngweithiol yn helpu hwyluso’r proses ar ddechrau’r wers i gynnal distawrwydd a chanolbwyntio’r disgyblion. Roedd y tawelwch yma’n helpu rheoli’r amgylchedd dysgu ac roeddwn yn medru helpu unigolion yn fwy effeithiol os roeddent angen cymorth. Defnyddiais dasgau a oedd yn hybu rhyngweithio a gofyn cwestiynau yn aml i’r dosbarth er mwyn cynyddu eu dyweddïad i’r wers. Wrth fynd trwy enghreifftiau a chyflwyno testun y wers, roedd y disgyblion yn weithgar ac yn ateb cwestiynau’n dda, yn profi eu dealltwriaeth wrth wneud hyn. Yn ystod y dasg nesaf, roedd gan y disgyblion y cyfle i weithio mewn parau er mwyn profi eu dealltwriaeth ar y cysyniad roeddwn wedi cyflwyno iddynt yn flaenorol. Fel gwelir yn Atodiad 1, roeddwn yn atgyfnerthu faint o amser roedd gan y dosbarth ar ôl  ar gyfer pob cwestiwn. Hefyd dywed ni ddefnyddiais amserydd gweladwy ar y bwrdd yn ystod y dasg yma. Pwysleisir yn Atodiad 3 bod defnyddio amserydd gweladwy ar y bwrdd gwyn rhyngweithiol ynghyd ag atgyfnerthu faint o amser sydd ar ôl ar lafar yn fwy effeithiol ac yn gallu cwrdd ag anghenion a hoffter pob disgybl. Yn ystod y brif dasg, roeddwn yn atgoffa’r dosbarth o’r faint o amser oedd ar ôl ar lafar yn aml, ac roedd rhan fwyaf o’r disgyblion wedi cyflawni nifer ddigonol o waith yn ystod yr amser yma. Roedd nifer o gwestiynau ar gyfer yr ymarfer yma, ac roeddwn yn bwriadu rhoi mwy na 5 munud iddynt neud y cwestiynau yma, ond doeddwn heb reoli’r amser yn ystod y wers yn ddigon da. Ar ddiwedd y wers roedd yn amlwg bod rhai disgyblion wedi deall cysyniad y wers ac wedi cyrraedd nod y wers. Er, doedd hyn ddim yn wir ar gyfer pob disgybl. Roedd y wers yma’n rhoi’r cyfle i’r disgyblion i ddatblygu ac adeiladu ar eu sgiliau a dealltwriaeth o’r gwersi blaenorol. Ar gyfer y tro nesaf, gellir gwella’r wers trwy ddefnyddio’r amseryddion gweladwy ar y bwrdd ar gyfer pob tasg. Fel gwelir yn Atodiadau 1 a 3, mae’n amlwg roedd y tasgau a oedd heb amserydd ar y bwrdd gwyn gyda mwy o aflonyddwch a llai o gyflawniad i gymharu gyda’r dasg a oedd yn defnyddio’r amserydd yma. Gall fy mod wedi cael gwell ystyriaeth o faint o amser roeddwn yn cymryd i esbonio cysyniad y wers. Collais lawer o amser yn gwneud hyn, a chafwyd effaith ar faint o amser oedd ar ôl yn y wers ar gyfer y brif dasg. Bu’r ymchwil a gasglwyd yn ystod yr astudiaeth gwers yma’n </w:t>
      </w:r>
      <w:r>
        <w:rPr>
          <w:rFonts w:ascii="Arial" w:hAnsi="Arial" w:cs="Arial"/>
        </w:rPr>
        <w:lastRenderedPageBreak/>
        <w:t xml:space="preserve">fwy cywir os roeddwn yn gweithredu’r astudiaeth yma dros gyfnod o wersi. Bydd gwneud hyn yn sicrhau canlyniadau mwy clir a galluogir i fesur cyflawniad y disgyblion yn well. Bu’r dystiolaeth yma’n fwy cywir oherwydd galluogir i weld yr effaith yn well dros gyfres o wersi. Dysgais hefyd bydd gweithredu dros gyfnod o wersi yn galluogi’r ymchwilwyr i arsylwi a chyfweld gyda gwahanol ddisgyblion o’r dosbarth, felly’n creu darlun ehangach o effaith yr ymchwil arnynt. Dysgom o’r wers bod defnyddio amseryddion ac atgyfnerthu ar lafar faint o amser sydd gyda’r disgyblion i orffen gweithgaredd yn effeithiol iawn, oni bai bo’r amser yn realistig, gwelir Atodiad 3. Dysgais fod canlyniadau’r astudiaeth gwers yma’n fwy dilys o ganlyniad i’r dosbarth set ganol gydag amrywiaeth mawr o alluoedd. </w:t>
      </w:r>
    </w:p>
    <w:p w14:paraId="490D5F42" w14:textId="77777777" w:rsidR="00C17115" w:rsidRDefault="00C17115" w:rsidP="00AB44D9">
      <w:pPr>
        <w:autoSpaceDE w:val="0"/>
        <w:autoSpaceDN w:val="0"/>
        <w:adjustRightInd w:val="0"/>
        <w:spacing w:line="360" w:lineRule="auto"/>
        <w:rPr>
          <w:rFonts w:ascii="Arial" w:hAnsi="Arial" w:cs="Arial"/>
        </w:rPr>
      </w:pPr>
      <w:r>
        <w:rPr>
          <w:rFonts w:ascii="Arial" w:hAnsi="Arial" w:cs="Arial"/>
        </w:rPr>
        <w:t xml:space="preserve">Yn ystod Astudiaeth Gwers 2, roeddwn yn arsylwi fy mhartner yn addysgu dosbarth set dop Blwyddyn 8 am y Rhyfel Byd Cyntaf. Yn debyg i Astudiaeth Gwers 1, defnyddiodd fy mhartner amrywiaeth o weithgareddau yn ystod y wers i gynnal cyflymder y dysgu a chadw diddordeb y disgyblion. O’r cychwyn, defnyddiwyd amseru ar lafar er mwyn setlo’r disgyblion ar ddechrau’r wers a chael rheolaeth dros yr amgylchedd dysgu. Roedd y disgyblion yn eithaf siaradus ar ddechrau’r wers ac ar ddechrau’r dasg gyntaf, fel gwelir yn Atodiad 2, ond wrth atgyfnerthu faint o amser roedd gan y dosbarth ar ôl i orffen y dasg, roedd y sŵn yn tawelu’n sylweddol. Golygir roedd y disgyblion yn canolbwyntio’n fwy ar y dasg a gyda llai o wrthdyniadau. Fel tasg fach ar ddechrau’r wers, gofynnodd fy mhartner i’r dosbarth i drafod llun a ddangoswyd ar y bwrdd gwyn. Roedd fy mhartner yn defnyddio dull amseru atgyfnerthol ar lafar yn amlwg yn ystod y dasg yma. Ar y cychwyn, doedd y disgyblion ddim yn ymateb i’r amseru yma, ond erbyn y diwedd roeddent yn ymwybodol roedd rhaid iddynt weithio’n galetach er mwyn gorffen y dasg ar amser. Yna, ar ôl cynnal trafodaeth dosbarth am wahanol luniau o’r Rhyfel Byd Cyntaf a thrafod eu harwyddocâd, cyflwynwyd prif dasg y wers. Gosododd fy mhartner amserydd gweladwy ar y bwrdd gwyn ar flaen y dosbarth fel bod pawb yn y dosbarth yn gallu ei weld. Ar adegau penodol yn ystod y dasg roedd fy mhartner yn atgyfnerthu faint o amser oedd ar ôl gyda’r disgyblion i wneud y dasg ar lafar. Roedd effaith hyn yn amlwg i weld oherwydd roedd lefel y sŵn yn y dosbarth yn lleihau’n sylweddol pan oedd 5 munud ar ôl o’r dasg. Dywed fy mhartner bod rhaid iddynt roi o leiaf dau bwynt ar gyfer pob llun ar eu taflen erbyn diwedd yr amser. Golygir bod rhai disgyblion yn meddwl eu bod wedi gorffen y dasg ar ôl neud dau bwynt, felly’n siarad am weddill yr amser ac yn cynyddu’r aflonyddwch yn y dosbarth. Er, roedd fy mhartner, trwy ddefnyddio’r amserydd, wedi sicrhau bod pawb yn y dosbarth wedi cwblhau digon o waith i ddangos eu bod wedi cyrraedd nod y wers. Gwelir yn Atodiad 4, roedd yn amlwg bod cynnwys y wers yn effeithiol wrth helpu’r disgyblion i gyrraedd nod y wers ynghyd â’r amrywiaeth o dasgau. Ar gyfer astudiaeth gwers arall, gall y cynnwys o fwy o dasgau bach creu darlun cliriach o’r effaith o amseru ar y dosbarth. Er roedd yr amseru’n effeithiol yn y wers yma, gellir gwneud </w:t>
      </w:r>
      <w:r>
        <w:rPr>
          <w:rFonts w:ascii="Arial" w:hAnsi="Arial" w:cs="Arial"/>
        </w:rPr>
        <w:lastRenderedPageBreak/>
        <w:t>y canlyniadau’n fwy cywir a dibynadwy os defnyddir y dulliau amseru’n fwy aml ar gyfer gwahanol dasgau yn ystod y wers. Dysgom o’r astudiaeth gwers benodol yma bod amserydd gweladwy ar flaen y dosbarth yn ffordd dda o gynnal canolbwyntio’r dosbarth, er mae angen atgyfnerthu faint o amser sydd ar ôl ar lafar hefyd. Roedd rhaid gwneud hyn oherwydd doedd rhai disgyblion ddim yn talu sylw i faint o amser oedd ganddynt ar ôl yn annibynnol. Hefyd, fel gwelir yn Atodiad 4, roedd y grŵp ffocws dewiswyd o’r dosbarth yma’n defnyddio’r amserydd gweladwy ar flaen y dosbarth, felly bydd yn fwy diddorol i gyfweld ag unigolion a oedd ddim yn defnyddio’r amserydd yma a’r rhesymau dros hyn. Fel arsylwr, roeddwn yn eistedd ar flaen y dosbarth am y wers i gyd a doeddwn ddim yn gweld gwaith y disgyblion. Er mwyn dysgu o’r profiad yma, gallwn grwydro’r dosbarth yn ystod y brif dasg i weld safon gwaith y disgyblion a chael syniad gwell o ymdrech ac ymateb y disgyblion i’r amserydd.</w:t>
      </w:r>
    </w:p>
    <w:p w14:paraId="0E7E48EE" w14:textId="493D91E5" w:rsidR="00C17115" w:rsidRPr="00C17115" w:rsidRDefault="00C17115" w:rsidP="00AB44D9">
      <w:pPr>
        <w:autoSpaceDE w:val="0"/>
        <w:autoSpaceDN w:val="0"/>
        <w:adjustRightInd w:val="0"/>
        <w:spacing w:line="360" w:lineRule="auto"/>
        <w:rPr>
          <w:rFonts w:ascii="Arial" w:hAnsi="Arial" w:cs="Arial"/>
        </w:rPr>
      </w:pPr>
      <w:r>
        <w:rPr>
          <w:rFonts w:ascii="Arial" w:hAnsi="Arial" w:cs="Arial"/>
        </w:rPr>
        <w:t xml:space="preserve">Dros y ddwy astudiaeth gwers, roedd yr offerynnau ymchwilio yn rhai effeithiol ond gellir gwella cywirdeb y canlyniadau trwy recordio’r gwersi yn hytrach na dibynnu ar nodiadau arsylwi yn unig. Er yr ystyriaethau moesegol, bu’r dull yma’n sicrhau bu’r ymchwilwyr yn gallu edrych ar agweddau o’r wers mewn mwy o fanylder cymaint o weithiau ag sydd angen. Ar y llaw arall, bydd dull o fwy nag un arsylwr yn arsylwi’r wers yn broses haws a llai cymhleth. Rhoddir barn eilaidd ar yr astudiaeth gwers a fydd yn sicrhau gwell dibynadwyedd. </w:t>
      </w:r>
    </w:p>
    <w:p w14:paraId="1B40707C" w14:textId="11873D69" w:rsidR="002706A4" w:rsidRPr="001C3E73" w:rsidRDefault="002706A4" w:rsidP="00AB44D9">
      <w:pPr>
        <w:spacing w:line="360" w:lineRule="auto"/>
        <w:rPr>
          <w:rFonts w:ascii="Arial" w:hAnsi="Arial" w:cs="Arial"/>
          <w:sz w:val="28"/>
          <w:szCs w:val="28"/>
          <w:u w:val="single"/>
        </w:rPr>
      </w:pPr>
      <w:r w:rsidRPr="001C3E73">
        <w:rPr>
          <w:rFonts w:ascii="Arial" w:hAnsi="Arial" w:cs="Arial"/>
          <w:sz w:val="28"/>
          <w:szCs w:val="28"/>
          <w:u w:val="single"/>
        </w:rPr>
        <w:t>Trafodaeth ar ganfyddiadau ymchwil mewn perthynas â llenyddiaeth ac ymchwil cysylltiedig</w:t>
      </w:r>
      <w:r w:rsidR="00FD1986" w:rsidRPr="001C3E73">
        <w:rPr>
          <w:rFonts w:ascii="Arial" w:hAnsi="Arial" w:cs="Arial"/>
          <w:sz w:val="28"/>
          <w:szCs w:val="28"/>
          <w:u w:val="single"/>
        </w:rPr>
        <w:t xml:space="preserve"> </w:t>
      </w:r>
    </w:p>
    <w:p w14:paraId="0C4BB28D" w14:textId="4F0D70B0" w:rsidR="00C17115" w:rsidRPr="005F727D" w:rsidRDefault="00C17115" w:rsidP="00AB44D9">
      <w:pPr>
        <w:spacing w:line="360" w:lineRule="auto"/>
        <w:rPr>
          <w:rFonts w:ascii="Arial" w:hAnsi="Arial" w:cs="Arial"/>
          <w:u w:val="single"/>
        </w:rPr>
      </w:pPr>
      <w:r>
        <w:rPr>
          <w:rFonts w:ascii="Arial" w:hAnsi="Arial" w:cs="Arial"/>
        </w:rPr>
        <w:t xml:space="preserve">Mae’r ddwy astudiaeth yn dangos yr effaith cadarnhaol o’r defnydd o amseryddion ac amseru tasgau yn ystod y wers ar gyflawniad disgyblion. Gwelir yn Atodiadau 3 a 4 yr effaith cafwyd yr amseryddion a’r amseru atgyfnerthol ar lafar ar y disgyblion yn ystod y ddwy wers. Dywed yn Atodiad 3 bo’r disgyblion yn teimlo bo’r amseru yma wedi effeithio’n gadarnhaol ar eu gwaith nhw. Dywed bo’r amseru wedi gorfodi iddynt i weithio’n gyflymach ac nad oedd wedi dirywio eu safon o waith. Hefyd gwelir yn Atodiad 3 bo’r disgyblion yn cytuno bo’r defnydd o amserydd gweladwy ynghyd ag atgyfnerthu amser ar lafar yw’r dull mwyaf effeithiol, yn lle defnyddio nhw ar eu pen eu hun. Mae hyn yn cyd-fynd gyda beth ddywed Aban, Krizzel a Fontanil (2015, tud. 7) a gyfeiriais at yn flaenorol, a ddywed bod defnyddio amseryddion sy’n cyfri lawr yn helpu cynyddu canolbwyntio disgyblion. Roedd hyn hefyd yn amlwg wrth edrych ar Atodiadau 1 a 2, lle ddywed bod canolbwyntio’r disgyblion wedi gwella wrth i’r athro amseru’r gweithgareddau ac atgyfnerthu faint o amser oedd ar ôl ar lafar. Dywed y disgyblion eu bod yn teimlo o dan bwysau i orffen y gwaith, a welwyd fel rhywbeth positif o’r amseru. Hefyd dywed bod defnyddio’r amserydd gweladwy yn ystod gweithgaredd yn galluogi iddynt amseru eu hunain yn annibynnol, a gallu rheoli pa mor gyflym maent yn </w:t>
      </w:r>
      <w:r>
        <w:rPr>
          <w:rFonts w:ascii="Arial" w:hAnsi="Arial" w:cs="Arial"/>
        </w:rPr>
        <w:lastRenderedPageBreak/>
        <w:t>gwneud y gwaith. Mae hyn yn cyd-fynd gyda beth ddywed Jones (2007, tud. 11) a sonnir uchod, lle ddywed am y defnydd o amseryddion yn galluogi disgyblion i gyflymu eu hunain wrth wneud tasg. Roedd yr amseru yma’n golygu bo’r disgyblion yn dangos ymddygiad ar-dasg yn ystod gweithgareddau ac felly’n haws i’r athro i reoli’r amgylchedd dysgu ac asesu dealltwriaeth. Roedd y dull defnyddiom ar gyfer yr ymchwil yma’n un effeithiol oherwydd defnyddiom amseryddion ar y bwrdd gwyn yn ystod gweithgareddau ac yn atgyfnerthu’r amser oedd ar ôl ar lafar, a oedd yn ffordd dda o fesur yr effaith ceir yr amseru yma ar gyflawniad y disgyblion yn ystod y tasgau. Er gellir ddadlau ei fod yn bwysig ystyried amseru’r athro o’r wers gyfan fel ffactor sy’n effeithio ar gyflawniad hefyd. Er enghraifft, faint o amser mae’r athro’n cymryd yn siarad o flaen y dosbarth, ydy’r athro’n cynnal cyflymder y dysgu? Ydy cyflymder y wers yn rhy araf neu gyflym? Mae amseru o’r agweddau yma o’r wers yn bwysig oherwydd effeithir ar gyflawniad y disgyblion yn ystod y wers hefyd. Agwedd pwysig arall goruchwyliwyd yn aml yw’r trawsnewidiadau (</w:t>
      </w:r>
      <w:r>
        <w:rPr>
          <w:rFonts w:ascii="Arial" w:hAnsi="Arial" w:cs="Arial"/>
          <w:i/>
          <w:iCs/>
        </w:rPr>
        <w:t>transitions</w:t>
      </w:r>
      <w:r>
        <w:rPr>
          <w:rFonts w:ascii="Arial" w:hAnsi="Arial" w:cs="Arial"/>
        </w:rPr>
        <w:t>) rhwng rhannau o’r wers. Pwysleisir y pwysigrwydd o drawsnewidiadau gan Marzano, Pickering a Heflebower (2011, tud. 2) a ddywed bod y rhain yn ardaloedd pwysig sydd gyda dylanwad ar gyflymder gwers. Ychwanegir bod rhaid i ddisgyblion gwybod yn gwmws pryd mae gweithgareddau’n dechrau, faint o amser sydd ganddynt a phryd byddent yn gorffen. Awgrymir ei fod yn bwysig i fesur effeithlonrwydd yr athro o sut ddelir gyda thrawsnewidiadau yn ystod y wers oherwydd ceir effaith sylweddol ar gyflawniad disgyblion.</w:t>
      </w:r>
    </w:p>
    <w:p w14:paraId="7A0EBE19" w14:textId="42E3601A" w:rsidR="002706A4" w:rsidRPr="00670E18" w:rsidRDefault="002706A4" w:rsidP="00AB44D9">
      <w:pPr>
        <w:spacing w:line="360" w:lineRule="auto"/>
        <w:rPr>
          <w:rFonts w:ascii="Arial" w:hAnsi="Arial" w:cs="Arial"/>
          <w:sz w:val="28"/>
          <w:szCs w:val="28"/>
          <w:u w:val="single"/>
        </w:rPr>
      </w:pPr>
      <w:r w:rsidRPr="00670E18">
        <w:rPr>
          <w:rFonts w:ascii="Arial" w:hAnsi="Arial" w:cs="Arial"/>
          <w:sz w:val="28"/>
          <w:szCs w:val="28"/>
          <w:u w:val="single"/>
        </w:rPr>
        <w:t>Casgliad</w:t>
      </w:r>
      <w:r w:rsidR="00FD1986" w:rsidRPr="00670E18">
        <w:rPr>
          <w:rFonts w:ascii="Arial" w:hAnsi="Arial" w:cs="Arial"/>
          <w:sz w:val="28"/>
          <w:szCs w:val="28"/>
          <w:u w:val="single"/>
        </w:rPr>
        <w:t xml:space="preserve"> </w:t>
      </w:r>
    </w:p>
    <w:p w14:paraId="25DE33EE" w14:textId="77777777" w:rsidR="00C17115" w:rsidRDefault="00C17115" w:rsidP="00AB44D9">
      <w:pPr>
        <w:autoSpaceDE w:val="0"/>
        <w:autoSpaceDN w:val="0"/>
        <w:adjustRightInd w:val="0"/>
        <w:spacing w:line="360" w:lineRule="auto"/>
        <w:jc w:val="both"/>
        <w:rPr>
          <w:rFonts w:ascii="Arial" w:hAnsi="Arial" w:cs="Arial"/>
        </w:rPr>
      </w:pPr>
      <w:r>
        <w:rPr>
          <w:rFonts w:ascii="Arial" w:hAnsi="Arial" w:cs="Arial"/>
        </w:rPr>
        <w:t>I gasglu, roedd yr astudiaeth gwers yn ddull ymchwil effeithiol er mwyn ateb y cwestiwn ymchwil ar gyfer yr ymchwiliad yma. Defnyddiom dulliau casglu data megis taflen arsylwi a chyfweliad gyda grŵp ffocws er mwyn gweld canlyniadau’r ymchwil yn glir. Ar gyfer ein astudiaeth gwers, defnyddiom amseryddion gweladwy ar flaen y dosbarth ac atgyfnerthu faint o amser oedd ar ôl gan y disgyblion ar lafar yn aml, fel sonnir uchod. Byddaf yn casglu trwy drafod dibynadwyedd y dulliau yma a pha mor gywir yw’r canlyniadau.</w:t>
      </w:r>
    </w:p>
    <w:p w14:paraId="587B095A" w14:textId="77777777" w:rsidR="00C17115" w:rsidRDefault="00C17115" w:rsidP="00AB44D9">
      <w:pPr>
        <w:autoSpaceDE w:val="0"/>
        <w:autoSpaceDN w:val="0"/>
        <w:adjustRightInd w:val="0"/>
        <w:spacing w:line="360" w:lineRule="auto"/>
        <w:jc w:val="both"/>
        <w:rPr>
          <w:rFonts w:ascii="Arial" w:hAnsi="Arial" w:cs="Arial"/>
        </w:rPr>
      </w:pPr>
      <w:r>
        <w:rPr>
          <w:rFonts w:ascii="Arial" w:hAnsi="Arial" w:cs="Arial"/>
        </w:rPr>
        <w:t xml:space="preserve">Yn ystod ein hastudiaethau gwers, defnyddiom ddulliau arsylwi a chyfweliad gyda grŵp ffocws ar ôl y wers er mwyn casglu data. Daw’r dulliau yma gyda’u cryfderau a’u gwendidau. Roedd dilyn taflen arsylwi yn fuddiol oherwydd roedd yr arsylwr yn gwybod yn gwmws beth i edrych amdano yn ystod y wers. Y prif agweddau roeddem yn edrych amdano oedd defnydd yr athro o amseryddion a faint roedd y disgyblion wedi cyflawni yn ystod y wers, felly roedd arsylwr a oedd yn dilyn taflen arsylwi yn helpu cofnodi’r wybodaeth yma. Er dweud hyn, gall y data casglwyd gan yr arsylwr yn ystod y wers bod yn fwy dibynadwy os roedd mwy nag un arsylwr yn y dosbarth yn cofnodi, er mwyn sicrhau bod dim data yn cael eu colli. Dywed Dudley (2011, tud. 9) dylai arsylwr cael ffocws mwy ar ddisgyblion y grŵp ffocws. Wrth arsylwi ein </w:t>
      </w:r>
      <w:r>
        <w:rPr>
          <w:rFonts w:ascii="Arial" w:hAnsi="Arial" w:cs="Arial"/>
        </w:rPr>
        <w:lastRenderedPageBreak/>
        <w:t xml:space="preserve">hastudiaethau gwers ni, roeddem yn edrych gyda golwg mwy cyffredinol, yn hytrach na chanolbwyntio ar y disgyblion a oedd yn rhan o’r grŵp ffocws. Bydd recordio’r wers yn golygu canlyniadau clirach a mwy cywir, yn enwedig os weithredwyd dros gyfres o wersi. Yn gyffredinol,  gall defnydd o’r dulliau casglu data trwy astudiaeth gwers cael effaith sylweddol ar sut mae disgyblion yn gweithio. Fel sonnir yn flaenorol, gall yr ymwybyddiaeth bod astudiaeth gwers yn digwydd gwneud i’r disgyblion gweithio ac ymddwyn mewn ffordd sy’n wahanol i’r arfer. </w:t>
      </w:r>
    </w:p>
    <w:p w14:paraId="03229E03" w14:textId="77777777" w:rsidR="00C17115" w:rsidRDefault="00C17115" w:rsidP="00AB44D9">
      <w:pPr>
        <w:autoSpaceDE w:val="0"/>
        <w:autoSpaceDN w:val="0"/>
        <w:adjustRightInd w:val="0"/>
        <w:spacing w:line="360" w:lineRule="auto"/>
        <w:jc w:val="both"/>
        <w:rPr>
          <w:rFonts w:ascii="Arial" w:hAnsi="Arial" w:cs="Arial"/>
        </w:rPr>
      </w:pPr>
      <w:r>
        <w:rPr>
          <w:rFonts w:ascii="Arial" w:hAnsi="Arial" w:cs="Arial"/>
        </w:rPr>
        <w:t xml:space="preserve">Er mwyn defnyddio’r astudiaeth gwers i ymchwilio mewn i’r cwestiwn ymchwil, roeddem angen penderfynu sut roeddem yn mynd i ddarganfod y data roedd angen. Fel sonnir yn barod, defnyddiom amseryddion gweladwy ac atgyfnerthu amser ar lafar. Roedd y dulliau yma’n fuddiol oherwydd roeddent yn galluogi’r arsylwr i weld yr effaith ar gyflawniad disgyblion. Er, roedd yn anodd i’r arsylwr i fesur cyflawniad disgyblion yn uniongyrchol o ganlyniad i’r amserydd. Mae cyflawniad disgyblion yn ystod gwers yn dibynnu ar ffactorau eraill er enghraifft, rhaid ystyried amseru’r athro wrth gyflwyno gwybodaeth a gweithgareddau ynghyd â dealltwriaeth y disgyblion. Bydd defnyddio’r amseryddion ac amseru gweithgareddau dros gyfnod o wersi yn rhoi darlun clirach o’r effaith ceir ar gyflawniad disgyblion oherwydd y nifer o ffactorau yma. Yn ystod fy ngwers i, roedd yn anodd mesur y maint orau o amser ar gyfer tasgau gwahanol. Weithiau, roeddwn yn rhoi gormod o amser ar gyfer un gweithgaredd, felly mae’n bwysig cael syniad clirach o faint o amser dylai tasg cymryd i ddosbarth penodol. Fel dywed yn flaenorol, mae Gorman a Norris (2019, tud. 27) yn awgrymu bod amseru gweithgareddau yn rhoi gwell syniad i athrawon o faint o amser dylai gweithgareddau cymryd yn y dyfodol. Golygir bu’r astudiaeth gwers yma’n fwy llwyddiannus yn ateb y cwestiwn ymchwil gydag athro mwy profiadol yn addysgu’r wers, oherwydd byddent gyda syniad gwell o faint o amser bydd gweithgareddau penodol yn cymryd gyda’u disgyblion nhw. </w:t>
      </w:r>
    </w:p>
    <w:p w14:paraId="27EAA8BA" w14:textId="6214842C" w:rsidR="00C17115" w:rsidRPr="005F727D" w:rsidRDefault="00C17115" w:rsidP="00AB44D9">
      <w:pPr>
        <w:spacing w:line="360" w:lineRule="auto"/>
        <w:rPr>
          <w:rFonts w:ascii="Arial" w:hAnsi="Arial" w:cs="Arial"/>
          <w:u w:val="single"/>
        </w:rPr>
      </w:pPr>
      <w:r>
        <w:rPr>
          <w:rFonts w:ascii="Arial" w:hAnsi="Arial" w:cs="Arial"/>
        </w:rPr>
        <w:t>Byddaf yn sicr yn defnyddio dulliau amseru’n fwy aml yn ystod fy mhrofiad dysgu nesaf. Gwelwn o’r ymchwiliad yma bod defnyddio amseryddion ac atgyfnerthu ar lafar yn dylanwadu’n bositif ar gyflawniad disgyblion yn ystod gweithgareddau. Bydd defnyddio’r dulliau yma yn helpu i mi gael syniad gwell o amseru yn ystod gwersi a fydd yn gwneud fy ngwersi’n fwy effeithlon yn y dyfodol, gyda llai o wastraff amser. Os byddaf yn gwneud yr astudiaeth gwers eto, byddaf yn sicrhau bod mwy o bwyslais yn cael ei rhoi ar y disgyblion sy’n rhan o’r grŵp ffocws, trwy ddefnyddio mwy nag un arsylwr yn arsylwi’r wers. Hefyd byddaf yn sicrhau fy mod yn paratoi’n drylwyr a chynllunio faint o amser bydd pob agwedd o bob gweithgaredd yn cymryd, ac yn glynu wrthynt. Wrth gwrs, bydd hyn yn fwy effeithiol gyda phrofiad.</w:t>
      </w:r>
    </w:p>
    <w:p w14:paraId="1FEC3D4C" w14:textId="21A13C88" w:rsidR="002706A4" w:rsidRPr="00670E18" w:rsidRDefault="002706A4" w:rsidP="00AB44D9">
      <w:pPr>
        <w:spacing w:line="360" w:lineRule="auto"/>
        <w:rPr>
          <w:rFonts w:ascii="Arial" w:hAnsi="Arial" w:cs="Arial"/>
          <w:sz w:val="28"/>
          <w:szCs w:val="28"/>
          <w:u w:val="single"/>
        </w:rPr>
      </w:pPr>
      <w:r w:rsidRPr="00670E18">
        <w:rPr>
          <w:rFonts w:ascii="Arial" w:hAnsi="Arial" w:cs="Arial"/>
          <w:sz w:val="28"/>
          <w:szCs w:val="28"/>
          <w:u w:val="single"/>
        </w:rPr>
        <w:t>Argymhellion</w:t>
      </w:r>
      <w:r w:rsidR="00FD1986" w:rsidRPr="00670E18">
        <w:rPr>
          <w:rFonts w:ascii="Arial" w:hAnsi="Arial" w:cs="Arial"/>
          <w:sz w:val="28"/>
          <w:szCs w:val="28"/>
          <w:u w:val="single"/>
        </w:rPr>
        <w:t xml:space="preserve"> </w:t>
      </w:r>
    </w:p>
    <w:p w14:paraId="419BF8B6" w14:textId="7A003E99" w:rsidR="00C17115" w:rsidRDefault="00C17115" w:rsidP="00AB44D9">
      <w:pPr>
        <w:spacing w:line="360" w:lineRule="auto"/>
        <w:rPr>
          <w:rFonts w:ascii="Arial" w:hAnsi="Arial" w:cs="Arial"/>
        </w:rPr>
      </w:pPr>
      <w:r>
        <w:rPr>
          <w:rFonts w:ascii="Arial" w:hAnsi="Arial" w:cs="Arial"/>
        </w:rPr>
        <w:lastRenderedPageBreak/>
        <w:t>Mae’r ymchwil yma wedi awgrymu bod amseru gweithgareddau o fewn gwersi yn cael effaith cadarnhaol ar gyflawniad disgyblion. Mae’r ymchwil yn dangos bod amseru’n ffactor pwysig sy’n dylanwadu ar gyflawniad disgyblion, a dylai unrhyw ymchwil sy’n cael ei wneud mewn i’r maes yma ystyried amseru. Os byddaf yn neud yr ymchwil yma eto, byddaf yn sicrhau fy mod yn gwneud dros gyfnod o wersi sy’n rhoi mwy o gyfle i brofi’r cyferbyniad rhwng y defnydd o amseryddion a chyflawniad. Hefyd byddaf yn sicrhau fy mod yn meddwl am faint o amser rwyf am roi ar gyfer pob tasg fach. Dysgais o’r ymchwil yma bod rhaid ystyried pob rhan fach o bob tasg er mwyn amseru. Bu’r ymchwil yma’n helpu datblygu fy nysgu proffesiynol oherwydd rhoddir yr hyder i mi weithredu’r ymchwil yma mewn i fy ymarfer pan rwyf yn addysgu. Yna, ceir effaith cadarnhaol ar ddysgu’r disgyblion. Hefyd, dysgom o’r ymchwiliad bod defnyddio amseryddion gweladwy ynghyd ag atgyfnerthu amser ar lafar yw’r ffordd fwyaf effeithiol o hybu canolbwyntio ymysg y disgyblion nag defnyddio’r naill neu’r llall. I grynhoi, mae amseru yn ystod gwersi yn faes diddorol o ymchwil o fewn addysg a dylai barhau i ymchwilio mewn i’r maes yma er mwyn caffael gwell dealltwriaeth ohono.</w:t>
      </w:r>
    </w:p>
    <w:p w14:paraId="766E6E3D" w14:textId="77C64677" w:rsidR="00CE66D9" w:rsidRPr="005F727D" w:rsidRDefault="00CE66D9" w:rsidP="00AB44D9">
      <w:pPr>
        <w:spacing w:line="360" w:lineRule="auto"/>
        <w:rPr>
          <w:rFonts w:ascii="Arial" w:hAnsi="Arial" w:cs="Arial"/>
          <w:u w:val="single"/>
        </w:rPr>
      </w:pPr>
      <w:r>
        <w:rPr>
          <w:rFonts w:ascii="Arial" w:hAnsi="Arial" w:cs="Arial"/>
        </w:rPr>
        <w:t>Geiriau: 5165</w:t>
      </w:r>
    </w:p>
    <w:p w14:paraId="5011C6A6" w14:textId="77777777" w:rsidR="001638AA" w:rsidRPr="00670E18" w:rsidRDefault="002706A4" w:rsidP="00AB44D9">
      <w:pPr>
        <w:spacing w:line="360" w:lineRule="auto"/>
        <w:rPr>
          <w:rFonts w:ascii="Arial" w:hAnsi="Arial" w:cs="Arial"/>
          <w:sz w:val="28"/>
          <w:szCs w:val="28"/>
          <w:u w:val="single"/>
        </w:rPr>
      </w:pPr>
      <w:r w:rsidRPr="00670E18">
        <w:rPr>
          <w:rFonts w:ascii="Arial" w:hAnsi="Arial" w:cs="Arial"/>
          <w:sz w:val="28"/>
          <w:szCs w:val="28"/>
          <w:u w:val="single"/>
        </w:rPr>
        <w:t>Restr Gyfeirio</w:t>
      </w:r>
    </w:p>
    <w:p w14:paraId="520D2BDE" w14:textId="359A1276" w:rsidR="002706A4" w:rsidRPr="005F727D" w:rsidRDefault="001638AA" w:rsidP="00AB44D9">
      <w:pPr>
        <w:spacing w:line="360" w:lineRule="auto"/>
        <w:rPr>
          <w:rFonts w:ascii="Arial" w:hAnsi="Arial" w:cs="Arial"/>
        </w:rPr>
      </w:pPr>
      <w:r w:rsidRPr="005F727D">
        <w:rPr>
          <w:rFonts w:ascii="Arial" w:hAnsi="Arial" w:cs="Arial"/>
        </w:rPr>
        <w:t xml:space="preserve">Aban, A., Fontanil, L. (2015). Maintaining Students’ Involvement in a Math Lecture Using Countdown Timers. </w:t>
      </w:r>
      <w:r w:rsidRPr="005F727D">
        <w:rPr>
          <w:rFonts w:ascii="Arial" w:hAnsi="Arial" w:cs="Arial"/>
          <w:i/>
          <w:iCs/>
        </w:rPr>
        <w:t xml:space="preserve">Asia Pacific Journal of Multidisciplinary Research. </w:t>
      </w:r>
      <w:r w:rsidRPr="005F727D">
        <w:rPr>
          <w:rFonts w:ascii="Arial" w:hAnsi="Arial" w:cs="Arial"/>
        </w:rPr>
        <w:t xml:space="preserve">Vol. 3 (5). Tud. 1-9. Mynedwyd: 10/02/20. Ar gael: </w:t>
      </w:r>
      <w:hyperlink r:id="rId6" w:history="1">
        <w:r w:rsidRPr="005F727D">
          <w:rPr>
            <w:rStyle w:val="Hyperddolen"/>
            <w:rFonts w:ascii="Arial" w:hAnsi="Arial" w:cs="Arial"/>
          </w:rPr>
          <w:t>http://www.apjmr.com/wp-content/uploads/2015/12/APJMR-2015-3.5.1.01.pdf</w:t>
        </w:r>
      </w:hyperlink>
      <w:r w:rsidRPr="005F727D">
        <w:rPr>
          <w:rStyle w:val="Hyperddolen"/>
          <w:rFonts w:ascii="Arial" w:hAnsi="Arial" w:cs="Arial"/>
        </w:rPr>
        <w:t xml:space="preserve"> </w:t>
      </w:r>
      <w:r w:rsidRPr="005F727D">
        <w:rPr>
          <w:rFonts w:ascii="Arial" w:hAnsi="Arial" w:cs="Arial"/>
        </w:rPr>
        <w:t xml:space="preserve"> </w:t>
      </w:r>
      <w:r w:rsidR="002706A4" w:rsidRPr="005F727D">
        <w:rPr>
          <w:rFonts w:ascii="Arial" w:hAnsi="Arial" w:cs="Arial"/>
          <w:u w:val="single"/>
        </w:rPr>
        <w:t xml:space="preserve"> </w:t>
      </w:r>
    </w:p>
    <w:p w14:paraId="46C07474" w14:textId="39780141" w:rsidR="00AE7D20" w:rsidRPr="005F727D" w:rsidRDefault="00AE7D20" w:rsidP="00AB44D9">
      <w:pPr>
        <w:spacing w:line="360" w:lineRule="auto"/>
        <w:rPr>
          <w:rFonts w:ascii="Arial" w:hAnsi="Arial" w:cs="Arial"/>
        </w:rPr>
      </w:pPr>
      <w:r w:rsidRPr="005F727D">
        <w:rPr>
          <w:rFonts w:ascii="Arial" w:hAnsi="Arial" w:cs="Arial"/>
        </w:rPr>
        <w:t xml:space="preserve">Archer, R. (2016). Lesson study in initial teacher education. </w:t>
      </w:r>
      <w:r w:rsidRPr="005F727D">
        <w:rPr>
          <w:rFonts w:ascii="Arial" w:hAnsi="Arial" w:cs="Arial"/>
          <w:i/>
          <w:iCs/>
        </w:rPr>
        <w:t>Proceedings of the British Society for Research into Learning Mathematics</w:t>
      </w:r>
      <w:r w:rsidRPr="005F727D">
        <w:rPr>
          <w:rFonts w:ascii="Arial" w:hAnsi="Arial" w:cs="Arial"/>
        </w:rPr>
        <w:t xml:space="preserve">. 36(1). Tud. 13-18. Mynedwyd: 16/02/20. Ar gael: </w:t>
      </w:r>
      <w:hyperlink r:id="rId7" w:history="1">
        <w:r w:rsidRPr="005F727D">
          <w:rPr>
            <w:rStyle w:val="Hyperddolen"/>
            <w:rFonts w:ascii="Arial" w:hAnsi="Arial" w:cs="Arial"/>
          </w:rPr>
          <w:t>file:///C:/Users/Gruff/AppData/Local/Packages/Microsoft.MicrosoftEdge_8wekyb3d8bbwe/TempState/Downloads/Archer%202016%20(1).pdf</w:t>
        </w:r>
      </w:hyperlink>
    </w:p>
    <w:p w14:paraId="6B50653E" w14:textId="7E2079FB" w:rsidR="00AE7D20" w:rsidRPr="005F727D" w:rsidRDefault="00AE7D20" w:rsidP="00AB44D9">
      <w:pPr>
        <w:spacing w:line="360" w:lineRule="auto"/>
        <w:rPr>
          <w:rFonts w:ascii="Arial" w:hAnsi="Arial" w:cs="Arial"/>
        </w:rPr>
      </w:pPr>
      <w:r w:rsidRPr="005F727D">
        <w:rPr>
          <w:rFonts w:ascii="Arial" w:hAnsi="Arial" w:cs="Arial"/>
        </w:rPr>
        <w:t xml:space="preserve">BERA. (2018). </w:t>
      </w:r>
      <w:r w:rsidRPr="005F727D">
        <w:rPr>
          <w:rFonts w:ascii="Arial" w:hAnsi="Arial" w:cs="Arial"/>
          <w:i/>
          <w:iCs/>
        </w:rPr>
        <w:t xml:space="preserve">Ethical Guidelines for Educational Research. </w:t>
      </w:r>
      <w:r w:rsidRPr="005F727D">
        <w:rPr>
          <w:rFonts w:ascii="Arial" w:hAnsi="Arial" w:cs="Arial"/>
        </w:rPr>
        <w:t xml:space="preserve">4th Ed. British Educational Research Association (BERA): London. </w:t>
      </w:r>
    </w:p>
    <w:p w14:paraId="3EF47B02" w14:textId="220B7B9A" w:rsidR="001638AA" w:rsidRPr="005F727D" w:rsidRDefault="001638AA" w:rsidP="00AB44D9">
      <w:pPr>
        <w:spacing w:line="360" w:lineRule="auto"/>
        <w:rPr>
          <w:rFonts w:ascii="Arial" w:hAnsi="Arial" w:cs="Arial"/>
        </w:rPr>
      </w:pPr>
      <w:r w:rsidRPr="005F727D">
        <w:rPr>
          <w:rFonts w:ascii="Arial" w:hAnsi="Arial" w:cs="Arial"/>
        </w:rPr>
        <w:t xml:space="preserve">Campbell, M., Snow, D. (2017). </w:t>
      </w:r>
      <w:r w:rsidRPr="005F727D">
        <w:rPr>
          <w:rFonts w:ascii="Arial" w:hAnsi="Arial" w:cs="Arial"/>
          <w:i/>
          <w:iCs/>
        </w:rPr>
        <w:t>More Than a Native Speaker: An introduction to teaching English abroad.</w:t>
      </w:r>
      <w:r w:rsidRPr="005F727D">
        <w:rPr>
          <w:rFonts w:ascii="Arial" w:hAnsi="Arial" w:cs="Arial"/>
        </w:rPr>
        <w:t xml:space="preserve"> Tesol Press.</w:t>
      </w:r>
    </w:p>
    <w:p w14:paraId="3511FEAC" w14:textId="7705C6F1" w:rsidR="001638AA" w:rsidRPr="005F727D" w:rsidRDefault="001638AA" w:rsidP="00AB44D9">
      <w:pPr>
        <w:spacing w:before="240" w:line="360" w:lineRule="auto"/>
        <w:rPr>
          <w:rFonts w:ascii="Arial" w:hAnsi="Arial" w:cs="Arial"/>
        </w:rPr>
      </w:pPr>
      <w:r w:rsidRPr="005F727D">
        <w:rPr>
          <w:rFonts w:ascii="Arial" w:hAnsi="Arial" w:cs="Arial"/>
        </w:rPr>
        <w:t xml:space="preserve">Chiew, C.M., Dali, M., Lim, C.S. (2016). Issues Relating to the Implementation of Lesson Study in the Malaysian Education Context. </w:t>
      </w:r>
      <w:r w:rsidRPr="005F727D">
        <w:rPr>
          <w:rFonts w:ascii="Arial" w:hAnsi="Arial" w:cs="Arial"/>
          <w:i/>
          <w:iCs/>
        </w:rPr>
        <w:t>IOSR Journal of Research &amp; Metho din Education.</w:t>
      </w:r>
      <w:r w:rsidRPr="005F727D">
        <w:rPr>
          <w:rFonts w:ascii="Arial" w:hAnsi="Arial" w:cs="Arial"/>
        </w:rPr>
        <w:t xml:space="preserve"> Vol. 6. Tud. 77-85.</w:t>
      </w:r>
    </w:p>
    <w:p w14:paraId="33AE1259" w14:textId="135CE6F1" w:rsidR="001638AA" w:rsidRPr="005F727D" w:rsidRDefault="001638AA" w:rsidP="00AB44D9">
      <w:pPr>
        <w:spacing w:line="360" w:lineRule="auto"/>
        <w:rPr>
          <w:rFonts w:ascii="Arial" w:hAnsi="Arial" w:cs="Arial"/>
        </w:rPr>
      </w:pPr>
      <w:r w:rsidRPr="005F727D">
        <w:rPr>
          <w:rFonts w:ascii="Arial" w:hAnsi="Arial" w:cs="Arial"/>
        </w:rPr>
        <w:t xml:space="preserve">Doyle, W. (1980) </w:t>
      </w:r>
      <w:r w:rsidRPr="005F727D">
        <w:rPr>
          <w:rFonts w:ascii="Arial" w:hAnsi="Arial" w:cs="Arial"/>
          <w:i/>
          <w:iCs/>
        </w:rPr>
        <w:t xml:space="preserve">Classroom Management. </w:t>
      </w:r>
      <w:r w:rsidRPr="005F727D">
        <w:rPr>
          <w:rFonts w:ascii="Arial" w:hAnsi="Arial" w:cs="Arial"/>
        </w:rPr>
        <w:t>West Lafayette: Kappa Delta Pi.</w:t>
      </w:r>
    </w:p>
    <w:p w14:paraId="0F89411C" w14:textId="3E9D28F6" w:rsidR="00AE7D20" w:rsidRPr="005F727D" w:rsidRDefault="00AE7D20" w:rsidP="00AB44D9">
      <w:pPr>
        <w:spacing w:line="360" w:lineRule="auto"/>
        <w:jc w:val="both"/>
        <w:rPr>
          <w:rFonts w:ascii="Arial" w:hAnsi="Arial" w:cs="Arial"/>
          <w:i/>
          <w:iCs/>
        </w:rPr>
      </w:pPr>
      <w:r w:rsidRPr="005F727D">
        <w:rPr>
          <w:rFonts w:ascii="Arial" w:hAnsi="Arial" w:cs="Arial"/>
        </w:rPr>
        <w:lastRenderedPageBreak/>
        <w:t xml:space="preserve">Dudley, P. (2011). </w:t>
      </w:r>
      <w:r w:rsidRPr="005F727D">
        <w:rPr>
          <w:rFonts w:ascii="Arial" w:hAnsi="Arial" w:cs="Arial"/>
          <w:i/>
          <w:iCs/>
        </w:rPr>
        <w:t xml:space="preserve">Lesson Study: a handbook. </w:t>
      </w:r>
    </w:p>
    <w:p w14:paraId="2E393B9C" w14:textId="2076DA42" w:rsidR="00AE7D20" w:rsidRPr="005F727D" w:rsidRDefault="00AE7D20" w:rsidP="00AB44D9">
      <w:pPr>
        <w:spacing w:line="360" w:lineRule="auto"/>
        <w:rPr>
          <w:rFonts w:ascii="Arial" w:hAnsi="Arial" w:cs="Arial"/>
          <w:i/>
          <w:iCs/>
        </w:rPr>
      </w:pPr>
      <w:r w:rsidRPr="005F727D">
        <w:rPr>
          <w:rFonts w:ascii="Arial" w:hAnsi="Arial" w:cs="Arial"/>
        </w:rPr>
        <w:t xml:space="preserve">Dudley, P. (2014). </w:t>
      </w:r>
      <w:r w:rsidRPr="005F727D">
        <w:rPr>
          <w:rFonts w:ascii="Arial" w:hAnsi="Arial" w:cs="Arial"/>
          <w:i/>
          <w:iCs/>
        </w:rPr>
        <w:t xml:space="preserve">Lesson Study: a handbook. </w:t>
      </w:r>
    </w:p>
    <w:p w14:paraId="75B52859" w14:textId="31939DC8" w:rsidR="00AE7D20" w:rsidRPr="005F727D" w:rsidRDefault="00AE7D20" w:rsidP="00AB44D9">
      <w:pPr>
        <w:spacing w:line="360" w:lineRule="auto"/>
        <w:rPr>
          <w:rFonts w:ascii="Arial" w:hAnsi="Arial" w:cs="Arial"/>
          <w:color w:val="000000"/>
          <w:shd w:val="clear" w:color="auto" w:fill="FFFFFF"/>
        </w:rPr>
      </w:pPr>
      <w:r w:rsidRPr="005F727D">
        <w:rPr>
          <w:rFonts w:ascii="Arial" w:hAnsi="Arial" w:cs="Arial"/>
          <w:color w:val="000000"/>
          <w:shd w:val="clear" w:color="auto" w:fill="FFFFFF"/>
        </w:rPr>
        <w:t xml:space="preserve">Fernandez, C., Yoshida M. (2004). </w:t>
      </w:r>
      <w:r w:rsidRPr="005F727D">
        <w:rPr>
          <w:rFonts w:ascii="Arial" w:hAnsi="Arial" w:cs="Arial"/>
          <w:i/>
          <w:iCs/>
          <w:color w:val="000000"/>
          <w:shd w:val="clear" w:color="auto" w:fill="FFFFFF"/>
        </w:rPr>
        <w:t>Lesson Study: A Japanese Approach to Improving Mathematics Teaching and Learning</w:t>
      </w:r>
      <w:r w:rsidRPr="005F727D">
        <w:rPr>
          <w:rFonts w:ascii="Arial" w:hAnsi="Arial" w:cs="Arial"/>
          <w:color w:val="000000"/>
          <w:shd w:val="clear" w:color="auto" w:fill="FFFFFF"/>
        </w:rPr>
        <w:t>. Mahwah, NJ: Lawrence Erlbaum.</w:t>
      </w:r>
    </w:p>
    <w:p w14:paraId="0718D19C" w14:textId="18608DAD" w:rsidR="001638AA" w:rsidRPr="005F727D" w:rsidRDefault="001638AA" w:rsidP="00AB44D9">
      <w:pPr>
        <w:spacing w:line="360" w:lineRule="auto"/>
        <w:rPr>
          <w:rFonts w:ascii="Arial" w:hAnsi="Arial" w:cs="Arial"/>
        </w:rPr>
      </w:pPr>
      <w:r w:rsidRPr="005F727D">
        <w:rPr>
          <w:rFonts w:ascii="Arial" w:hAnsi="Arial" w:cs="Arial"/>
        </w:rPr>
        <w:t xml:space="preserve">Foster, C. (2012). </w:t>
      </w:r>
      <w:r w:rsidRPr="005F727D">
        <w:rPr>
          <w:rFonts w:ascii="Arial" w:hAnsi="Arial" w:cs="Arial"/>
          <w:i/>
          <w:iCs/>
        </w:rPr>
        <w:t xml:space="preserve">The Essential Guide to Secondary Mathematics: Successful and Enjoyable Teaching and Learning. </w:t>
      </w:r>
      <w:r w:rsidRPr="005F727D">
        <w:rPr>
          <w:rFonts w:ascii="Arial" w:hAnsi="Arial" w:cs="Arial"/>
        </w:rPr>
        <w:t xml:space="preserve">Routledge: London. </w:t>
      </w:r>
    </w:p>
    <w:p w14:paraId="4927ED38" w14:textId="7AB810EC" w:rsidR="00AE7D20" w:rsidRPr="005F727D" w:rsidRDefault="00AE7D20" w:rsidP="00AB44D9">
      <w:pPr>
        <w:spacing w:line="360" w:lineRule="auto"/>
        <w:rPr>
          <w:rStyle w:val="Hyperddolen"/>
          <w:rFonts w:ascii="Arial" w:hAnsi="Arial" w:cs="Arial"/>
        </w:rPr>
      </w:pPr>
      <w:r w:rsidRPr="005F727D">
        <w:rPr>
          <w:rFonts w:ascii="Arial" w:hAnsi="Arial" w:cs="Arial"/>
        </w:rPr>
        <w:t>Gaigher, E., Ogegbo, A., Salagaram, T. (2019). Benefits and challenges of lesson study: A case of teaching Physical Sciences in South Africa</w:t>
      </w:r>
      <w:r w:rsidRPr="005F727D">
        <w:rPr>
          <w:rFonts w:ascii="Arial" w:hAnsi="Arial" w:cs="Arial"/>
          <w:i/>
          <w:iCs/>
        </w:rPr>
        <w:t>. South African Journal of Education</w:t>
      </w:r>
      <w:r w:rsidRPr="005F727D">
        <w:rPr>
          <w:rFonts w:ascii="Arial" w:hAnsi="Arial" w:cs="Arial"/>
        </w:rPr>
        <w:t xml:space="preserve">. 39(1). Tud. 1-9. Mynedwyd: 15/02/20. Ar gael: </w:t>
      </w:r>
      <w:hyperlink r:id="rId8" w:history="1">
        <w:r w:rsidRPr="005F727D">
          <w:rPr>
            <w:rStyle w:val="Hyperddolen"/>
            <w:rFonts w:ascii="Arial" w:hAnsi="Arial" w:cs="Arial"/>
          </w:rPr>
          <w:t>file:///C:/Users/Gruff/AppData/Local/Packages/Microsoft.MicrosoftEdge_8wekyb3d8bbwe/TempState/Downloads/OgegboGaigher2019%20(1).pdf</w:t>
        </w:r>
      </w:hyperlink>
    </w:p>
    <w:p w14:paraId="026E240D" w14:textId="42931B6E" w:rsidR="001638AA" w:rsidRPr="005F727D" w:rsidRDefault="001638AA" w:rsidP="00AB44D9">
      <w:pPr>
        <w:spacing w:before="240" w:line="360" w:lineRule="auto"/>
        <w:rPr>
          <w:rFonts w:ascii="Arial" w:hAnsi="Arial" w:cs="Arial"/>
        </w:rPr>
      </w:pPr>
      <w:r w:rsidRPr="005F727D">
        <w:rPr>
          <w:rFonts w:ascii="Arial" w:hAnsi="Arial" w:cs="Arial"/>
        </w:rPr>
        <w:t xml:space="preserve">Gibbs, A. (1997). Focus Groups. </w:t>
      </w:r>
      <w:r w:rsidRPr="005F727D">
        <w:rPr>
          <w:rFonts w:ascii="Arial" w:hAnsi="Arial" w:cs="Arial"/>
          <w:i/>
          <w:iCs/>
        </w:rPr>
        <w:t xml:space="preserve">Social Research Update. </w:t>
      </w:r>
      <w:r w:rsidRPr="005F727D">
        <w:rPr>
          <w:rFonts w:ascii="Arial" w:hAnsi="Arial" w:cs="Arial"/>
        </w:rPr>
        <w:t xml:space="preserve">Mynedwyd: 17/02/20. Ar gael: </w:t>
      </w:r>
      <w:hyperlink r:id="rId9" w:history="1">
        <w:r w:rsidRPr="005F727D">
          <w:rPr>
            <w:rStyle w:val="Hyperddolen"/>
            <w:rFonts w:ascii="Arial" w:hAnsi="Arial" w:cs="Arial"/>
          </w:rPr>
          <w:t>http://sru.soc.surrey.ac.uk/SRU19.html</w:t>
        </w:r>
      </w:hyperlink>
      <w:r w:rsidRPr="005F727D">
        <w:rPr>
          <w:rFonts w:ascii="Arial" w:hAnsi="Arial" w:cs="Arial"/>
        </w:rPr>
        <w:t xml:space="preserve"> </w:t>
      </w:r>
    </w:p>
    <w:p w14:paraId="5CD77EC6" w14:textId="5497AD54" w:rsidR="00AE7D20" w:rsidRPr="005F727D" w:rsidRDefault="00AE7D20" w:rsidP="00AB44D9">
      <w:pPr>
        <w:spacing w:line="360" w:lineRule="auto"/>
        <w:rPr>
          <w:rFonts w:ascii="Arial" w:hAnsi="Arial" w:cs="Arial"/>
        </w:rPr>
      </w:pPr>
      <w:r w:rsidRPr="005F727D">
        <w:rPr>
          <w:rFonts w:ascii="Arial" w:hAnsi="Arial" w:cs="Arial"/>
        </w:rPr>
        <w:t xml:space="preserve">Goldsmith, J. (2009). ‘Pacing and time allocation at the micro- and meso- level within the clas hour: Why pacing is important, how to study it, and what it implies for individual lesson planning’. </w:t>
      </w:r>
      <w:r w:rsidRPr="005F727D">
        <w:rPr>
          <w:rFonts w:ascii="Arial" w:hAnsi="Arial" w:cs="Arial"/>
          <w:i/>
          <w:iCs/>
        </w:rPr>
        <w:t xml:space="preserve">Journal of Teaching and Learning Language and Literature. </w:t>
      </w:r>
      <w:r w:rsidRPr="005F727D">
        <w:rPr>
          <w:rFonts w:ascii="Arial" w:hAnsi="Arial" w:cs="Arial"/>
        </w:rPr>
        <w:t xml:space="preserve">Vol. 1. Tud. 30-48. </w:t>
      </w:r>
    </w:p>
    <w:p w14:paraId="59E1556B" w14:textId="31CC4166" w:rsidR="001638AA" w:rsidRPr="005F727D" w:rsidRDefault="001638AA" w:rsidP="00AB44D9">
      <w:pPr>
        <w:spacing w:line="360" w:lineRule="auto"/>
        <w:rPr>
          <w:rFonts w:ascii="Arial" w:hAnsi="Arial" w:cs="Arial"/>
        </w:rPr>
      </w:pPr>
      <w:r w:rsidRPr="005F727D">
        <w:rPr>
          <w:rFonts w:ascii="Arial" w:hAnsi="Arial" w:cs="Arial"/>
        </w:rPr>
        <w:t xml:space="preserve">Gorman, M., Norris, L. (2019) </w:t>
      </w:r>
      <w:r w:rsidRPr="005F727D">
        <w:rPr>
          <w:rFonts w:ascii="Arial" w:hAnsi="Arial" w:cs="Arial"/>
          <w:i/>
          <w:iCs/>
        </w:rPr>
        <w:t xml:space="preserve">Managing the lesson. </w:t>
      </w:r>
      <w:r w:rsidRPr="005F727D">
        <w:rPr>
          <w:rFonts w:ascii="Arial" w:hAnsi="Arial" w:cs="Arial"/>
        </w:rPr>
        <w:t>British Council.</w:t>
      </w:r>
    </w:p>
    <w:p w14:paraId="5B6B2953" w14:textId="5CA0F8AF" w:rsidR="001638AA" w:rsidRPr="005F727D" w:rsidRDefault="001638AA" w:rsidP="00AB44D9">
      <w:pPr>
        <w:spacing w:before="240" w:line="360" w:lineRule="auto"/>
        <w:rPr>
          <w:rFonts w:ascii="Arial" w:hAnsi="Arial" w:cs="Arial"/>
          <w:i/>
          <w:iCs/>
        </w:rPr>
      </w:pPr>
      <w:r w:rsidRPr="005F727D">
        <w:rPr>
          <w:rFonts w:ascii="Arial" w:hAnsi="Arial" w:cs="Arial"/>
        </w:rPr>
        <w:t xml:space="preserve">Jarrell, M. (2000). Focusing on Focus Group Use in Educational Research. </w:t>
      </w:r>
      <w:r w:rsidRPr="005F727D">
        <w:rPr>
          <w:rFonts w:ascii="Arial" w:hAnsi="Arial" w:cs="Arial"/>
          <w:i/>
          <w:iCs/>
        </w:rPr>
        <w:t xml:space="preserve">Center of Educational Accountability. </w:t>
      </w:r>
    </w:p>
    <w:p w14:paraId="2671487D" w14:textId="2936D169" w:rsidR="001638AA" w:rsidRPr="005F727D" w:rsidRDefault="001638AA" w:rsidP="00AB44D9">
      <w:pPr>
        <w:spacing w:line="360" w:lineRule="auto"/>
        <w:rPr>
          <w:rFonts w:ascii="Arial" w:hAnsi="Arial" w:cs="Arial"/>
        </w:rPr>
      </w:pPr>
      <w:r w:rsidRPr="005F727D">
        <w:rPr>
          <w:rFonts w:ascii="Arial" w:hAnsi="Arial" w:cs="Arial"/>
        </w:rPr>
        <w:t xml:space="preserve">Jones, L. (2007). </w:t>
      </w:r>
      <w:r w:rsidRPr="005F727D">
        <w:rPr>
          <w:rFonts w:ascii="Arial" w:hAnsi="Arial" w:cs="Arial"/>
          <w:i/>
          <w:iCs/>
        </w:rPr>
        <w:t xml:space="preserve">The Student-centred Classroom. </w:t>
      </w:r>
      <w:r w:rsidRPr="005F727D">
        <w:rPr>
          <w:rFonts w:ascii="Arial" w:hAnsi="Arial" w:cs="Arial"/>
        </w:rPr>
        <w:t>Cambridge University Press.</w:t>
      </w:r>
    </w:p>
    <w:p w14:paraId="069145B6" w14:textId="2F4AB631" w:rsidR="001638AA" w:rsidRPr="005F727D" w:rsidRDefault="001638AA" w:rsidP="00AB44D9">
      <w:pPr>
        <w:spacing w:before="240" w:line="360" w:lineRule="auto"/>
        <w:rPr>
          <w:rFonts w:ascii="Arial" w:hAnsi="Arial" w:cs="Arial"/>
        </w:rPr>
      </w:pPr>
      <w:r w:rsidRPr="005F727D">
        <w:rPr>
          <w:rFonts w:ascii="Arial" w:hAnsi="Arial" w:cs="Arial"/>
        </w:rPr>
        <w:t xml:space="preserve">Kumar, R. (2019). </w:t>
      </w:r>
      <w:r w:rsidRPr="005F727D">
        <w:rPr>
          <w:rFonts w:ascii="Arial" w:hAnsi="Arial" w:cs="Arial"/>
          <w:i/>
          <w:iCs/>
        </w:rPr>
        <w:t>Research Methodology: A step-by-step guide for beginners</w:t>
      </w:r>
      <w:r w:rsidRPr="005F727D">
        <w:rPr>
          <w:rFonts w:ascii="Arial" w:hAnsi="Arial" w:cs="Arial"/>
        </w:rPr>
        <w:t xml:space="preserve">. 4th Ed. SAGE Publications: London. </w:t>
      </w:r>
    </w:p>
    <w:p w14:paraId="770B2A1A" w14:textId="6EC52591" w:rsidR="00AE7D20" w:rsidRPr="005F727D" w:rsidRDefault="00AE7D20" w:rsidP="00AB44D9">
      <w:pPr>
        <w:spacing w:before="240" w:line="360" w:lineRule="auto"/>
        <w:rPr>
          <w:rFonts w:ascii="Arial" w:hAnsi="Arial" w:cs="Arial"/>
          <w:i/>
          <w:iCs/>
        </w:rPr>
      </w:pPr>
      <w:r w:rsidRPr="005F727D">
        <w:rPr>
          <w:rFonts w:ascii="Arial" w:hAnsi="Arial" w:cs="Arial"/>
        </w:rPr>
        <w:t xml:space="preserve">Llywodraeth Cymru. (2018). Cyflwyniad i’r safonau proffesiynol ar gyfer addysgu ac arweinyddiaeth. </w:t>
      </w:r>
      <w:r w:rsidRPr="005F727D">
        <w:rPr>
          <w:rFonts w:ascii="Arial" w:hAnsi="Arial" w:cs="Arial"/>
          <w:i/>
          <w:iCs/>
        </w:rPr>
        <w:t xml:space="preserve">Addysg Cymru. </w:t>
      </w:r>
    </w:p>
    <w:p w14:paraId="087AAC99" w14:textId="77777777" w:rsidR="00AE7D20" w:rsidRPr="005F727D" w:rsidRDefault="00AE7D20" w:rsidP="00AB44D9">
      <w:pPr>
        <w:spacing w:line="360" w:lineRule="auto"/>
        <w:rPr>
          <w:rFonts w:ascii="Arial" w:hAnsi="Arial" w:cs="Arial"/>
        </w:rPr>
      </w:pPr>
      <w:r w:rsidRPr="005F727D">
        <w:rPr>
          <w:rFonts w:ascii="Arial" w:hAnsi="Arial" w:cs="Arial"/>
        </w:rPr>
        <w:t xml:space="preserve">Marzano, R., Pickering, D., Heflebower, T. (2011). </w:t>
      </w:r>
      <w:r w:rsidRPr="005F727D">
        <w:rPr>
          <w:rFonts w:ascii="Arial" w:hAnsi="Arial" w:cs="Arial"/>
          <w:i/>
          <w:iCs/>
        </w:rPr>
        <w:t>The Highly Engaged Classroom</w:t>
      </w:r>
      <w:r w:rsidRPr="005F727D">
        <w:rPr>
          <w:rFonts w:ascii="Arial" w:hAnsi="Arial" w:cs="Arial"/>
        </w:rPr>
        <w:t>. Marzano Research Labratory.</w:t>
      </w:r>
    </w:p>
    <w:p w14:paraId="6BA104C9" w14:textId="77777777" w:rsidR="00AE7D20" w:rsidRPr="005F727D" w:rsidRDefault="00AE7D20" w:rsidP="00AB44D9">
      <w:pPr>
        <w:spacing w:line="360" w:lineRule="auto"/>
        <w:rPr>
          <w:rFonts w:ascii="Arial" w:hAnsi="Arial" w:cs="Arial"/>
        </w:rPr>
      </w:pPr>
      <w:r w:rsidRPr="005F727D">
        <w:rPr>
          <w:rFonts w:ascii="Arial" w:hAnsi="Arial" w:cs="Arial"/>
        </w:rPr>
        <w:t xml:space="preserve">Perry, R., Lewis, C. (2008). What is a successful adaptation of lesson study in the US. </w:t>
      </w:r>
      <w:r w:rsidRPr="005F727D">
        <w:rPr>
          <w:rFonts w:ascii="Arial" w:hAnsi="Arial" w:cs="Arial"/>
          <w:i/>
          <w:iCs/>
        </w:rPr>
        <w:t xml:space="preserve">Journal of Educational Change. </w:t>
      </w:r>
      <w:r w:rsidRPr="005F727D">
        <w:rPr>
          <w:rFonts w:ascii="Arial" w:hAnsi="Arial" w:cs="Arial"/>
        </w:rPr>
        <w:t>DOI: 10.1007/s10833-008-9069-7.</w:t>
      </w:r>
    </w:p>
    <w:p w14:paraId="1B417D45" w14:textId="77777777" w:rsidR="00AE7D20" w:rsidRPr="005F727D" w:rsidRDefault="00AE7D20" w:rsidP="00AB44D9">
      <w:pPr>
        <w:spacing w:line="360" w:lineRule="auto"/>
        <w:rPr>
          <w:rFonts w:ascii="Arial" w:hAnsi="Arial" w:cs="Arial"/>
        </w:rPr>
      </w:pPr>
      <w:r w:rsidRPr="005F727D">
        <w:rPr>
          <w:rFonts w:ascii="Arial" w:hAnsi="Arial" w:cs="Arial"/>
        </w:rPr>
        <w:t xml:space="preserve">Stigler, J., Hiebert, J. (1999). </w:t>
      </w:r>
      <w:r w:rsidRPr="005F727D">
        <w:rPr>
          <w:rFonts w:ascii="Arial" w:hAnsi="Arial" w:cs="Arial"/>
          <w:i/>
          <w:iCs/>
        </w:rPr>
        <w:t>The teaching gap: Best ideas from the world’s teachers for improving education in the classroom</w:t>
      </w:r>
      <w:r w:rsidRPr="005F727D">
        <w:rPr>
          <w:rFonts w:ascii="Arial" w:hAnsi="Arial" w:cs="Arial"/>
        </w:rPr>
        <w:t>. The Free Press: New York, YN.</w:t>
      </w:r>
    </w:p>
    <w:p w14:paraId="63F7C767" w14:textId="77777777" w:rsidR="00AE7D20" w:rsidRPr="005F727D" w:rsidRDefault="00AE7D20" w:rsidP="00AB44D9">
      <w:pPr>
        <w:spacing w:line="360" w:lineRule="auto"/>
        <w:rPr>
          <w:rFonts w:ascii="Arial" w:hAnsi="Arial" w:cs="Arial"/>
        </w:rPr>
      </w:pPr>
      <w:r w:rsidRPr="005F727D">
        <w:rPr>
          <w:rFonts w:ascii="Arial" w:hAnsi="Arial" w:cs="Arial"/>
        </w:rPr>
        <w:lastRenderedPageBreak/>
        <w:t xml:space="preserve">Takahashi, A., Yoshida, M. (2004). Ideas for Establishing Lesson- Study Communities. </w:t>
      </w:r>
      <w:r w:rsidRPr="005F727D">
        <w:rPr>
          <w:rFonts w:ascii="Arial" w:hAnsi="Arial" w:cs="Arial"/>
          <w:i/>
          <w:iCs/>
        </w:rPr>
        <w:t xml:space="preserve">Teaching Children Mathematics. </w:t>
      </w:r>
      <w:r w:rsidRPr="005F727D">
        <w:rPr>
          <w:rFonts w:ascii="Arial" w:hAnsi="Arial" w:cs="Arial"/>
        </w:rPr>
        <w:t xml:space="preserve">Mynedwyd: 15/02/20. Ar gael: bsl-utrecht.nl/wp-content/uploads/sites/62/2015/11/Takahashi-2004-Ideas-for-establishing-Lesson-Study-communities.pdf </w:t>
      </w:r>
    </w:p>
    <w:p w14:paraId="658E17EF" w14:textId="77777777" w:rsidR="00AE7D20" w:rsidRPr="005F727D" w:rsidRDefault="00AE7D20" w:rsidP="00AB44D9">
      <w:pPr>
        <w:spacing w:line="360" w:lineRule="auto"/>
        <w:rPr>
          <w:rFonts w:ascii="Arial" w:hAnsi="Arial" w:cs="Arial"/>
        </w:rPr>
      </w:pPr>
      <w:r w:rsidRPr="005F727D">
        <w:rPr>
          <w:rFonts w:ascii="Arial" w:hAnsi="Arial" w:cs="Arial"/>
        </w:rPr>
        <w:t xml:space="preserve">Wright, J. (2006). Using PowerPoint Timers to Improve Student Behavior and Learning. </w:t>
      </w:r>
      <w:r w:rsidRPr="005F727D">
        <w:rPr>
          <w:rFonts w:ascii="Arial" w:hAnsi="Arial" w:cs="Arial"/>
          <w:i/>
          <w:iCs/>
        </w:rPr>
        <w:t xml:space="preserve">Timers &amp; Student Behavior. </w:t>
      </w:r>
      <w:r w:rsidRPr="005F727D">
        <w:rPr>
          <w:rFonts w:ascii="Arial" w:hAnsi="Arial" w:cs="Arial"/>
        </w:rPr>
        <w:t xml:space="preserve">Tud. 1-2. Mynedwyd: 10/02/20. Ar gael: </w:t>
      </w:r>
      <w:hyperlink r:id="rId10" w:history="1">
        <w:r w:rsidRPr="005F727D">
          <w:rPr>
            <w:rStyle w:val="Hyperddolen"/>
            <w:rFonts w:ascii="Arial" w:hAnsi="Arial" w:cs="Arial"/>
          </w:rPr>
          <w:t>www.jimwrightonline.com/pdfdocs/timers/timers_intv_ideas.pdf</w:t>
        </w:r>
      </w:hyperlink>
      <w:r w:rsidRPr="005F727D">
        <w:rPr>
          <w:rStyle w:val="Hyperddolen"/>
          <w:rFonts w:ascii="Arial" w:hAnsi="Arial" w:cs="Arial"/>
        </w:rPr>
        <w:t xml:space="preserve"> </w:t>
      </w:r>
    </w:p>
    <w:p w14:paraId="17660BAF" w14:textId="77777777" w:rsidR="00AE7D20" w:rsidRPr="00453736" w:rsidRDefault="00AE7D20" w:rsidP="00AE7D20">
      <w:pPr>
        <w:spacing w:before="240"/>
      </w:pPr>
    </w:p>
    <w:p w14:paraId="6F5AC669" w14:textId="77777777" w:rsidR="00AE7D20" w:rsidRDefault="00AE7D20">
      <w:pPr>
        <w:rPr>
          <w:u w:val="single"/>
        </w:rPr>
      </w:pPr>
    </w:p>
    <w:p w14:paraId="765FCC7F" w14:textId="140AB64C" w:rsidR="000E5758" w:rsidRPr="001D57BC" w:rsidRDefault="000E5758"/>
    <w:sectPr w:rsidR="000E5758" w:rsidRPr="001D57BC" w:rsidSect="004426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62F54"/>
    <w:multiLevelType w:val="hybridMultilevel"/>
    <w:tmpl w:val="FE4EA64E"/>
    <w:lvl w:ilvl="0" w:tplc="D256E858">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7D5323ED"/>
    <w:multiLevelType w:val="hybridMultilevel"/>
    <w:tmpl w:val="01E4E23A"/>
    <w:lvl w:ilvl="0" w:tplc="32CAD496">
      <w:start w:val="3"/>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6A4"/>
    <w:rsid w:val="0000502D"/>
    <w:rsid w:val="00022992"/>
    <w:rsid w:val="00034875"/>
    <w:rsid w:val="00041E6A"/>
    <w:rsid w:val="000634F2"/>
    <w:rsid w:val="00064A4A"/>
    <w:rsid w:val="00072DEA"/>
    <w:rsid w:val="00077CFB"/>
    <w:rsid w:val="00084B0D"/>
    <w:rsid w:val="0009276C"/>
    <w:rsid w:val="000A2D8C"/>
    <w:rsid w:val="000B33D3"/>
    <w:rsid w:val="000C334F"/>
    <w:rsid w:val="000C7B61"/>
    <w:rsid w:val="000D4D92"/>
    <w:rsid w:val="000D7FA8"/>
    <w:rsid w:val="000E1A0F"/>
    <w:rsid w:val="000E4203"/>
    <w:rsid w:val="000E5758"/>
    <w:rsid w:val="000F0C47"/>
    <w:rsid w:val="00122A02"/>
    <w:rsid w:val="00123A46"/>
    <w:rsid w:val="00137F3D"/>
    <w:rsid w:val="00142589"/>
    <w:rsid w:val="0016338A"/>
    <w:rsid w:val="001638AA"/>
    <w:rsid w:val="001666CB"/>
    <w:rsid w:val="00185070"/>
    <w:rsid w:val="001C1CDA"/>
    <w:rsid w:val="001C3E73"/>
    <w:rsid w:val="001D1701"/>
    <w:rsid w:val="001D57BC"/>
    <w:rsid w:val="001D5891"/>
    <w:rsid w:val="001D71AD"/>
    <w:rsid w:val="001E12A8"/>
    <w:rsid w:val="0023785A"/>
    <w:rsid w:val="00267BA5"/>
    <w:rsid w:val="002706A4"/>
    <w:rsid w:val="0027499F"/>
    <w:rsid w:val="00275DB6"/>
    <w:rsid w:val="00277230"/>
    <w:rsid w:val="00287728"/>
    <w:rsid w:val="002D0656"/>
    <w:rsid w:val="002D6CBD"/>
    <w:rsid w:val="002E14E6"/>
    <w:rsid w:val="002F420B"/>
    <w:rsid w:val="00351B03"/>
    <w:rsid w:val="00352382"/>
    <w:rsid w:val="00357726"/>
    <w:rsid w:val="0036337E"/>
    <w:rsid w:val="00363FA7"/>
    <w:rsid w:val="00366D3F"/>
    <w:rsid w:val="00374621"/>
    <w:rsid w:val="0038638E"/>
    <w:rsid w:val="003951D8"/>
    <w:rsid w:val="003A217D"/>
    <w:rsid w:val="003B72BB"/>
    <w:rsid w:val="003C1346"/>
    <w:rsid w:val="003D13AF"/>
    <w:rsid w:val="003D330D"/>
    <w:rsid w:val="003D5103"/>
    <w:rsid w:val="003D6F68"/>
    <w:rsid w:val="003E3166"/>
    <w:rsid w:val="003F6326"/>
    <w:rsid w:val="004258F7"/>
    <w:rsid w:val="00426A8F"/>
    <w:rsid w:val="00442603"/>
    <w:rsid w:val="00453736"/>
    <w:rsid w:val="004539D7"/>
    <w:rsid w:val="00463FDC"/>
    <w:rsid w:val="00470BF9"/>
    <w:rsid w:val="00477B90"/>
    <w:rsid w:val="00497180"/>
    <w:rsid w:val="004C015D"/>
    <w:rsid w:val="004D5E03"/>
    <w:rsid w:val="004E2252"/>
    <w:rsid w:val="00502C42"/>
    <w:rsid w:val="00504103"/>
    <w:rsid w:val="00513B4F"/>
    <w:rsid w:val="005148A1"/>
    <w:rsid w:val="005174A4"/>
    <w:rsid w:val="00521C21"/>
    <w:rsid w:val="0053099E"/>
    <w:rsid w:val="005358B0"/>
    <w:rsid w:val="00536523"/>
    <w:rsid w:val="00564D4C"/>
    <w:rsid w:val="0057195F"/>
    <w:rsid w:val="00571E6A"/>
    <w:rsid w:val="00576094"/>
    <w:rsid w:val="00584A05"/>
    <w:rsid w:val="00587794"/>
    <w:rsid w:val="00593779"/>
    <w:rsid w:val="00596593"/>
    <w:rsid w:val="0059751E"/>
    <w:rsid w:val="005A116A"/>
    <w:rsid w:val="005A647C"/>
    <w:rsid w:val="005B1D91"/>
    <w:rsid w:val="005E28EE"/>
    <w:rsid w:val="005F727D"/>
    <w:rsid w:val="005F7E6D"/>
    <w:rsid w:val="006029B7"/>
    <w:rsid w:val="00610F4E"/>
    <w:rsid w:val="00620BF2"/>
    <w:rsid w:val="00624305"/>
    <w:rsid w:val="0065008F"/>
    <w:rsid w:val="00665982"/>
    <w:rsid w:val="00670E18"/>
    <w:rsid w:val="00684BC6"/>
    <w:rsid w:val="00694C2D"/>
    <w:rsid w:val="006A26CD"/>
    <w:rsid w:val="006A60A5"/>
    <w:rsid w:val="006A6DC1"/>
    <w:rsid w:val="006B16E9"/>
    <w:rsid w:val="006C088D"/>
    <w:rsid w:val="006C35B3"/>
    <w:rsid w:val="006E2561"/>
    <w:rsid w:val="00700EBA"/>
    <w:rsid w:val="00706EB4"/>
    <w:rsid w:val="0071281C"/>
    <w:rsid w:val="007277A2"/>
    <w:rsid w:val="007509E7"/>
    <w:rsid w:val="00755447"/>
    <w:rsid w:val="00762044"/>
    <w:rsid w:val="00766AB3"/>
    <w:rsid w:val="007712B4"/>
    <w:rsid w:val="00774C43"/>
    <w:rsid w:val="00775802"/>
    <w:rsid w:val="0077721E"/>
    <w:rsid w:val="0078744D"/>
    <w:rsid w:val="00787C31"/>
    <w:rsid w:val="007B2CD6"/>
    <w:rsid w:val="007B60C3"/>
    <w:rsid w:val="007C3ECE"/>
    <w:rsid w:val="007C6F8C"/>
    <w:rsid w:val="007D00BE"/>
    <w:rsid w:val="007E1AA8"/>
    <w:rsid w:val="007E2C42"/>
    <w:rsid w:val="008049DB"/>
    <w:rsid w:val="008113DE"/>
    <w:rsid w:val="00850355"/>
    <w:rsid w:val="00854827"/>
    <w:rsid w:val="00864270"/>
    <w:rsid w:val="00875911"/>
    <w:rsid w:val="00882834"/>
    <w:rsid w:val="00887167"/>
    <w:rsid w:val="008905C1"/>
    <w:rsid w:val="008913D2"/>
    <w:rsid w:val="0089587B"/>
    <w:rsid w:val="008A7B26"/>
    <w:rsid w:val="008B195B"/>
    <w:rsid w:val="008B7580"/>
    <w:rsid w:val="008E49BB"/>
    <w:rsid w:val="008F21B3"/>
    <w:rsid w:val="008F6F03"/>
    <w:rsid w:val="00911042"/>
    <w:rsid w:val="009146EB"/>
    <w:rsid w:val="00916602"/>
    <w:rsid w:val="00942DA6"/>
    <w:rsid w:val="00970882"/>
    <w:rsid w:val="00973315"/>
    <w:rsid w:val="009739B7"/>
    <w:rsid w:val="009809B5"/>
    <w:rsid w:val="009C4480"/>
    <w:rsid w:val="009E322B"/>
    <w:rsid w:val="009F6F0A"/>
    <w:rsid w:val="00A05EB4"/>
    <w:rsid w:val="00A35F28"/>
    <w:rsid w:val="00A5758E"/>
    <w:rsid w:val="00A61C0D"/>
    <w:rsid w:val="00A928D6"/>
    <w:rsid w:val="00AA0EF2"/>
    <w:rsid w:val="00AA50A2"/>
    <w:rsid w:val="00AB1185"/>
    <w:rsid w:val="00AB44D9"/>
    <w:rsid w:val="00AC0049"/>
    <w:rsid w:val="00AC275F"/>
    <w:rsid w:val="00AC3339"/>
    <w:rsid w:val="00AE60BB"/>
    <w:rsid w:val="00AE7D20"/>
    <w:rsid w:val="00B019F9"/>
    <w:rsid w:val="00B13F87"/>
    <w:rsid w:val="00B439E1"/>
    <w:rsid w:val="00B823C1"/>
    <w:rsid w:val="00B85066"/>
    <w:rsid w:val="00B85552"/>
    <w:rsid w:val="00BA62AA"/>
    <w:rsid w:val="00BB6482"/>
    <w:rsid w:val="00BF1071"/>
    <w:rsid w:val="00BF6E20"/>
    <w:rsid w:val="00C03201"/>
    <w:rsid w:val="00C0629D"/>
    <w:rsid w:val="00C075C2"/>
    <w:rsid w:val="00C17115"/>
    <w:rsid w:val="00C201FE"/>
    <w:rsid w:val="00C2111B"/>
    <w:rsid w:val="00C21200"/>
    <w:rsid w:val="00C355E1"/>
    <w:rsid w:val="00C360C1"/>
    <w:rsid w:val="00C54570"/>
    <w:rsid w:val="00C6398B"/>
    <w:rsid w:val="00C80DEE"/>
    <w:rsid w:val="00CA03D7"/>
    <w:rsid w:val="00CA368A"/>
    <w:rsid w:val="00CA6ABD"/>
    <w:rsid w:val="00CC37C3"/>
    <w:rsid w:val="00CD2593"/>
    <w:rsid w:val="00CD3C64"/>
    <w:rsid w:val="00CD66DC"/>
    <w:rsid w:val="00CD7165"/>
    <w:rsid w:val="00CE66D9"/>
    <w:rsid w:val="00CE7426"/>
    <w:rsid w:val="00D040E5"/>
    <w:rsid w:val="00D25B68"/>
    <w:rsid w:val="00D36F91"/>
    <w:rsid w:val="00D6491F"/>
    <w:rsid w:val="00D8589F"/>
    <w:rsid w:val="00D90325"/>
    <w:rsid w:val="00D91E5E"/>
    <w:rsid w:val="00D952F7"/>
    <w:rsid w:val="00DA0F76"/>
    <w:rsid w:val="00DB09C9"/>
    <w:rsid w:val="00DB44F9"/>
    <w:rsid w:val="00DC5790"/>
    <w:rsid w:val="00E014C7"/>
    <w:rsid w:val="00E04A9E"/>
    <w:rsid w:val="00E05AE1"/>
    <w:rsid w:val="00E46428"/>
    <w:rsid w:val="00E600FA"/>
    <w:rsid w:val="00E7627A"/>
    <w:rsid w:val="00E87205"/>
    <w:rsid w:val="00E90DA8"/>
    <w:rsid w:val="00E926D4"/>
    <w:rsid w:val="00E92A50"/>
    <w:rsid w:val="00EA0FDF"/>
    <w:rsid w:val="00EA1D62"/>
    <w:rsid w:val="00EC18C0"/>
    <w:rsid w:val="00EE51F6"/>
    <w:rsid w:val="00EF016C"/>
    <w:rsid w:val="00EF1C26"/>
    <w:rsid w:val="00F151D2"/>
    <w:rsid w:val="00F20B5C"/>
    <w:rsid w:val="00F20FF4"/>
    <w:rsid w:val="00F263C8"/>
    <w:rsid w:val="00F27757"/>
    <w:rsid w:val="00F40E42"/>
    <w:rsid w:val="00F45EB6"/>
    <w:rsid w:val="00F47E35"/>
    <w:rsid w:val="00F626BD"/>
    <w:rsid w:val="00FC3C21"/>
    <w:rsid w:val="00FC75B6"/>
    <w:rsid w:val="00FD1986"/>
    <w:rsid w:val="00FD52D2"/>
    <w:rsid w:val="00FE6670"/>
    <w:rsid w:val="00FF59BE"/>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390838"/>
  <w15:chartTrackingRefBased/>
  <w15:docId w15:val="{5F94895C-A7C7-4A36-9293-F0EDC01A6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453736"/>
    <w:rPr>
      <w:color w:val="0563C1" w:themeColor="hyperlink"/>
      <w:u w:val="single"/>
    </w:rPr>
  </w:style>
  <w:style w:type="character" w:styleId="SnhebeiDdatrys">
    <w:name w:val="Unresolved Mention"/>
    <w:basedOn w:val="FfontParagraffDdiofyn"/>
    <w:uiPriority w:val="99"/>
    <w:semiHidden/>
    <w:unhideWhenUsed/>
    <w:rsid w:val="00453736"/>
    <w:rPr>
      <w:color w:val="605E5C"/>
      <w:shd w:val="clear" w:color="auto" w:fill="E1DFDD"/>
    </w:rPr>
  </w:style>
  <w:style w:type="paragraph" w:styleId="ParagraffRhestr">
    <w:name w:val="List Paragraph"/>
    <w:basedOn w:val="Normal"/>
    <w:uiPriority w:val="34"/>
    <w:qFormat/>
    <w:rsid w:val="00E926D4"/>
    <w:pPr>
      <w:ind w:left="720"/>
      <w:contextualSpacing/>
    </w:pPr>
  </w:style>
  <w:style w:type="paragraph" w:styleId="NormalGwe">
    <w:name w:val="Normal (Web)"/>
    <w:basedOn w:val="Normal"/>
    <w:uiPriority w:val="99"/>
    <w:semiHidden/>
    <w:unhideWhenUsed/>
    <w:rsid w:val="00AB44D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ssignBodyChar">
    <w:name w:val="AssignBody Char"/>
    <w:basedOn w:val="FfontParagraffDdiofyn"/>
    <w:link w:val="AssignBody"/>
    <w:locked/>
    <w:rsid w:val="00AB44D9"/>
    <w:rPr>
      <w:rFonts w:ascii="Arial" w:hAnsi="Arial" w:cs="Arial"/>
    </w:rPr>
  </w:style>
  <w:style w:type="paragraph" w:customStyle="1" w:styleId="AssignBody">
    <w:name w:val="AssignBody"/>
    <w:basedOn w:val="Normal"/>
    <w:link w:val="AssignBodyChar"/>
    <w:qFormat/>
    <w:rsid w:val="00AB44D9"/>
    <w:pPr>
      <w:spacing w:after="0" w:line="360" w:lineRule="auto"/>
    </w:pPr>
    <w:rPr>
      <w:rFonts w:ascii="Arial" w:hAnsi="Arial" w:cs="Arial"/>
    </w:rPr>
  </w:style>
  <w:style w:type="table" w:styleId="GridTabl">
    <w:name w:val="Table Grid"/>
    <w:basedOn w:val="TablNormal"/>
    <w:uiPriority w:val="39"/>
    <w:rsid w:val="00AB44D9"/>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33744">
      <w:bodyDiv w:val="1"/>
      <w:marLeft w:val="0"/>
      <w:marRight w:val="0"/>
      <w:marTop w:val="0"/>
      <w:marBottom w:val="0"/>
      <w:divBdr>
        <w:top w:val="none" w:sz="0" w:space="0" w:color="auto"/>
        <w:left w:val="none" w:sz="0" w:space="0" w:color="auto"/>
        <w:bottom w:val="none" w:sz="0" w:space="0" w:color="auto"/>
        <w:right w:val="none" w:sz="0" w:space="0" w:color="auto"/>
      </w:divBdr>
    </w:div>
    <w:div w:id="1309287728">
      <w:bodyDiv w:val="1"/>
      <w:marLeft w:val="0"/>
      <w:marRight w:val="0"/>
      <w:marTop w:val="0"/>
      <w:marBottom w:val="0"/>
      <w:divBdr>
        <w:top w:val="none" w:sz="0" w:space="0" w:color="auto"/>
        <w:left w:val="none" w:sz="0" w:space="0" w:color="auto"/>
        <w:bottom w:val="none" w:sz="0" w:space="0" w:color="auto"/>
        <w:right w:val="none" w:sz="0" w:space="0" w:color="auto"/>
      </w:divBdr>
    </w:div>
    <w:div w:id="149856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ruff/AppData/Local/Packages/Microsoft.MicrosoftEdge_8wekyb3d8bbwe/TempState/Downloads/OgegboGaigher2019%20(1).pdf" TargetMode="External"/><Relationship Id="rId3" Type="http://schemas.openxmlformats.org/officeDocument/2006/relationships/settings" Target="settings.xml"/><Relationship Id="rId7" Type="http://schemas.openxmlformats.org/officeDocument/2006/relationships/hyperlink" Target="file:///C:/Users/Gruff/AppData/Local/Packages/Microsoft.MicrosoftEdge_8wekyb3d8bbwe/TempState/Downloads/Archer%202016%20(1).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jmr.com/wp-content/uploads/2015/12/APJMR-2015-3.5.1.01.pdf"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jimwrightonline.com/pdfdocs/timers/timers_intv_ideas.pdf" TargetMode="External"/><Relationship Id="rId4" Type="http://schemas.openxmlformats.org/officeDocument/2006/relationships/webSettings" Target="webSettings.xml"/><Relationship Id="rId9" Type="http://schemas.openxmlformats.org/officeDocument/2006/relationships/hyperlink" Target="http://sru.soc.surrey.ac.uk/SRU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15022</TotalTime>
  <Pages>15</Pages>
  <Words>5438</Words>
  <Characters>30997</Characters>
  <Application>Microsoft Office Word</Application>
  <DocSecurity>0</DocSecurity>
  <Lines>258</Lines>
  <Paragraphs>72</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36363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Gruffydd Davies</dc:creator>
  <cp:keywords/>
  <dc:description/>
  <cp:lastModifiedBy>Gruffydd Davies</cp:lastModifiedBy>
  <cp:revision>87</cp:revision>
  <dcterms:created xsi:type="dcterms:W3CDTF">2020-02-04T17:11:00Z</dcterms:created>
  <dcterms:modified xsi:type="dcterms:W3CDTF">2020-02-23T20:56:00Z</dcterms:modified>
</cp:coreProperties>
</file>