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6730B" w14:textId="77777777" w:rsidR="00D21CA7" w:rsidRDefault="00D21CA7" w:rsidP="00953631">
      <w:pPr>
        <w:spacing w:line="360" w:lineRule="auto"/>
        <w:jc w:val="center"/>
        <w:rPr>
          <w:b/>
          <w:bCs/>
          <w:sz w:val="48"/>
          <w:szCs w:val="44"/>
        </w:rPr>
      </w:pPr>
    </w:p>
    <w:p w14:paraId="044C3CD1" w14:textId="575CC24A" w:rsidR="00E66A97" w:rsidRPr="004506B8" w:rsidRDefault="00F16EA2" w:rsidP="00953631">
      <w:pPr>
        <w:spacing w:line="360" w:lineRule="auto"/>
        <w:jc w:val="center"/>
        <w:rPr>
          <w:b/>
          <w:bCs/>
          <w:sz w:val="72"/>
          <w:szCs w:val="72"/>
        </w:rPr>
      </w:pPr>
      <w:r w:rsidRPr="004506B8">
        <w:rPr>
          <w:b/>
          <w:bCs/>
          <w:sz w:val="72"/>
          <w:szCs w:val="72"/>
        </w:rPr>
        <w:t>Research paper</w:t>
      </w:r>
    </w:p>
    <w:p w14:paraId="10643B70" w14:textId="3C26EA9C" w:rsidR="00D21762" w:rsidRPr="004506B8" w:rsidRDefault="00F16EA2" w:rsidP="00953631">
      <w:pPr>
        <w:spacing w:line="360" w:lineRule="auto"/>
        <w:jc w:val="center"/>
        <w:rPr>
          <w:b/>
          <w:bCs/>
          <w:sz w:val="72"/>
          <w:szCs w:val="72"/>
        </w:rPr>
      </w:pPr>
      <w:r w:rsidRPr="004506B8">
        <w:rPr>
          <w:b/>
          <w:bCs/>
          <w:sz w:val="72"/>
          <w:szCs w:val="72"/>
        </w:rPr>
        <w:t>Sustainability of Hilton Hotel and Hospitality Sector</w:t>
      </w:r>
    </w:p>
    <w:p w14:paraId="3B079E2F" w14:textId="77777777" w:rsidR="00D21762" w:rsidRDefault="00D21762" w:rsidP="00953631">
      <w:pPr>
        <w:spacing w:line="360" w:lineRule="auto"/>
        <w:jc w:val="center"/>
        <w:rPr>
          <w:b/>
          <w:bCs/>
          <w:sz w:val="48"/>
          <w:szCs w:val="44"/>
        </w:rPr>
      </w:pPr>
    </w:p>
    <w:p w14:paraId="4180B20F" w14:textId="77777777" w:rsidR="00D21762" w:rsidRDefault="00D21762" w:rsidP="00953631">
      <w:pPr>
        <w:spacing w:line="360" w:lineRule="auto"/>
        <w:jc w:val="center"/>
        <w:rPr>
          <w:b/>
          <w:bCs/>
          <w:sz w:val="48"/>
          <w:szCs w:val="44"/>
        </w:rPr>
      </w:pPr>
    </w:p>
    <w:p w14:paraId="69FC9F5E" w14:textId="77777777" w:rsidR="00D21762" w:rsidRDefault="00D21762" w:rsidP="00953631">
      <w:pPr>
        <w:spacing w:line="360" w:lineRule="auto"/>
        <w:jc w:val="center"/>
        <w:rPr>
          <w:b/>
          <w:bCs/>
          <w:sz w:val="48"/>
          <w:szCs w:val="44"/>
        </w:rPr>
      </w:pPr>
    </w:p>
    <w:p w14:paraId="4F92D5A1" w14:textId="77777777" w:rsidR="00D21762" w:rsidRDefault="00D21762" w:rsidP="00953631">
      <w:pPr>
        <w:spacing w:line="360" w:lineRule="auto"/>
        <w:jc w:val="center"/>
        <w:rPr>
          <w:b/>
          <w:bCs/>
          <w:sz w:val="48"/>
          <w:szCs w:val="44"/>
        </w:rPr>
      </w:pPr>
    </w:p>
    <w:p w14:paraId="413716CD" w14:textId="77777777" w:rsidR="00D21762" w:rsidRDefault="00D21762" w:rsidP="00953631">
      <w:pPr>
        <w:spacing w:line="360" w:lineRule="auto"/>
        <w:jc w:val="center"/>
        <w:rPr>
          <w:b/>
          <w:bCs/>
          <w:sz w:val="48"/>
          <w:szCs w:val="44"/>
        </w:rPr>
      </w:pPr>
    </w:p>
    <w:p w14:paraId="392B94DA" w14:textId="77777777" w:rsidR="00D21762" w:rsidRDefault="00D21762" w:rsidP="00953631">
      <w:pPr>
        <w:spacing w:line="360" w:lineRule="auto"/>
        <w:jc w:val="center"/>
        <w:rPr>
          <w:b/>
          <w:bCs/>
          <w:sz w:val="48"/>
          <w:szCs w:val="44"/>
        </w:rPr>
      </w:pPr>
    </w:p>
    <w:p w14:paraId="0A499F15" w14:textId="42ACE4A6" w:rsidR="00E66A97" w:rsidRPr="00D21762" w:rsidRDefault="00F16EA2" w:rsidP="00D21762">
      <w:pPr>
        <w:spacing w:line="360" w:lineRule="auto"/>
        <w:jc w:val="left"/>
        <w:rPr>
          <w:b/>
          <w:bCs/>
          <w:sz w:val="36"/>
          <w:szCs w:val="36"/>
        </w:rPr>
      </w:pPr>
      <w:r w:rsidRPr="00D21762">
        <w:rPr>
          <w:b/>
          <w:bCs/>
          <w:sz w:val="36"/>
          <w:szCs w:val="36"/>
        </w:rPr>
        <w:t>Student:</w:t>
      </w:r>
      <w:r w:rsidR="00953631" w:rsidRPr="00D21762">
        <w:rPr>
          <w:b/>
          <w:bCs/>
          <w:sz w:val="36"/>
          <w:szCs w:val="36"/>
        </w:rPr>
        <w:t xml:space="preserve"> Sorin Ionut Boata</w:t>
      </w:r>
      <w:r w:rsidRPr="00D21762">
        <w:rPr>
          <w:b/>
          <w:bCs/>
          <w:sz w:val="36"/>
          <w:szCs w:val="36"/>
        </w:rPr>
        <w:t>, 2014248</w:t>
      </w:r>
    </w:p>
    <w:p w14:paraId="2A0603AB" w14:textId="13C4780A" w:rsidR="00D21762" w:rsidRPr="00D21762" w:rsidRDefault="00F16EA2" w:rsidP="00D21762">
      <w:pPr>
        <w:spacing w:line="360" w:lineRule="auto"/>
        <w:jc w:val="left"/>
        <w:rPr>
          <w:b/>
          <w:bCs/>
          <w:sz w:val="36"/>
          <w:szCs w:val="36"/>
        </w:rPr>
      </w:pPr>
      <w:r w:rsidRPr="00D21762">
        <w:rPr>
          <w:b/>
          <w:bCs/>
          <w:sz w:val="36"/>
          <w:szCs w:val="36"/>
        </w:rPr>
        <w:t>Module: Contemporary Themes in the Hotel and Hospitality Sector, BMIH6001</w:t>
      </w:r>
    </w:p>
    <w:p w14:paraId="5E093CD0" w14:textId="1979058B" w:rsidR="00953631" w:rsidRPr="00D21762" w:rsidRDefault="00F16EA2" w:rsidP="00D21762">
      <w:pPr>
        <w:spacing w:line="360" w:lineRule="auto"/>
        <w:jc w:val="left"/>
        <w:rPr>
          <w:b/>
          <w:bCs/>
          <w:sz w:val="36"/>
          <w:szCs w:val="36"/>
        </w:rPr>
      </w:pPr>
      <w:r w:rsidRPr="00D21762">
        <w:rPr>
          <w:b/>
          <w:bCs/>
          <w:sz w:val="36"/>
          <w:szCs w:val="36"/>
        </w:rPr>
        <w:t>Lecturer: Lisa Knight</w:t>
      </w:r>
    </w:p>
    <w:p w14:paraId="20341C90" w14:textId="49546FCD" w:rsidR="00E66A97" w:rsidRPr="00E66A97" w:rsidRDefault="00E66A97" w:rsidP="00D21762">
      <w:pPr>
        <w:spacing w:line="360" w:lineRule="auto"/>
        <w:jc w:val="left"/>
        <w:rPr>
          <w:b/>
          <w:bCs/>
          <w:sz w:val="48"/>
          <w:szCs w:val="44"/>
        </w:rPr>
      </w:pPr>
    </w:p>
    <w:sdt>
      <w:sdtPr>
        <w:rPr>
          <w:rFonts w:ascii="Times New Roman" w:eastAsiaTheme="minorHAnsi" w:hAnsi="Times New Roman" w:cstheme="minorBidi"/>
          <w:color w:val="auto"/>
          <w:sz w:val="24"/>
          <w:szCs w:val="22"/>
          <w:lang w:val="en-IN"/>
        </w:rPr>
        <w:id w:val="2113002325"/>
        <w:docPartObj>
          <w:docPartGallery w:val="Table of Contents"/>
          <w:docPartUnique/>
        </w:docPartObj>
      </w:sdtPr>
      <w:sdtEndPr>
        <w:rPr>
          <w:b/>
          <w:bCs/>
          <w:noProof/>
        </w:rPr>
      </w:sdtEndPr>
      <w:sdtContent>
        <w:p w14:paraId="4B1A91F3" w14:textId="007C6344" w:rsidR="00420186" w:rsidRDefault="00F16EA2" w:rsidP="00953631">
          <w:pPr>
            <w:pStyle w:val="TOCHeading"/>
            <w:spacing w:line="360" w:lineRule="auto"/>
          </w:pPr>
          <w:r>
            <w:t>Table of Contents</w:t>
          </w:r>
        </w:p>
        <w:p w14:paraId="04F1F0B1" w14:textId="77777777" w:rsidR="00953631" w:rsidRPr="00953631" w:rsidRDefault="00953631" w:rsidP="00953631">
          <w:pPr>
            <w:spacing w:line="360" w:lineRule="auto"/>
            <w:rPr>
              <w:lang w:val="en-US"/>
            </w:rPr>
          </w:pPr>
        </w:p>
        <w:p w14:paraId="0B6DD5D8" w14:textId="3BE924D7" w:rsidR="00CE09DE" w:rsidRDefault="00F16EA2">
          <w:pPr>
            <w:pStyle w:val="TOC1"/>
            <w:tabs>
              <w:tab w:val="right" w:leader="dot" w:pos="9016"/>
            </w:tabs>
            <w:rPr>
              <w:rFonts w:asciiTheme="minorHAnsi" w:eastAsiaTheme="minorEastAsia" w:hAnsiTheme="minorHAnsi"/>
              <w:noProof/>
              <w:kern w:val="2"/>
              <w:sz w:val="22"/>
              <w:lang w:val="en-GB" w:eastAsia="en-GB"/>
              <w14:ligatures w14:val="standardContextual"/>
            </w:rPr>
          </w:pPr>
          <w:r>
            <w:fldChar w:fldCharType="begin"/>
          </w:r>
          <w:r>
            <w:instrText xml:space="preserve"> TOC \o "1-3" \h \z \u </w:instrText>
          </w:r>
          <w:r>
            <w:fldChar w:fldCharType="separate"/>
          </w:r>
          <w:hyperlink w:anchor="_Toc136598341" w:history="1">
            <w:r w:rsidR="00CE09DE" w:rsidRPr="00AD11EF">
              <w:rPr>
                <w:rStyle w:val="Hyperlink"/>
                <w:noProof/>
              </w:rPr>
              <w:t>Introduction</w:t>
            </w:r>
            <w:r w:rsidR="00CE09DE">
              <w:rPr>
                <w:noProof/>
                <w:webHidden/>
              </w:rPr>
              <w:tab/>
            </w:r>
            <w:r w:rsidR="00CE09DE">
              <w:rPr>
                <w:noProof/>
                <w:webHidden/>
              </w:rPr>
              <w:fldChar w:fldCharType="begin"/>
            </w:r>
            <w:r w:rsidR="00CE09DE">
              <w:rPr>
                <w:noProof/>
                <w:webHidden/>
              </w:rPr>
              <w:instrText xml:space="preserve"> PAGEREF _Toc136598341 \h </w:instrText>
            </w:r>
            <w:r w:rsidR="00CE09DE">
              <w:rPr>
                <w:noProof/>
                <w:webHidden/>
              </w:rPr>
            </w:r>
            <w:r w:rsidR="00CE09DE">
              <w:rPr>
                <w:noProof/>
                <w:webHidden/>
              </w:rPr>
              <w:fldChar w:fldCharType="separate"/>
            </w:r>
            <w:r w:rsidR="00CE09DE">
              <w:rPr>
                <w:noProof/>
                <w:webHidden/>
              </w:rPr>
              <w:t>3</w:t>
            </w:r>
            <w:r w:rsidR="00CE09DE">
              <w:rPr>
                <w:noProof/>
                <w:webHidden/>
              </w:rPr>
              <w:fldChar w:fldCharType="end"/>
            </w:r>
          </w:hyperlink>
        </w:p>
        <w:p w14:paraId="0FB172F3" w14:textId="683FD5A9" w:rsidR="00CE09DE" w:rsidRDefault="00CE09DE">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6598342" w:history="1">
            <w:r w:rsidRPr="00AD11EF">
              <w:rPr>
                <w:rStyle w:val="Hyperlink"/>
                <w:noProof/>
              </w:rPr>
              <w:t>Overview Of Literature</w:t>
            </w:r>
            <w:r>
              <w:rPr>
                <w:noProof/>
                <w:webHidden/>
              </w:rPr>
              <w:tab/>
            </w:r>
            <w:r>
              <w:rPr>
                <w:noProof/>
                <w:webHidden/>
              </w:rPr>
              <w:fldChar w:fldCharType="begin"/>
            </w:r>
            <w:r>
              <w:rPr>
                <w:noProof/>
                <w:webHidden/>
              </w:rPr>
              <w:instrText xml:space="preserve"> PAGEREF _Toc136598342 \h </w:instrText>
            </w:r>
            <w:r>
              <w:rPr>
                <w:noProof/>
                <w:webHidden/>
              </w:rPr>
            </w:r>
            <w:r>
              <w:rPr>
                <w:noProof/>
                <w:webHidden/>
              </w:rPr>
              <w:fldChar w:fldCharType="separate"/>
            </w:r>
            <w:r>
              <w:rPr>
                <w:noProof/>
                <w:webHidden/>
              </w:rPr>
              <w:t>4</w:t>
            </w:r>
            <w:r>
              <w:rPr>
                <w:noProof/>
                <w:webHidden/>
              </w:rPr>
              <w:fldChar w:fldCharType="end"/>
            </w:r>
          </w:hyperlink>
        </w:p>
        <w:p w14:paraId="25937F96" w14:textId="4F9053EE" w:rsidR="00CE09DE" w:rsidRDefault="00CE09DE">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6598343" w:history="1">
            <w:r w:rsidRPr="00AD11EF">
              <w:rPr>
                <w:rStyle w:val="Hyperlink"/>
                <w:rFonts w:eastAsia="Times New Roman"/>
                <w:noProof/>
              </w:rPr>
              <w:t>Application to the hotel and hospitality sector</w:t>
            </w:r>
            <w:r>
              <w:rPr>
                <w:noProof/>
                <w:webHidden/>
              </w:rPr>
              <w:tab/>
            </w:r>
            <w:r>
              <w:rPr>
                <w:noProof/>
                <w:webHidden/>
              </w:rPr>
              <w:fldChar w:fldCharType="begin"/>
            </w:r>
            <w:r>
              <w:rPr>
                <w:noProof/>
                <w:webHidden/>
              </w:rPr>
              <w:instrText xml:space="preserve"> PAGEREF _Toc136598343 \h </w:instrText>
            </w:r>
            <w:r>
              <w:rPr>
                <w:noProof/>
                <w:webHidden/>
              </w:rPr>
            </w:r>
            <w:r>
              <w:rPr>
                <w:noProof/>
                <w:webHidden/>
              </w:rPr>
              <w:fldChar w:fldCharType="separate"/>
            </w:r>
            <w:r>
              <w:rPr>
                <w:noProof/>
                <w:webHidden/>
              </w:rPr>
              <w:t>6</w:t>
            </w:r>
            <w:r>
              <w:rPr>
                <w:noProof/>
                <w:webHidden/>
              </w:rPr>
              <w:fldChar w:fldCharType="end"/>
            </w:r>
          </w:hyperlink>
        </w:p>
        <w:p w14:paraId="269276E2" w14:textId="05E5ED7F" w:rsidR="00CE09DE" w:rsidRDefault="00CE09DE">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6598344" w:history="1">
            <w:r w:rsidRPr="00AD11EF">
              <w:rPr>
                <w:rStyle w:val="Hyperlink"/>
                <w:rFonts w:eastAsia="Times New Roman"/>
                <w:noProof/>
              </w:rPr>
              <w:t>Evaluate future policy and management options for dealing with this issue.</w:t>
            </w:r>
            <w:r>
              <w:rPr>
                <w:noProof/>
                <w:webHidden/>
              </w:rPr>
              <w:tab/>
            </w:r>
            <w:r>
              <w:rPr>
                <w:noProof/>
                <w:webHidden/>
              </w:rPr>
              <w:fldChar w:fldCharType="begin"/>
            </w:r>
            <w:r>
              <w:rPr>
                <w:noProof/>
                <w:webHidden/>
              </w:rPr>
              <w:instrText xml:space="preserve"> PAGEREF _Toc136598344 \h </w:instrText>
            </w:r>
            <w:r>
              <w:rPr>
                <w:noProof/>
                <w:webHidden/>
              </w:rPr>
            </w:r>
            <w:r>
              <w:rPr>
                <w:noProof/>
                <w:webHidden/>
              </w:rPr>
              <w:fldChar w:fldCharType="separate"/>
            </w:r>
            <w:r>
              <w:rPr>
                <w:noProof/>
                <w:webHidden/>
              </w:rPr>
              <w:t>10</w:t>
            </w:r>
            <w:r>
              <w:rPr>
                <w:noProof/>
                <w:webHidden/>
              </w:rPr>
              <w:fldChar w:fldCharType="end"/>
            </w:r>
          </w:hyperlink>
        </w:p>
        <w:p w14:paraId="5BE78A53" w14:textId="55455851" w:rsidR="00CE09DE" w:rsidRDefault="00CE09DE">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6598345" w:history="1">
            <w:r w:rsidRPr="00AD11EF">
              <w:rPr>
                <w:rStyle w:val="Hyperlink"/>
                <w:noProof/>
              </w:rPr>
              <w:t>References</w:t>
            </w:r>
            <w:r>
              <w:rPr>
                <w:noProof/>
                <w:webHidden/>
              </w:rPr>
              <w:tab/>
            </w:r>
            <w:r>
              <w:rPr>
                <w:noProof/>
                <w:webHidden/>
              </w:rPr>
              <w:fldChar w:fldCharType="begin"/>
            </w:r>
            <w:r>
              <w:rPr>
                <w:noProof/>
                <w:webHidden/>
              </w:rPr>
              <w:instrText xml:space="preserve"> PAGEREF _Toc136598345 \h </w:instrText>
            </w:r>
            <w:r>
              <w:rPr>
                <w:noProof/>
                <w:webHidden/>
              </w:rPr>
            </w:r>
            <w:r>
              <w:rPr>
                <w:noProof/>
                <w:webHidden/>
              </w:rPr>
              <w:fldChar w:fldCharType="separate"/>
            </w:r>
            <w:r>
              <w:rPr>
                <w:noProof/>
                <w:webHidden/>
              </w:rPr>
              <w:t>13</w:t>
            </w:r>
            <w:r>
              <w:rPr>
                <w:noProof/>
                <w:webHidden/>
              </w:rPr>
              <w:fldChar w:fldCharType="end"/>
            </w:r>
          </w:hyperlink>
        </w:p>
        <w:p w14:paraId="555DE221" w14:textId="5CB28444" w:rsidR="00420186" w:rsidRDefault="00F16EA2" w:rsidP="00953631">
          <w:pPr>
            <w:spacing w:line="360" w:lineRule="auto"/>
          </w:pPr>
          <w:r>
            <w:rPr>
              <w:b/>
              <w:bCs/>
              <w:noProof/>
            </w:rPr>
            <w:fldChar w:fldCharType="end"/>
          </w:r>
        </w:p>
      </w:sdtContent>
    </w:sdt>
    <w:p w14:paraId="706A4180" w14:textId="77777777" w:rsidR="00903820" w:rsidRDefault="00F16EA2" w:rsidP="00953631">
      <w:pPr>
        <w:spacing w:line="360" w:lineRule="auto"/>
        <w:jc w:val="left"/>
        <w:rPr>
          <w:rFonts w:eastAsiaTheme="majorEastAsia" w:cstheme="majorBidi"/>
          <w:b/>
          <w:sz w:val="28"/>
          <w:szCs w:val="32"/>
        </w:rPr>
      </w:pPr>
      <w:r>
        <w:br w:type="page"/>
      </w:r>
    </w:p>
    <w:p w14:paraId="04021122" w14:textId="5E57E891" w:rsidR="00953631" w:rsidRDefault="00F16EA2" w:rsidP="00953631">
      <w:pPr>
        <w:pStyle w:val="Heading1"/>
        <w:spacing w:line="360" w:lineRule="auto"/>
      </w:pPr>
      <w:bookmarkStart w:id="0" w:name="_Toc136598341"/>
      <w:r>
        <w:lastRenderedPageBreak/>
        <w:t>Introduction</w:t>
      </w:r>
      <w:bookmarkEnd w:id="0"/>
    </w:p>
    <w:p w14:paraId="1359E117" w14:textId="77777777" w:rsidR="00896923" w:rsidRPr="00896923" w:rsidRDefault="00896923" w:rsidP="00896923"/>
    <w:p w14:paraId="2438E7FC" w14:textId="483EA566" w:rsidR="00E66A97" w:rsidRDefault="00F16EA2" w:rsidP="00953631">
      <w:pPr>
        <w:spacing w:line="360" w:lineRule="auto"/>
      </w:pPr>
      <w:r>
        <w:t>The issue of sustainable practices in the tourism and hospitality business is extremely important and relevant because of the growing global emphasis on ecological preservation and environmental sustainability. Moreover, the hospitality industry has a considerable ecological footprint</w:t>
      </w:r>
      <w:r w:rsidR="00522E58">
        <w:t xml:space="preserve"> and</w:t>
      </w:r>
      <w:r>
        <w:t xml:space="preserve"> there is a mounting demand for resorts and hotels to implement sustainable practices to reduce the damage. Thus, the impact on the environment, preserve assets and fulfil the changing demands of aware consumers. The hospitality and hotel services sector includes a diverse range of enterprises such as hotels, resorts, bed &amp; breakfasts, eateries, and event facilities. This industry is critical to the global economy since it provides lodging and services to travellers, tourists, and </w:t>
      </w:r>
      <w:proofErr w:type="gramStart"/>
      <w:r w:rsidR="00540076">
        <w:t>business people</w:t>
      </w:r>
      <w:proofErr w:type="gramEnd"/>
      <w:r>
        <w:t xml:space="preserve">. However, the sector confronts several sustainability challenges. Traditional hotel operations require a lot of energy and water, produce a lot of debris, and </w:t>
      </w:r>
      <w:r w:rsidR="00540076">
        <w:t>contribute</w:t>
      </w:r>
      <w:r>
        <w:t xml:space="preserve"> to the emission of greenhouse gases. These practices are not only harmful to the environment, but they can also result in higher operating expenses for hoteliers. </w:t>
      </w:r>
      <w:r w:rsidR="000A748F">
        <w:t>Due to the</w:t>
      </w:r>
      <w:r>
        <w:t xml:space="preserve"> rising concerns about the environment, many consumers now choose eco-friendly practices while selecting lodging. They are looking for resorts and hotels that adopt sustainable practices such as environmentally friendly processes, water conservation, trash reduction, and the utilisation of renewable resources. Adopting sustainable practices not only enables hotels to attract environmentally concerned visitors but further establishes them as accountable businesses, improving their brand reputation and market competitiveness. The environmentally friendly practices developed by </w:t>
      </w:r>
      <w:r w:rsidR="00B540C9">
        <w:t>Hilton</w:t>
      </w:r>
      <w:r>
        <w:t xml:space="preserve"> Hotel, a notable and creative hospitality firm known for its determination to sustainability, will be the core emphasis of this paper. From energy-saving appliances and trash elimination solutions to regionally grown food that is organic and volunteering programmes, </w:t>
      </w:r>
      <w:r w:rsidR="00B540C9">
        <w:t>Hilton</w:t>
      </w:r>
      <w:r>
        <w:t xml:space="preserve"> Hotel has effectively integrated eco-friendly activities into its operations. Analysing </w:t>
      </w:r>
      <w:r w:rsidR="00B540C9">
        <w:t>Hilton</w:t>
      </w:r>
      <w:r>
        <w:t xml:space="preserve"> Hotel's sustainable practices will provide beneficial information on the positive effects, challenges, and best practices associated with conservation in the hospitality and hotel sector. </w:t>
      </w:r>
    </w:p>
    <w:p w14:paraId="4A48E597" w14:textId="77777777" w:rsidR="00E66A97" w:rsidRDefault="00F16EA2" w:rsidP="00953631">
      <w:pPr>
        <w:spacing w:line="360" w:lineRule="auto"/>
        <w:jc w:val="left"/>
      </w:pPr>
      <w:r>
        <w:br w:type="page"/>
      </w:r>
    </w:p>
    <w:p w14:paraId="493966D7" w14:textId="655FFBC6" w:rsidR="00F6744D" w:rsidRDefault="00F16EA2" w:rsidP="00953631">
      <w:pPr>
        <w:pStyle w:val="Heading1"/>
        <w:spacing w:line="360" w:lineRule="auto"/>
      </w:pPr>
      <w:bookmarkStart w:id="1" w:name="_Toc136598342"/>
      <w:r>
        <w:lastRenderedPageBreak/>
        <w:t>O</w:t>
      </w:r>
      <w:r w:rsidR="00AD50C2">
        <w:t>verview Of Literature</w:t>
      </w:r>
      <w:bookmarkEnd w:id="1"/>
    </w:p>
    <w:p w14:paraId="695E06FA" w14:textId="0CF20477" w:rsidR="00EB2E4A" w:rsidRPr="00AD4840" w:rsidRDefault="00F16EA2" w:rsidP="00EB2E4A">
      <w:pPr>
        <w:rPr>
          <w:b/>
          <w:bCs/>
          <w:i/>
          <w:iCs/>
        </w:rPr>
      </w:pPr>
      <w:r w:rsidRPr="00AD4840">
        <w:rPr>
          <w:b/>
          <w:bCs/>
          <w:i/>
          <w:iCs/>
        </w:rPr>
        <w:t xml:space="preserve">Pestel </w:t>
      </w:r>
      <w:r w:rsidR="003305FB">
        <w:rPr>
          <w:b/>
          <w:bCs/>
          <w:i/>
          <w:iCs/>
        </w:rPr>
        <w:t>Issues- analysis</w:t>
      </w:r>
      <w:r w:rsidRPr="00AD4840">
        <w:rPr>
          <w:b/>
          <w:bCs/>
          <w:i/>
          <w:iCs/>
        </w:rPr>
        <w:t xml:space="preserve"> </w:t>
      </w:r>
    </w:p>
    <w:tbl>
      <w:tblPr>
        <w:tblStyle w:val="TableGrid"/>
        <w:tblW w:w="10349" w:type="dxa"/>
        <w:tblInd w:w="-431" w:type="dxa"/>
        <w:tblLook w:val="04A0" w:firstRow="1" w:lastRow="0" w:firstColumn="1" w:lastColumn="0" w:noHBand="0" w:noVBand="1"/>
      </w:tblPr>
      <w:tblGrid>
        <w:gridCol w:w="1373"/>
        <w:gridCol w:w="1716"/>
        <w:gridCol w:w="1569"/>
        <w:gridCol w:w="1823"/>
        <w:gridCol w:w="1643"/>
        <w:gridCol w:w="2225"/>
      </w:tblGrid>
      <w:tr w:rsidR="00CE767A" w14:paraId="43863CCA" w14:textId="77777777" w:rsidTr="00AD4840">
        <w:tc>
          <w:tcPr>
            <w:tcW w:w="1373" w:type="dxa"/>
          </w:tcPr>
          <w:p w14:paraId="0149C488" w14:textId="46628A3B" w:rsidR="00EB2E4A" w:rsidRPr="003305FB" w:rsidRDefault="00F16EA2" w:rsidP="00EB2E4A">
            <w:pPr>
              <w:rPr>
                <w:b/>
                <w:bCs/>
                <w:szCs w:val="24"/>
              </w:rPr>
            </w:pPr>
            <w:r w:rsidRPr="003305FB">
              <w:rPr>
                <w:b/>
                <w:bCs/>
                <w:szCs w:val="24"/>
              </w:rPr>
              <w:t>Politic</w:t>
            </w:r>
            <w:r w:rsidR="003305FB">
              <w:rPr>
                <w:b/>
                <w:bCs/>
                <w:szCs w:val="24"/>
              </w:rPr>
              <w:t>s</w:t>
            </w:r>
          </w:p>
        </w:tc>
        <w:tc>
          <w:tcPr>
            <w:tcW w:w="1716" w:type="dxa"/>
          </w:tcPr>
          <w:p w14:paraId="060549DC" w14:textId="75D70B53" w:rsidR="00EB2E4A" w:rsidRPr="003305FB" w:rsidRDefault="00F16EA2" w:rsidP="00EB2E4A">
            <w:pPr>
              <w:rPr>
                <w:b/>
                <w:bCs/>
                <w:szCs w:val="24"/>
              </w:rPr>
            </w:pPr>
            <w:r w:rsidRPr="003305FB">
              <w:rPr>
                <w:b/>
                <w:bCs/>
                <w:szCs w:val="24"/>
              </w:rPr>
              <w:t>Economic</w:t>
            </w:r>
            <w:r w:rsidR="003305FB">
              <w:rPr>
                <w:b/>
                <w:bCs/>
                <w:szCs w:val="24"/>
              </w:rPr>
              <w:t>s</w:t>
            </w:r>
          </w:p>
        </w:tc>
        <w:tc>
          <w:tcPr>
            <w:tcW w:w="1569" w:type="dxa"/>
          </w:tcPr>
          <w:p w14:paraId="13EF3619" w14:textId="2EE10AFA" w:rsidR="00EB2E4A" w:rsidRPr="003305FB" w:rsidRDefault="00F16EA2" w:rsidP="00EB2E4A">
            <w:pPr>
              <w:rPr>
                <w:b/>
                <w:bCs/>
                <w:szCs w:val="24"/>
              </w:rPr>
            </w:pPr>
            <w:r w:rsidRPr="003305FB">
              <w:rPr>
                <w:b/>
                <w:bCs/>
                <w:szCs w:val="24"/>
              </w:rPr>
              <w:t>Soci</w:t>
            </w:r>
            <w:r w:rsidR="003305FB">
              <w:rPr>
                <w:b/>
                <w:bCs/>
                <w:szCs w:val="24"/>
              </w:rPr>
              <w:t>ology</w:t>
            </w:r>
          </w:p>
        </w:tc>
        <w:tc>
          <w:tcPr>
            <w:tcW w:w="1823" w:type="dxa"/>
          </w:tcPr>
          <w:p w14:paraId="5AFB0C65" w14:textId="12DE6EA4" w:rsidR="00EB2E4A" w:rsidRPr="003305FB" w:rsidRDefault="00F16EA2" w:rsidP="00EB2E4A">
            <w:pPr>
              <w:rPr>
                <w:b/>
                <w:bCs/>
                <w:szCs w:val="24"/>
              </w:rPr>
            </w:pPr>
            <w:r w:rsidRPr="003305FB">
              <w:rPr>
                <w:b/>
                <w:bCs/>
                <w:szCs w:val="24"/>
              </w:rPr>
              <w:t>Technolo</w:t>
            </w:r>
            <w:r w:rsidR="003305FB">
              <w:rPr>
                <w:b/>
                <w:bCs/>
                <w:szCs w:val="24"/>
              </w:rPr>
              <w:t>gy</w:t>
            </w:r>
          </w:p>
        </w:tc>
        <w:tc>
          <w:tcPr>
            <w:tcW w:w="1643" w:type="dxa"/>
          </w:tcPr>
          <w:p w14:paraId="6C1758CF" w14:textId="7954D5E7" w:rsidR="00EB2E4A" w:rsidRPr="003305FB" w:rsidRDefault="00F16EA2" w:rsidP="00EB2E4A">
            <w:pPr>
              <w:rPr>
                <w:b/>
                <w:bCs/>
                <w:szCs w:val="24"/>
              </w:rPr>
            </w:pPr>
            <w:r w:rsidRPr="003305FB">
              <w:rPr>
                <w:b/>
                <w:bCs/>
                <w:szCs w:val="24"/>
              </w:rPr>
              <w:t>Environmen</w:t>
            </w:r>
            <w:r w:rsidR="003305FB">
              <w:rPr>
                <w:b/>
                <w:bCs/>
                <w:szCs w:val="24"/>
              </w:rPr>
              <w:t>t</w:t>
            </w:r>
          </w:p>
        </w:tc>
        <w:tc>
          <w:tcPr>
            <w:tcW w:w="2225" w:type="dxa"/>
          </w:tcPr>
          <w:p w14:paraId="56B6F29C" w14:textId="4EDBD32B" w:rsidR="00EB2E4A" w:rsidRPr="003305FB" w:rsidRDefault="00F16EA2" w:rsidP="00EB2E4A">
            <w:pPr>
              <w:rPr>
                <w:b/>
                <w:bCs/>
                <w:szCs w:val="24"/>
              </w:rPr>
            </w:pPr>
            <w:r w:rsidRPr="003305FB">
              <w:rPr>
                <w:b/>
                <w:bCs/>
                <w:szCs w:val="24"/>
              </w:rPr>
              <w:t>Legal</w:t>
            </w:r>
          </w:p>
        </w:tc>
      </w:tr>
      <w:tr w:rsidR="00CE767A" w14:paraId="058C743E" w14:textId="77777777" w:rsidTr="00AD4840">
        <w:tc>
          <w:tcPr>
            <w:tcW w:w="1373" w:type="dxa"/>
          </w:tcPr>
          <w:p w14:paraId="0FD6DD5D" w14:textId="6AE1B002" w:rsidR="00EB2E4A" w:rsidRPr="00AD4840" w:rsidRDefault="00F16EA2" w:rsidP="00AD4840">
            <w:pPr>
              <w:spacing w:line="360" w:lineRule="auto"/>
              <w:rPr>
                <w:szCs w:val="24"/>
              </w:rPr>
            </w:pPr>
            <w:r w:rsidRPr="00AD4840">
              <w:rPr>
                <w:szCs w:val="24"/>
              </w:rPr>
              <w:t>The importance of taxes in the hotel industry is significant, and they have an effect on the hotel's total earnings.</w:t>
            </w:r>
          </w:p>
        </w:tc>
        <w:tc>
          <w:tcPr>
            <w:tcW w:w="1716" w:type="dxa"/>
          </w:tcPr>
          <w:p w14:paraId="40F6F34E" w14:textId="45F3BCA2" w:rsidR="00EB2E4A" w:rsidRPr="00AD4840" w:rsidRDefault="00F16EA2" w:rsidP="00AD4840">
            <w:pPr>
              <w:spacing w:line="360" w:lineRule="auto"/>
              <w:rPr>
                <w:szCs w:val="24"/>
              </w:rPr>
            </w:pPr>
            <w:r w:rsidRPr="00AD4840">
              <w:rPr>
                <w:szCs w:val="24"/>
              </w:rPr>
              <w:t xml:space="preserve">Economic factors including high unemployment, high inflation, and financial </w:t>
            </w:r>
            <w:r w:rsidR="00F70ADA" w:rsidRPr="00AD4840">
              <w:rPr>
                <w:szCs w:val="24"/>
              </w:rPr>
              <w:t>crises, have</w:t>
            </w:r>
            <w:r w:rsidRPr="00AD4840">
              <w:rPr>
                <w:szCs w:val="24"/>
              </w:rPr>
              <w:t xml:space="preserve"> a direct influence on the hospitality industry.</w:t>
            </w:r>
          </w:p>
        </w:tc>
        <w:tc>
          <w:tcPr>
            <w:tcW w:w="1569" w:type="dxa"/>
          </w:tcPr>
          <w:p w14:paraId="5CE0CBDB" w14:textId="28E5A33A" w:rsidR="00EB2E4A" w:rsidRPr="00AD4840" w:rsidRDefault="00F16EA2" w:rsidP="00AD4840">
            <w:pPr>
              <w:spacing w:line="360" w:lineRule="auto"/>
              <w:rPr>
                <w:szCs w:val="24"/>
              </w:rPr>
            </w:pPr>
            <w:r w:rsidRPr="00AD4840">
              <w:rPr>
                <w:szCs w:val="24"/>
              </w:rPr>
              <w:t>Travellers come from different backgrounds and age categories. Before staying at a hotel, millennials like to research the pricing and facilities.</w:t>
            </w:r>
          </w:p>
        </w:tc>
        <w:tc>
          <w:tcPr>
            <w:tcW w:w="1823" w:type="dxa"/>
          </w:tcPr>
          <w:p w14:paraId="36F96634" w14:textId="75E8FA0E" w:rsidR="00EB2E4A" w:rsidRPr="00AD4840" w:rsidRDefault="00F16EA2" w:rsidP="00AD4840">
            <w:pPr>
              <w:spacing w:line="360" w:lineRule="auto"/>
              <w:rPr>
                <w:szCs w:val="24"/>
              </w:rPr>
            </w:pPr>
            <w:r w:rsidRPr="00AD4840">
              <w:rPr>
                <w:szCs w:val="24"/>
              </w:rPr>
              <w:t>Hotels are able to attract new clients with marketing thanks to online platforms. It can have an influence on the image of the establishment, either favourably or badly. Tourists may leave ratings on travel portals, which keeps hotels competitive.</w:t>
            </w:r>
          </w:p>
        </w:tc>
        <w:tc>
          <w:tcPr>
            <w:tcW w:w="1643" w:type="dxa"/>
          </w:tcPr>
          <w:p w14:paraId="18D2A3F9" w14:textId="0ABAF4C9" w:rsidR="00EB2E4A" w:rsidRPr="00AD4840" w:rsidRDefault="00F16EA2" w:rsidP="00AD4840">
            <w:pPr>
              <w:spacing w:line="360" w:lineRule="auto"/>
              <w:rPr>
                <w:szCs w:val="24"/>
              </w:rPr>
            </w:pPr>
            <w:r w:rsidRPr="00AD4840">
              <w:rPr>
                <w:szCs w:val="24"/>
              </w:rPr>
              <w:t xml:space="preserve">Hotels can </w:t>
            </w:r>
            <w:r w:rsidR="00CE09DE" w:rsidRPr="00AD4840">
              <w:rPr>
                <w:szCs w:val="24"/>
              </w:rPr>
              <w:t>reduce water</w:t>
            </w:r>
            <w:r w:rsidRPr="00AD4840">
              <w:rPr>
                <w:szCs w:val="24"/>
              </w:rPr>
              <w:t>, and energy waste. To decrease environmental damage, they may move to alternative power resources. They can also boost the adoption of recyclable materials to reduce the pollution caused by plastic.</w:t>
            </w:r>
          </w:p>
        </w:tc>
        <w:tc>
          <w:tcPr>
            <w:tcW w:w="2225" w:type="dxa"/>
          </w:tcPr>
          <w:p w14:paraId="63E93B15" w14:textId="532D3F0B" w:rsidR="00EB2E4A" w:rsidRPr="00AD4840" w:rsidRDefault="00F16EA2" w:rsidP="00AD4840">
            <w:pPr>
              <w:spacing w:line="360" w:lineRule="auto"/>
              <w:rPr>
                <w:szCs w:val="24"/>
              </w:rPr>
            </w:pPr>
            <w:r w:rsidRPr="00AD4840">
              <w:rPr>
                <w:szCs w:val="24"/>
              </w:rPr>
              <w:t>The labelling of certain investment products will be required to highlight their sustainable attributes. This will supplement the SDR statements at the company and item categories</w:t>
            </w:r>
            <w:r>
              <w:rPr>
                <w:szCs w:val="24"/>
              </w:rPr>
              <w:t xml:space="preserve"> (</w:t>
            </w:r>
            <w:r w:rsidRPr="00AD4840">
              <w:rPr>
                <w:szCs w:val="24"/>
              </w:rPr>
              <w:t>Adcock</w:t>
            </w:r>
            <w:r>
              <w:rPr>
                <w:szCs w:val="24"/>
              </w:rPr>
              <w:t>,2023).</w:t>
            </w:r>
          </w:p>
        </w:tc>
      </w:tr>
    </w:tbl>
    <w:p w14:paraId="6CC2F603" w14:textId="77777777" w:rsidR="00EB2E4A" w:rsidRPr="00EB2E4A" w:rsidRDefault="00EB2E4A" w:rsidP="00EB2E4A"/>
    <w:p w14:paraId="3A2B3320" w14:textId="6E4D3AFD" w:rsidR="00F6744D" w:rsidRPr="000A748F" w:rsidRDefault="00F16EA2" w:rsidP="00953631">
      <w:pPr>
        <w:spacing w:line="360" w:lineRule="auto"/>
        <w:rPr>
          <w:b/>
          <w:bCs/>
          <w:i/>
          <w:iCs/>
        </w:rPr>
      </w:pPr>
      <w:r w:rsidRPr="000A748F">
        <w:rPr>
          <w:b/>
          <w:bCs/>
          <w:i/>
          <w:iCs/>
        </w:rPr>
        <w:t>Theory of cognitive load</w:t>
      </w:r>
    </w:p>
    <w:p w14:paraId="2655377B" w14:textId="4BED54F8" w:rsidR="00F6744D" w:rsidRDefault="00F16EA2" w:rsidP="00953631">
      <w:pPr>
        <w:spacing w:line="360" w:lineRule="auto"/>
      </w:pPr>
      <w:r w:rsidRPr="00896923">
        <w:t xml:space="preserve">Perspectives on human cognition and its effects on problem-solving and learning are provided by John Sweller's Theory of Cognitive Load. By examining how cognitive load impacts </w:t>
      </w:r>
      <w:r w:rsidR="00E83638">
        <w:t>the</w:t>
      </w:r>
      <w:r w:rsidRPr="00896923">
        <w:t xml:space="preserve"> areas, including using technology, learning settings, and professional performance, a new study has built on this idea. </w:t>
      </w:r>
      <w:r w:rsidR="00D21762">
        <w:t>The findings suggest that knowing the cognitive load can improve instructional design, the results of learning, and the process of decision-making in a variety of scenarios</w:t>
      </w:r>
      <w:sdt>
        <w:sdtPr>
          <w:id w:val="1896620912"/>
          <w:citation/>
        </w:sdtPr>
        <w:sdtEndPr/>
        <w:sdtContent>
          <w:r w:rsidR="001974FF">
            <w:fldChar w:fldCharType="begin"/>
          </w:r>
          <w:r w:rsidR="001974FF">
            <w:rPr>
              <w:lang w:val="en-US"/>
            </w:rPr>
            <w:instrText xml:space="preserve"> CITATION Lai203 \l 1033 </w:instrText>
          </w:r>
          <w:r w:rsidR="001974FF">
            <w:fldChar w:fldCharType="separate"/>
          </w:r>
          <w:r w:rsidR="001974FF">
            <w:rPr>
              <w:noProof/>
              <w:lang w:val="en-US"/>
            </w:rPr>
            <w:t xml:space="preserve"> </w:t>
          </w:r>
          <w:r w:rsidR="001974FF" w:rsidRPr="001974FF">
            <w:rPr>
              <w:noProof/>
              <w:lang w:val="en-US"/>
            </w:rPr>
            <w:t>(Petersen, 2020)</w:t>
          </w:r>
          <w:r w:rsidR="001974FF">
            <w:fldChar w:fldCharType="end"/>
          </w:r>
        </w:sdtContent>
      </w:sdt>
      <w:r w:rsidR="00D21762">
        <w:t xml:space="preserve">. When people are overloaded with too many options or whenever </w:t>
      </w:r>
      <w:r w:rsidR="00D21762">
        <w:lastRenderedPageBreak/>
        <w:t xml:space="preserve">the details supplied are complicated and challenging to understand, they may experience a high cognitive load. </w:t>
      </w:r>
      <w:r w:rsidR="00AD50C2">
        <w:t>T</w:t>
      </w:r>
      <w:r w:rsidR="00D21762">
        <w:t>ourism providers must provide information clearly and concisely</w:t>
      </w:r>
      <w:r w:rsidR="001974FF">
        <w:t xml:space="preserve"> to reduce cognitive load in hospitality.</w:t>
      </w:r>
      <w:r w:rsidR="00D21762">
        <w:t xml:space="preserve"> </w:t>
      </w:r>
      <w:r w:rsidR="001974FF">
        <w:t xml:space="preserve">It </w:t>
      </w:r>
      <w:r w:rsidR="00D21762">
        <w:t>streamline</w:t>
      </w:r>
      <w:r w:rsidR="001974FF">
        <w:t>s</w:t>
      </w:r>
      <w:r w:rsidR="00D21762">
        <w:t xml:space="preserve"> the process of making </w:t>
      </w:r>
      <w:r w:rsidR="00540076">
        <w:t>decisions and</w:t>
      </w:r>
      <w:r w:rsidR="00D21762">
        <w:t xml:space="preserve"> gives assistance resources or advice to aid people in successfully regulating their cognitive load</w:t>
      </w:r>
      <w:r w:rsidR="00480015">
        <w:t xml:space="preserve"> (</w:t>
      </w:r>
      <w:r w:rsidR="00480015" w:rsidRPr="001974FF">
        <w:t>Thompson</w:t>
      </w:r>
      <w:r w:rsidR="00480015">
        <w:t>, 2020</w:t>
      </w:r>
      <w:r w:rsidR="00EE6738">
        <w:t>,</w:t>
      </w:r>
      <w:r w:rsidR="00EE6738" w:rsidRPr="00EE6738">
        <w:t xml:space="preserve"> p.1-</w:t>
      </w:r>
      <w:r w:rsidR="003305FB" w:rsidRPr="00EE6738">
        <w:t>9</w:t>
      </w:r>
      <w:r w:rsidR="003305FB">
        <w:t>)</w:t>
      </w:r>
      <w:r w:rsidR="00D21762">
        <w:t>.</w:t>
      </w:r>
    </w:p>
    <w:p w14:paraId="042D7796" w14:textId="02576869" w:rsidR="003305FB" w:rsidRDefault="003305FB" w:rsidP="00953631">
      <w:pPr>
        <w:spacing w:line="360" w:lineRule="auto"/>
        <w:rPr>
          <w:b/>
          <w:bCs/>
          <w:i/>
          <w:iCs/>
        </w:rPr>
      </w:pPr>
      <w:r w:rsidRPr="003305FB">
        <w:rPr>
          <w:b/>
          <w:bCs/>
          <w:i/>
          <w:iCs/>
        </w:rPr>
        <w:t>Theory of Social Cognitive Behaviour</w:t>
      </w:r>
    </w:p>
    <w:p w14:paraId="2E3E2FE5" w14:textId="365C0B62" w:rsidR="00F6744D" w:rsidRDefault="003305FB" w:rsidP="00953631">
      <w:pPr>
        <w:spacing w:line="360" w:lineRule="auto"/>
      </w:pPr>
      <w:r w:rsidRPr="003305FB">
        <w:t xml:space="preserve">The relevance of the process of observation, self-efficacy, and result expectations, as well as the reciprocal relationship between individuals and their environment, are underlined in Albert Bandura's Social Cognitive Theory. </w:t>
      </w:r>
      <w:r w:rsidR="00F16EA2" w:rsidRPr="00896923">
        <w:t>Recent research has examined the relevance of this theory to changing organisational behaviour, leadership development, and health behaviour. Recent research has also examined how internet platforms affect social and cognitive functions</w:t>
      </w:r>
      <w:r w:rsidR="00F16EA2">
        <w:t xml:space="preserve"> </w:t>
      </w:r>
      <w:r w:rsidR="00480015">
        <w:t>(</w:t>
      </w:r>
      <w:r w:rsidR="00480015" w:rsidRPr="001974FF">
        <w:t>Krcmar</w:t>
      </w:r>
      <w:r w:rsidR="00480015">
        <w:t>, 2020</w:t>
      </w:r>
      <w:r w:rsidR="00501D01">
        <w:t>,</w:t>
      </w:r>
      <w:r w:rsidR="00501D01" w:rsidRPr="00501D01">
        <w:t xml:space="preserve"> p. 100-114</w:t>
      </w:r>
      <w:r w:rsidR="00501D01">
        <w:t>)</w:t>
      </w:r>
      <w:r w:rsidR="00D21762">
        <w:t>.</w:t>
      </w:r>
    </w:p>
    <w:p w14:paraId="22C01F3D" w14:textId="0D3626B8" w:rsidR="00F6744D" w:rsidRDefault="00F16EA2" w:rsidP="00953631">
      <w:pPr>
        <w:spacing w:line="360" w:lineRule="auto"/>
      </w:pPr>
      <w:r>
        <w:t>The significance of self-worth particularly encompasses people's convictions in their capacity to effectively carry out specific travel-related activities, is also highlighted by Social Cognitive Theory. Individuals with higher degrees of optimism in navigating foreign environments or engaging in daring activities may be more likely to be involved in tourism experiences</w:t>
      </w:r>
      <w:sdt>
        <w:sdtPr>
          <w:id w:val="190121368"/>
          <w:citation/>
        </w:sdtPr>
        <w:sdtEndPr/>
        <w:sdtContent>
          <w:r w:rsidR="00480015">
            <w:fldChar w:fldCharType="begin"/>
          </w:r>
          <w:r w:rsidR="00480015">
            <w:rPr>
              <w:lang w:val="en-US"/>
            </w:rPr>
            <w:instrText xml:space="preserve"> CITATION Cat21 \l 1033 </w:instrText>
          </w:r>
          <w:r w:rsidR="00480015">
            <w:fldChar w:fldCharType="separate"/>
          </w:r>
          <w:r w:rsidR="00480015">
            <w:rPr>
              <w:noProof/>
              <w:lang w:val="en-US"/>
            </w:rPr>
            <w:t xml:space="preserve"> </w:t>
          </w:r>
          <w:r w:rsidR="00480015" w:rsidRPr="00480015">
            <w:rPr>
              <w:noProof/>
              <w:lang w:val="en-US"/>
            </w:rPr>
            <w:t>(Capozzi, 2021)</w:t>
          </w:r>
          <w:r w:rsidR="00480015">
            <w:fldChar w:fldCharType="end"/>
          </w:r>
        </w:sdtContent>
      </w:sdt>
      <w:r>
        <w:t>.</w:t>
      </w:r>
    </w:p>
    <w:p w14:paraId="75C3A2BB" w14:textId="2F198D88" w:rsidR="00F6744D" w:rsidRPr="000A748F" w:rsidRDefault="00F16EA2" w:rsidP="00953631">
      <w:pPr>
        <w:spacing w:line="360" w:lineRule="auto"/>
        <w:rPr>
          <w:b/>
          <w:bCs/>
          <w:i/>
          <w:iCs/>
        </w:rPr>
      </w:pPr>
      <w:r w:rsidRPr="000A748F">
        <w:rPr>
          <w:b/>
          <w:bCs/>
          <w:i/>
          <w:iCs/>
        </w:rPr>
        <w:t>Dual Process Theory</w:t>
      </w:r>
    </w:p>
    <w:p w14:paraId="2E40BE31" w14:textId="350D1B21" w:rsidR="00D21CA7" w:rsidRDefault="00F16EA2" w:rsidP="00953631">
      <w:pPr>
        <w:spacing w:line="360" w:lineRule="auto"/>
      </w:pPr>
      <w:r w:rsidRPr="00896923">
        <w:t>The Dual-Process Theory proposes that human cognition and decision-making include two distinct intellectual processes, referred to as instinctive and intentional. By examining the neural mechanisms behind these processes, as well as the ramifications for judgement, decision-making, and conduct, recent research has built on this concept</w:t>
      </w:r>
      <w:r>
        <w:t xml:space="preserve"> </w:t>
      </w:r>
      <w:r w:rsidR="00480015">
        <w:t>(</w:t>
      </w:r>
      <w:r w:rsidR="00480015" w:rsidRPr="001974FF">
        <w:t>Stewart</w:t>
      </w:r>
      <w:r w:rsidR="00480015">
        <w:t xml:space="preserve"> et al., 2020</w:t>
      </w:r>
      <w:r w:rsidR="00EE6738">
        <w:t xml:space="preserve">, </w:t>
      </w:r>
      <w:r w:rsidR="00EE6738" w:rsidRPr="00EE6738">
        <w:t>p.758-773</w:t>
      </w:r>
      <w:r w:rsidR="00480015">
        <w:t>)</w:t>
      </w:r>
      <w:r w:rsidR="00D21762">
        <w:t xml:space="preserve">. </w:t>
      </w:r>
      <w:r w:rsidRPr="00896923">
        <w:t>Understanding how both of these systems interact and contribute to other cognitive phenomena, such as bias, reasoning, and moral judgements, has improved as a result of neuroimaging studies. According to this idea, people may decide where to go based on a combination of logical factors, such as costs, accessibility, and stability</w:t>
      </w:r>
      <w:sdt>
        <w:sdtPr>
          <w:id w:val="1599677059"/>
          <w:citation/>
        </w:sdtPr>
        <w:sdtEndPr/>
        <w:sdtContent>
          <w:r w:rsidR="00480015">
            <w:fldChar w:fldCharType="begin"/>
          </w:r>
          <w:r w:rsidR="00480015">
            <w:rPr>
              <w:lang w:val="en-US"/>
            </w:rPr>
            <w:instrText xml:space="preserve"> CITATION Sco21 \l 1033 </w:instrText>
          </w:r>
          <w:r w:rsidR="00480015">
            <w:fldChar w:fldCharType="separate"/>
          </w:r>
          <w:r w:rsidR="00480015">
            <w:rPr>
              <w:noProof/>
              <w:lang w:val="en-US"/>
            </w:rPr>
            <w:t xml:space="preserve"> </w:t>
          </w:r>
          <w:r w:rsidR="00480015" w:rsidRPr="00480015">
            <w:rPr>
              <w:noProof/>
              <w:lang w:val="en-US"/>
            </w:rPr>
            <w:t>(Thompson, 2021)</w:t>
          </w:r>
          <w:r w:rsidR="00480015">
            <w:fldChar w:fldCharType="end"/>
          </w:r>
        </w:sdtContent>
      </w:sdt>
      <w:r w:rsidR="00B540C9">
        <w:t xml:space="preserve">. Moreover, </w:t>
      </w:r>
      <w:r w:rsidR="00D21762">
        <w:t>instinctive variables such as individualised inclinations, opinions, and spontaneous desires</w:t>
      </w:r>
      <w:r w:rsidR="00B540C9">
        <w:t xml:space="preserve"> </w:t>
      </w:r>
      <w:r w:rsidR="00D21762">
        <w:t>in the context of tourism. For example, individuals might select a vacation spot based on logical considerations such as the availability of inexpensive lodging and tourist attractions, while it may also be affected by intuitive factors such as a taste for adventure or a need for relaxation.</w:t>
      </w:r>
      <w:r w:rsidR="00EE6738">
        <w:t xml:space="preserve"> </w:t>
      </w:r>
    </w:p>
    <w:p w14:paraId="4DF5C5A0" w14:textId="3DD1A7A7" w:rsidR="00F6744D" w:rsidRPr="000A748F" w:rsidRDefault="00F16EA2" w:rsidP="00953631">
      <w:pPr>
        <w:spacing w:line="360" w:lineRule="auto"/>
        <w:rPr>
          <w:b/>
          <w:bCs/>
          <w:i/>
          <w:iCs/>
        </w:rPr>
      </w:pPr>
      <w:r w:rsidRPr="000A748F">
        <w:rPr>
          <w:b/>
          <w:bCs/>
          <w:i/>
          <w:iCs/>
        </w:rPr>
        <w:lastRenderedPageBreak/>
        <w:t>System theory</w:t>
      </w:r>
    </w:p>
    <w:p w14:paraId="717D2817" w14:textId="6E9CDE12" w:rsidR="00F6744D" w:rsidRDefault="00F16EA2" w:rsidP="00953631">
      <w:pPr>
        <w:spacing w:line="360" w:lineRule="auto"/>
      </w:pPr>
      <w:r>
        <w:t>The theory of systems provides a holistic framework for comprehending complex processes</w:t>
      </w:r>
      <w:r w:rsidR="00742899">
        <w:t xml:space="preserve"> by exploring the interconnections and interdependencies between system components</w:t>
      </w:r>
      <w:r>
        <w:t>. Recent studies have adapted this theory to a variety of domains, including ecology, management of organisations, and social networks</w:t>
      </w:r>
      <w:r w:rsidR="00480015">
        <w:t xml:space="preserve"> (</w:t>
      </w:r>
      <w:r w:rsidR="00480015" w:rsidRPr="001974FF">
        <w:t>Schunk</w:t>
      </w:r>
      <w:r w:rsidR="00480015">
        <w:t>, 2020)</w:t>
      </w:r>
      <w:r>
        <w:t xml:space="preserve">. </w:t>
      </w:r>
      <w:r w:rsidR="00126451">
        <w:t>Researchers</w:t>
      </w:r>
      <w:r>
        <w:t xml:space="preserve"> have obtained perspectives on the functioning of interrelated systems by employing a systems approach, resulting in more thorough and integrated research. Carrying capacity, environmental implications, cultural and social motion, and the balance between visitor demand and destination resources are all aspects to consider. Tourism stakeholders can use System Theory to analyse the intricate relationships within the framework and establish strategies that encourage positive results for everybody involved, particularly tourists, residents, and the environment</w:t>
      </w:r>
      <w:r w:rsidR="00480015">
        <w:t xml:space="preserve"> </w:t>
      </w:r>
      <w:sdt>
        <w:sdtPr>
          <w:id w:val="-2050061013"/>
          <w:citation/>
        </w:sdtPr>
        <w:sdtEndPr/>
        <w:sdtContent>
          <w:r w:rsidR="00480015">
            <w:fldChar w:fldCharType="begin"/>
          </w:r>
          <w:r w:rsidR="00480015">
            <w:rPr>
              <w:lang w:val="en-US"/>
            </w:rPr>
            <w:instrText xml:space="preserve"> CITATION Ste221 \l 1033 </w:instrText>
          </w:r>
          <w:r w:rsidR="00480015">
            <w:fldChar w:fldCharType="separate"/>
          </w:r>
          <w:r w:rsidR="00480015" w:rsidRPr="00480015">
            <w:rPr>
              <w:noProof/>
              <w:lang w:val="en-US"/>
            </w:rPr>
            <w:t>(Milano, 2022)</w:t>
          </w:r>
          <w:r w:rsidR="00480015">
            <w:fldChar w:fldCharType="end"/>
          </w:r>
        </w:sdtContent>
      </w:sdt>
      <w:r>
        <w:t>.</w:t>
      </w:r>
    </w:p>
    <w:p w14:paraId="13BDA4D2" w14:textId="2E1D8705" w:rsidR="003305FB" w:rsidRDefault="003305FB" w:rsidP="00953631">
      <w:pPr>
        <w:spacing w:line="360" w:lineRule="auto"/>
        <w:rPr>
          <w:b/>
          <w:bCs/>
          <w:i/>
          <w:iCs/>
        </w:rPr>
      </w:pPr>
      <w:r w:rsidRPr="003305FB">
        <w:rPr>
          <w:b/>
          <w:bCs/>
          <w:i/>
          <w:iCs/>
        </w:rPr>
        <w:t>Theory of self-determination</w:t>
      </w:r>
    </w:p>
    <w:p w14:paraId="20D85D15" w14:textId="2F522B61" w:rsidR="00896923" w:rsidRDefault="003305FB" w:rsidP="00953631">
      <w:pPr>
        <w:spacing w:line="360" w:lineRule="auto"/>
      </w:pPr>
      <w:r w:rsidRPr="003305FB">
        <w:t xml:space="preserve">The factors that impact the way people act intrinsically and externally are the major topic of the concept of self-determination. </w:t>
      </w:r>
      <w:r w:rsidR="00F16EA2" w:rsidRPr="00896923">
        <w:t>Recent studies examined the potential applications of this theory to learning, employment, engagement, and behavioural health (</w:t>
      </w:r>
      <w:r w:rsidR="00F16EA2" w:rsidRPr="00F16EA2">
        <w:t xml:space="preserve">Beauchamp, </w:t>
      </w:r>
      <w:proofErr w:type="gramStart"/>
      <w:r w:rsidR="00F16EA2" w:rsidRPr="00F16EA2">
        <w:t>Crawford</w:t>
      </w:r>
      <w:proofErr w:type="gramEnd"/>
      <w:r w:rsidR="00F16EA2">
        <w:t xml:space="preserve"> </w:t>
      </w:r>
      <w:r w:rsidR="00501D01">
        <w:t>and</w:t>
      </w:r>
      <w:r w:rsidR="00501D01" w:rsidRPr="00F16EA2">
        <w:t xml:space="preserve"> Jackson</w:t>
      </w:r>
      <w:r w:rsidR="00F16EA2" w:rsidRPr="00F16EA2">
        <w:t>,</w:t>
      </w:r>
      <w:r w:rsidR="00F16EA2">
        <w:t xml:space="preserve"> </w:t>
      </w:r>
      <w:r w:rsidR="00F16EA2" w:rsidRPr="00F16EA2">
        <w:t>2019</w:t>
      </w:r>
      <w:r w:rsidR="00501D01">
        <w:t xml:space="preserve">, </w:t>
      </w:r>
      <w:r w:rsidR="00501D01" w:rsidRPr="00501D01">
        <w:t>p.110-117</w:t>
      </w:r>
      <w:r w:rsidR="00F16EA2" w:rsidRPr="00896923">
        <w:t>). The most recent research has focused on the subtle aspects of intrinsic motivation, including the significance of circumstances that enable autonomy, the effects of goal-setting procedures, and the effects of cultural influences on inspiration and performance.</w:t>
      </w:r>
    </w:p>
    <w:p w14:paraId="7C81F854" w14:textId="3B4DAE1E" w:rsidR="004506B8" w:rsidRDefault="004506B8" w:rsidP="00896923">
      <w:pPr>
        <w:spacing w:line="360" w:lineRule="auto"/>
        <w:rPr>
          <w:b/>
          <w:bCs/>
          <w:i/>
          <w:iCs/>
        </w:rPr>
      </w:pPr>
      <w:r w:rsidRPr="004506B8">
        <w:rPr>
          <w:b/>
          <w:bCs/>
          <w:i/>
          <w:iCs/>
        </w:rPr>
        <w:t xml:space="preserve">Planned behaviour </w:t>
      </w:r>
      <w:proofErr w:type="gramStart"/>
      <w:r w:rsidRPr="004506B8">
        <w:rPr>
          <w:b/>
          <w:bCs/>
          <w:i/>
          <w:iCs/>
        </w:rPr>
        <w:t>theory</w:t>
      </w:r>
      <w:proofErr w:type="gramEnd"/>
    </w:p>
    <w:p w14:paraId="0BA600F3" w14:textId="3F0940E0" w:rsidR="00896923" w:rsidRDefault="004506B8" w:rsidP="00896923">
      <w:pPr>
        <w:spacing w:line="360" w:lineRule="auto"/>
      </w:pPr>
      <w:r w:rsidRPr="004506B8">
        <w:t xml:space="preserve">According to the Theory of Planning Action, human behaviour is motivated by intentions, which are impacted by beliefs, behavioural norms, and a sense of behavioural control. </w:t>
      </w:r>
      <w:r w:rsidR="00F16EA2" w:rsidRPr="00896923">
        <w:t>This idea has been expanded upon in recent studies by examining how it may be used in some situations, such as sustainable behaviour, consumer decision-making, and wellness promotion.</w:t>
      </w:r>
    </w:p>
    <w:p w14:paraId="3FAF188D" w14:textId="77777777" w:rsidR="004506B8" w:rsidRDefault="004506B8" w:rsidP="00896923">
      <w:pPr>
        <w:spacing w:line="360" w:lineRule="auto"/>
        <w:rPr>
          <w:b/>
        </w:rPr>
      </w:pPr>
    </w:p>
    <w:p w14:paraId="687A10D6" w14:textId="0ADE4266" w:rsidR="005E6212" w:rsidRDefault="00F16EA2" w:rsidP="00953631">
      <w:pPr>
        <w:pStyle w:val="Heading1"/>
        <w:spacing w:line="360" w:lineRule="auto"/>
        <w:rPr>
          <w:rFonts w:eastAsia="Times New Roman"/>
        </w:rPr>
      </w:pPr>
      <w:bookmarkStart w:id="2" w:name="_Toc136598343"/>
      <w:r>
        <w:rPr>
          <w:rFonts w:eastAsia="Times New Roman"/>
        </w:rPr>
        <w:t>Application to the hotel and hospitality sector</w:t>
      </w:r>
      <w:bookmarkEnd w:id="2"/>
    </w:p>
    <w:p w14:paraId="37D2A758" w14:textId="77777777" w:rsidR="004506B8" w:rsidRDefault="004506B8" w:rsidP="00953631">
      <w:pPr>
        <w:spacing w:line="360" w:lineRule="auto"/>
      </w:pPr>
    </w:p>
    <w:p w14:paraId="1A8CBE26" w14:textId="11E275EC" w:rsidR="00D21CA7" w:rsidRDefault="00F16EA2" w:rsidP="00953631">
      <w:pPr>
        <w:spacing w:line="360" w:lineRule="auto"/>
        <w:rPr>
          <w:rFonts w:eastAsia="Times New Roman" w:cs="Times New Roman"/>
          <w:szCs w:val="24"/>
        </w:rPr>
      </w:pPr>
      <w:r>
        <w:rPr>
          <w:rFonts w:eastAsia="Times New Roman" w:cs="Times New Roman"/>
          <w:szCs w:val="24"/>
        </w:rPr>
        <w:t xml:space="preserve">As consumers become more environmentally aware and demand that businesses take responsibility for their influence on the environment, sustainability has grown in importance within the hospitality sector. </w:t>
      </w:r>
      <w:r w:rsidR="004506B8" w:rsidRPr="004506B8">
        <w:rPr>
          <w:rFonts w:eastAsia="Times New Roman" w:cs="Times New Roman"/>
          <w:szCs w:val="24"/>
        </w:rPr>
        <w:t xml:space="preserve">The promotion of this sustainable trend has been spearheaded by </w:t>
      </w:r>
      <w:r w:rsidR="004506B8" w:rsidRPr="004506B8">
        <w:rPr>
          <w:rFonts w:eastAsia="Times New Roman" w:cs="Times New Roman"/>
          <w:szCs w:val="24"/>
        </w:rPr>
        <w:lastRenderedPageBreak/>
        <w:t>Hilton, one of the biggest hotel chains in the world. It has put into practise various sustainability measures that have had a big influence on the business and the sector as a whole.</w:t>
      </w:r>
    </w:p>
    <w:p w14:paraId="3DDA13D3" w14:textId="78ACAA2C" w:rsidR="005E6212" w:rsidRDefault="00F16EA2" w:rsidP="00953631">
      <w:pPr>
        <w:spacing w:line="360" w:lineRule="auto"/>
        <w:rPr>
          <w:rFonts w:eastAsia="Times New Roman" w:cs="Times New Roman"/>
          <w:b/>
          <w:i/>
          <w:szCs w:val="24"/>
        </w:rPr>
      </w:pPr>
      <w:r>
        <w:rPr>
          <w:rFonts w:eastAsia="Times New Roman" w:cs="Times New Roman"/>
          <w:b/>
          <w:i/>
          <w:szCs w:val="24"/>
        </w:rPr>
        <w:t>LightStay program</w:t>
      </w:r>
    </w:p>
    <w:p w14:paraId="4F043137" w14:textId="27CECF62" w:rsidR="005E6212" w:rsidRDefault="00F16EA2" w:rsidP="00953631">
      <w:pPr>
        <w:spacing w:line="360" w:lineRule="auto"/>
        <w:rPr>
          <w:rFonts w:eastAsia="Times New Roman" w:cs="Times New Roman"/>
          <w:szCs w:val="24"/>
        </w:rPr>
      </w:pPr>
      <w:r w:rsidRPr="00FA505C">
        <w:rPr>
          <w:rFonts w:eastAsia="Times New Roman" w:cs="Times New Roman"/>
          <w:szCs w:val="24"/>
        </w:rPr>
        <w:t xml:space="preserve">One of the main ways Hilton has demonstrated its commitment to sustainability is through the LightStay initiative, which was introduced in 2008. In addition to tracking their carbon footprint, hotels may monitor their usage of electricity, water, and waste with the help of this programme, which serves as a comprehensive platform for assessing sustainability. </w:t>
      </w:r>
      <w:r>
        <w:rPr>
          <w:rFonts w:eastAsia="Times New Roman" w:cs="Times New Roman"/>
          <w:szCs w:val="24"/>
        </w:rPr>
        <w:t>Hilton has been able to pinpoint places where it may lessen its environmental effect and adapt its operations to become more sustainable by utilising this technique</w:t>
      </w:r>
      <w:r w:rsidR="00776D23">
        <w:rPr>
          <w:rFonts w:eastAsia="Times New Roman" w:cs="Times New Roman"/>
          <w:szCs w:val="24"/>
        </w:rPr>
        <w:t xml:space="preserve"> (Hilton, 2023).</w:t>
      </w:r>
      <w:r>
        <w:rPr>
          <w:rFonts w:eastAsia="Times New Roman" w:cs="Times New Roman"/>
          <w:szCs w:val="24"/>
        </w:rPr>
        <w:t xml:space="preserve"> A decrease in energy use across all of Hilton's hotels has been one of the program's most notable effects. Since 2008, Hilton has been able to cut its energy usage by 20% by installing energy-saving technology like smart thermostats and LED lighting. By doing this, the business not only lessens its carbon footprint but also saves money on power costs, which can be a considerable expense for big hotel chains </w:t>
      </w:r>
      <w:sdt>
        <w:sdtPr>
          <w:rPr>
            <w:rFonts w:eastAsia="Times New Roman" w:cs="Times New Roman"/>
            <w:szCs w:val="24"/>
          </w:rPr>
          <w:id w:val="1570315680"/>
          <w:citation/>
        </w:sdtPr>
        <w:sdtEndPr/>
        <w:sdtContent>
          <w:r>
            <w:rPr>
              <w:rFonts w:eastAsia="Times New Roman" w:cs="Times New Roman"/>
              <w:szCs w:val="24"/>
            </w:rPr>
            <w:fldChar w:fldCharType="begin"/>
          </w:r>
          <w:r>
            <w:rPr>
              <w:rFonts w:eastAsia="Times New Roman" w:cs="Times New Roman"/>
              <w:szCs w:val="24"/>
            </w:rPr>
            <w:instrText xml:space="preserve"> CITATION ISO18 \l 16393 </w:instrText>
          </w:r>
          <w:r>
            <w:rPr>
              <w:rFonts w:eastAsia="Times New Roman" w:cs="Times New Roman"/>
              <w:szCs w:val="24"/>
            </w:rPr>
            <w:fldChar w:fldCharType="separate"/>
          </w:r>
          <w:r w:rsidRPr="00CD7CAF">
            <w:rPr>
              <w:rFonts w:eastAsia="Times New Roman" w:cs="Times New Roman"/>
              <w:noProof/>
              <w:szCs w:val="24"/>
            </w:rPr>
            <w:t>(ISO, 2018)</w:t>
          </w:r>
          <w:r>
            <w:rPr>
              <w:rFonts w:eastAsia="Times New Roman" w:cs="Times New Roman"/>
              <w:szCs w:val="24"/>
            </w:rPr>
            <w:fldChar w:fldCharType="end"/>
          </w:r>
        </w:sdtContent>
      </w:sdt>
      <w:r>
        <w:rPr>
          <w:rFonts w:eastAsia="Times New Roman" w:cs="Times New Roman"/>
          <w:szCs w:val="24"/>
        </w:rPr>
        <w:t>.</w:t>
      </w:r>
    </w:p>
    <w:p w14:paraId="6EE0ED82" w14:textId="77777777" w:rsidR="005E6212" w:rsidRDefault="00F16EA2" w:rsidP="00953631">
      <w:pPr>
        <w:spacing w:line="360" w:lineRule="auto"/>
        <w:rPr>
          <w:rFonts w:eastAsia="Times New Roman" w:cs="Times New Roman"/>
          <w:b/>
          <w:i/>
          <w:szCs w:val="24"/>
        </w:rPr>
      </w:pPr>
      <w:r>
        <w:rPr>
          <w:rFonts w:eastAsia="Times New Roman" w:cs="Times New Roman"/>
          <w:b/>
          <w:i/>
          <w:szCs w:val="24"/>
        </w:rPr>
        <w:t>Water and waste management</w:t>
      </w:r>
    </w:p>
    <w:p w14:paraId="5E895AE3" w14:textId="6C8D9878" w:rsidR="00896923" w:rsidRDefault="00F16EA2" w:rsidP="00953631">
      <w:pPr>
        <w:spacing w:line="360" w:lineRule="auto"/>
        <w:rPr>
          <w:rFonts w:eastAsia="Times New Roman" w:cs="Times New Roman"/>
          <w:szCs w:val="24"/>
        </w:rPr>
      </w:pPr>
      <w:r>
        <w:rPr>
          <w:rFonts w:eastAsia="Times New Roman" w:cs="Times New Roman"/>
          <w:szCs w:val="24"/>
        </w:rPr>
        <w:t xml:space="preserve">Additionally, Hilton has made </w:t>
      </w:r>
      <w:r w:rsidR="00E83638">
        <w:rPr>
          <w:rFonts w:eastAsia="Times New Roman" w:cs="Times New Roman"/>
          <w:szCs w:val="24"/>
        </w:rPr>
        <w:t>great</w:t>
      </w:r>
      <w:r>
        <w:rPr>
          <w:rFonts w:eastAsia="Times New Roman" w:cs="Times New Roman"/>
          <w:szCs w:val="24"/>
        </w:rPr>
        <w:t xml:space="preserve"> progress in lowering its water and trash use. The organisation has been able to cut its trash production by 34% and its water use by 22% since 2008 thanks to measures like recycling programmes and water-saving devices (</w:t>
      </w:r>
      <w:r w:rsidRPr="00F16EA2">
        <w:rPr>
          <w:rFonts w:eastAsia="Times New Roman" w:cs="Times New Roman"/>
          <w:szCs w:val="24"/>
        </w:rPr>
        <w:t>Legrand, Chen and Laeis, 2023</w:t>
      </w:r>
      <w:r>
        <w:rPr>
          <w:rFonts w:eastAsia="Times New Roman" w:cs="Times New Roman"/>
          <w:szCs w:val="24"/>
        </w:rPr>
        <w:t>). Due to the high costs associated with garbage disposal and water use for hotels, this not only improves the environment but also aids Hilton in lowering operational expenses.</w:t>
      </w:r>
    </w:p>
    <w:p w14:paraId="37ED3B39" w14:textId="77777777" w:rsidR="005E6212" w:rsidRDefault="00F16EA2" w:rsidP="00953631">
      <w:pPr>
        <w:spacing w:line="360" w:lineRule="auto"/>
        <w:rPr>
          <w:rFonts w:eastAsia="Times New Roman" w:cs="Times New Roman"/>
          <w:b/>
          <w:i/>
          <w:szCs w:val="24"/>
        </w:rPr>
      </w:pPr>
      <w:r>
        <w:rPr>
          <w:rFonts w:eastAsia="Times New Roman" w:cs="Times New Roman"/>
          <w:b/>
          <w:i/>
          <w:szCs w:val="24"/>
        </w:rPr>
        <w:t>Resource management</w:t>
      </w:r>
    </w:p>
    <w:p w14:paraId="5CC49589" w14:textId="5BE5A7E9" w:rsidR="00EE6738" w:rsidRDefault="00F16EA2" w:rsidP="00953631">
      <w:pPr>
        <w:spacing w:line="360" w:lineRule="auto"/>
        <w:rPr>
          <w:rFonts w:eastAsia="Times New Roman" w:cs="Times New Roman"/>
          <w:szCs w:val="24"/>
        </w:rPr>
      </w:pPr>
      <w:r>
        <w:rPr>
          <w:rFonts w:eastAsia="Times New Roman" w:cs="Times New Roman"/>
          <w:szCs w:val="24"/>
        </w:rPr>
        <w:t xml:space="preserve">Along with these operational adjustments, Hilton has vowed to source sustainable goods and services. This involves constructing and renovating hotels using sustainable materials, as well as purchasing food and drink items from sustainable vendors </w:t>
      </w:r>
      <w:sdt>
        <w:sdtPr>
          <w:rPr>
            <w:rFonts w:eastAsia="Times New Roman" w:cs="Times New Roman"/>
            <w:szCs w:val="24"/>
          </w:rPr>
          <w:id w:val="231275832"/>
          <w:citation/>
        </w:sdtPr>
        <w:sdtEndPr/>
        <w:sdtContent>
          <w:r>
            <w:rPr>
              <w:rFonts w:eastAsia="Times New Roman" w:cs="Times New Roman"/>
              <w:szCs w:val="24"/>
            </w:rPr>
            <w:fldChar w:fldCharType="begin"/>
          </w:r>
          <w:r>
            <w:rPr>
              <w:rFonts w:eastAsia="Times New Roman" w:cs="Times New Roman"/>
              <w:szCs w:val="24"/>
            </w:rPr>
            <w:instrText xml:space="preserve"> CITATION Dan20 \l 16393 </w:instrText>
          </w:r>
          <w:r>
            <w:rPr>
              <w:rFonts w:eastAsia="Times New Roman" w:cs="Times New Roman"/>
              <w:szCs w:val="24"/>
            </w:rPr>
            <w:fldChar w:fldCharType="separate"/>
          </w:r>
          <w:r w:rsidRPr="00CD7CAF">
            <w:rPr>
              <w:rFonts w:eastAsia="Times New Roman" w:cs="Times New Roman"/>
              <w:noProof/>
              <w:szCs w:val="24"/>
            </w:rPr>
            <w:t>(Smyth, 2020)</w:t>
          </w:r>
          <w:r>
            <w:rPr>
              <w:rFonts w:eastAsia="Times New Roman" w:cs="Times New Roman"/>
              <w:szCs w:val="24"/>
            </w:rPr>
            <w:fldChar w:fldCharType="end"/>
          </w:r>
        </w:sdtContent>
      </w:sdt>
      <w:r>
        <w:rPr>
          <w:rFonts w:eastAsia="Times New Roman" w:cs="Times New Roman"/>
          <w:szCs w:val="24"/>
        </w:rPr>
        <w:t xml:space="preserve">. By doing this, Hilton not only lessens its influence on the environment, </w:t>
      </w:r>
      <w:r w:rsidR="001E6910">
        <w:rPr>
          <w:rFonts w:eastAsia="Times New Roman" w:cs="Times New Roman"/>
          <w:szCs w:val="24"/>
        </w:rPr>
        <w:t>however,</w:t>
      </w:r>
      <w:r>
        <w:rPr>
          <w:rFonts w:eastAsia="Times New Roman" w:cs="Times New Roman"/>
          <w:szCs w:val="24"/>
        </w:rPr>
        <w:t xml:space="preserve"> also encourages sustainable business practices in general.</w:t>
      </w:r>
    </w:p>
    <w:p w14:paraId="32AE06BB" w14:textId="77777777" w:rsidR="005E6212" w:rsidRDefault="00F16EA2" w:rsidP="00953631">
      <w:pPr>
        <w:spacing w:line="360" w:lineRule="auto"/>
        <w:rPr>
          <w:rFonts w:eastAsia="Times New Roman" w:cs="Times New Roman"/>
          <w:b/>
          <w:i/>
          <w:szCs w:val="24"/>
        </w:rPr>
      </w:pPr>
      <w:r>
        <w:rPr>
          <w:rFonts w:eastAsia="Times New Roman" w:cs="Times New Roman"/>
          <w:b/>
          <w:i/>
          <w:szCs w:val="24"/>
        </w:rPr>
        <w:t>Impact</w:t>
      </w:r>
    </w:p>
    <w:p w14:paraId="36A72E32" w14:textId="1FE31580" w:rsidR="00D21CA7" w:rsidRDefault="00F16EA2" w:rsidP="00953631">
      <w:pPr>
        <w:spacing w:line="360" w:lineRule="auto"/>
        <w:rPr>
          <w:rFonts w:eastAsia="Times New Roman" w:cs="Times New Roman"/>
          <w:szCs w:val="24"/>
        </w:rPr>
      </w:pPr>
      <w:r>
        <w:rPr>
          <w:rFonts w:eastAsia="Times New Roman" w:cs="Times New Roman"/>
          <w:szCs w:val="24"/>
        </w:rPr>
        <w:t xml:space="preserve">The business of Hilton has been significantly impacted by these environmental measures. For the second year in a row, the organisation was recognised as the best global hospitality </w:t>
      </w:r>
      <w:r>
        <w:rPr>
          <w:rFonts w:eastAsia="Times New Roman" w:cs="Times New Roman"/>
          <w:szCs w:val="24"/>
        </w:rPr>
        <w:lastRenderedPageBreak/>
        <w:t>company by the Dow Jones Sustainability Indices in 2020. This honour serves to highlight Hilton's dedication to sustainability, set it apart from other businesses, and win over customers who care about the environment.</w:t>
      </w:r>
    </w:p>
    <w:p w14:paraId="4576C169" w14:textId="2E871685" w:rsidR="005E6212" w:rsidRDefault="00F16EA2" w:rsidP="00953631">
      <w:pPr>
        <w:spacing w:line="360" w:lineRule="auto"/>
        <w:rPr>
          <w:rFonts w:eastAsia="Times New Roman" w:cs="Times New Roman"/>
          <w:b/>
          <w:i/>
          <w:szCs w:val="24"/>
        </w:rPr>
      </w:pPr>
      <w:r>
        <w:rPr>
          <w:rFonts w:eastAsia="Times New Roman" w:cs="Times New Roman"/>
          <w:b/>
          <w:i/>
          <w:szCs w:val="24"/>
        </w:rPr>
        <w:t xml:space="preserve">Received </w:t>
      </w:r>
      <w:proofErr w:type="gramStart"/>
      <w:r w:rsidR="00EE6738">
        <w:rPr>
          <w:rFonts w:eastAsia="Times New Roman" w:cs="Times New Roman"/>
          <w:b/>
          <w:i/>
          <w:szCs w:val="24"/>
        </w:rPr>
        <w:t>benefits</w:t>
      </w:r>
      <w:proofErr w:type="gramEnd"/>
      <w:r w:rsidR="00896923">
        <w:rPr>
          <w:rFonts w:eastAsia="Times New Roman" w:cs="Times New Roman"/>
          <w:b/>
          <w:i/>
          <w:szCs w:val="24"/>
        </w:rPr>
        <w:t xml:space="preserve"> </w:t>
      </w:r>
    </w:p>
    <w:p w14:paraId="77E6A186" w14:textId="77777777" w:rsidR="005E6212" w:rsidRDefault="00F16EA2" w:rsidP="00953631">
      <w:pPr>
        <w:spacing w:line="360" w:lineRule="auto"/>
        <w:rPr>
          <w:rFonts w:eastAsia="Times New Roman" w:cs="Times New Roman"/>
          <w:szCs w:val="24"/>
        </w:rPr>
      </w:pPr>
      <w:r>
        <w:rPr>
          <w:rFonts w:eastAsia="Times New Roman" w:cs="Times New Roman"/>
          <w:szCs w:val="24"/>
        </w:rPr>
        <w:t>Additionally, the hospitality sector as a whole has benefited from Hilton's sustainability initiatives. As one of the biggest hotel chains in the world, Hilton's activities might have an impact on how other businesses in the sector conduct their business. Hilton is providing a model for others to follow by proving that sustainability can benefit both the environment and the business line.</w:t>
      </w:r>
    </w:p>
    <w:p w14:paraId="0AE2234F" w14:textId="76972E27" w:rsidR="005E6212" w:rsidRPr="005E6212" w:rsidRDefault="00F16EA2" w:rsidP="00953631">
      <w:pPr>
        <w:spacing w:line="360" w:lineRule="auto"/>
        <w:rPr>
          <w:rFonts w:eastAsia="Times New Roman" w:cs="Times New Roman"/>
          <w:szCs w:val="24"/>
        </w:rPr>
      </w:pPr>
      <w:r>
        <w:rPr>
          <w:rFonts w:eastAsia="Times New Roman" w:cs="Times New Roman"/>
          <w:szCs w:val="24"/>
        </w:rPr>
        <w:t>There are substantial effects of sustainability on Hilton and the hotel industry. By implementing programmes like the LightStay initiative and sustainable sourcing methods, Hilton has been able to lessen its environmental effect, save money, and set itself apart from its rivals. Additionally, Hilton's sustainability efforts might have an impact on other businesses in the industry and contribute to the development of a more sustainable future for the hospitality industry as a whole (</w:t>
      </w:r>
      <w:r w:rsidRPr="00F16EA2">
        <w:rPr>
          <w:rFonts w:eastAsia="Times New Roman" w:cs="Times New Roman"/>
          <w:szCs w:val="24"/>
        </w:rPr>
        <w:t>Florido,</w:t>
      </w:r>
      <w:r>
        <w:rPr>
          <w:rFonts w:eastAsia="Times New Roman" w:cs="Times New Roman"/>
          <w:szCs w:val="24"/>
        </w:rPr>
        <w:t xml:space="preserve"> </w:t>
      </w:r>
      <w:r w:rsidRPr="00F16EA2">
        <w:rPr>
          <w:rFonts w:eastAsia="Times New Roman" w:cs="Times New Roman"/>
          <w:szCs w:val="24"/>
        </w:rPr>
        <w:t>Jacob</w:t>
      </w:r>
      <w:r>
        <w:rPr>
          <w:rFonts w:eastAsia="Times New Roman" w:cs="Times New Roman"/>
          <w:szCs w:val="24"/>
        </w:rPr>
        <w:t xml:space="preserve"> </w:t>
      </w:r>
      <w:r w:rsidRPr="00F16EA2">
        <w:rPr>
          <w:rFonts w:eastAsia="Times New Roman" w:cs="Times New Roman"/>
          <w:szCs w:val="24"/>
        </w:rPr>
        <w:t>and Payeras, 2019</w:t>
      </w:r>
      <w:r w:rsidR="00501D01">
        <w:rPr>
          <w:rFonts w:eastAsia="Times New Roman" w:cs="Times New Roman"/>
          <w:szCs w:val="24"/>
        </w:rPr>
        <w:t>, p.47</w:t>
      </w:r>
      <w:r w:rsidRPr="00F16EA2">
        <w:rPr>
          <w:rFonts w:eastAsia="Times New Roman" w:cs="Times New Roman"/>
          <w:szCs w:val="24"/>
        </w:rPr>
        <w:t>)</w:t>
      </w:r>
      <w:r>
        <w:rPr>
          <w:rFonts w:eastAsia="Times New Roman" w:cs="Times New Roman"/>
          <w:szCs w:val="24"/>
        </w:rPr>
        <w:t>.</w:t>
      </w:r>
    </w:p>
    <w:p w14:paraId="2071363D" w14:textId="77777777" w:rsidR="005E6212" w:rsidRDefault="00F16EA2" w:rsidP="00953631">
      <w:pPr>
        <w:spacing w:line="360" w:lineRule="auto"/>
        <w:rPr>
          <w:rFonts w:eastAsia="Times New Roman" w:cs="Times New Roman"/>
          <w:b/>
          <w:i/>
          <w:szCs w:val="24"/>
        </w:rPr>
      </w:pPr>
      <w:r>
        <w:rPr>
          <w:rFonts w:eastAsia="Times New Roman" w:cs="Times New Roman"/>
          <w:b/>
          <w:i/>
          <w:szCs w:val="24"/>
        </w:rPr>
        <w:t>Crisis management</w:t>
      </w:r>
    </w:p>
    <w:p w14:paraId="323A7FE7" w14:textId="2CAEDCDE" w:rsidR="005E6212" w:rsidRDefault="00F16EA2" w:rsidP="00953631">
      <w:pPr>
        <w:spacing w:line="360" w:lineRule="auto"/>
        <w:rPr>
          <w:rFonts w:eastAsia="Times New Roman" w:cs="Times New Roman"/>
          <w:szCs w:val="24"/>
        </w:rPr>
      </w:pPr>
      <w:r>
        <w:rPr>
          <w:rFonts w:eastAsia="Times New Roman" w:cs="Times New Roman"/>
          <w:szCs w:val="24"/>
        </w:rPr>
        <w:t>The hospitality sector has responded in a variety of ways to the current sustainability crisis, with individual businesses and organisations adopting different strategies to solve the problem (</w:t>
      </w:r>
      <w:r w:rsidRPr="00F16EA2">
        <w:rPr>
          <w:rFonts w:eastAsia="Times New Roman" w:cs="Times New Roman"/>
          <w:szCs w:val="24"/>
        </w:rPr>
        <w:t>Hahang</w:t>
      </w:r>
      <w:r>
        <w:rPr>
          <w:rFonts w:eastAsia="Times New Roman" w:cs="Times New Roman"/>
          <w:szCs w:val="24"/>
        </w:rPr>
        <w:t>,</w:t>
      </w:r>
      <w:r w:rsidRPr="00F16EA2">
        <w:rPr>
          <w:rFonts w:eastAsia="Times New Roman" w:cs="Times New Roman"/>
          <w:szCs w:val="24"/>
        </w:rPr>
        <w:t xml:space="preserve"> Bayraktar and Jiménez, 2022</w:t>
      </w:r>
      <w:r>
        <w:rPr>
          <w:rFonts w:eastAsia="Times New Roman" w:cs="Times New Roman"/>
          <w:szCs w:val="24"/>
        </w:rPr>
        <w:t>). As mentioned in the preceding response, Hilton has been a pioneer in this field, putting into practice some sustainability measures that have positively impacted the business and the sector as a whole.</w:t>
      </w:r>
    </w:p>
    <w:p w14:paraId="09498E2C" w14:textId="77777777" w:rsidR="005E6212" w:rsidRDefault="00F16EA2" w:rsidP="00953631">
      <w:pPr>
        <w:spacing w:line="360" w:lineRule="auto"/>
        <w:rPr>
          <w:rFonts w:eastAsia="Times New Roman" w:cs="Times New Roman"/>
          <w:b/>
          <w:i/>
          <w:szCs w:val="24"/>
        </w:rPr>
      </w:pPr>
      <w:r>
        <w:rPr>
          <w:rFonts w:eastAsia="Times New Roman" w:cs="Times New Roman"/>
          <w:b/>
          <w:i/>
          <w:szCs w:val="24"/>
        </w:rPr>
        <w:t>Top-down management support</w:t>
      </w:r>
    </w:p>
    <w:p w14:paraId="65DFEBE0" w14:textId="77777777" w:rsidR="005E6212" w:rsidRDefault="00F16EA2" w:rsidP="00953631">
      <w:pPr>
        <w:spacing w:line="360" w:lineRule="auto"/>
        <w:rPr>
          <w:rFonts w:eastAsia="Times New Roman" w:cs="Times New Roman"/>
          <w:szCs w:val="24"/>
        </w:rPr>
      </w:pPr>
      <w:r>
        <w:rPr>
          <w:rFonts w:eastAsia="Times New Roman" w:cs="Times New Roman"/>
          <w:szCs w:val="24"/>
        </w:rPr>
        <w:t>Top-down management support has been a major component in the accomplishment of Hilton's environmental programmes. The company's leadership has prioritised sustainability and given it the resources and incentives it needs to be incorporated into every facet of the business. For instance, Chris Nassetta, CEO of Hilton, spearheaded the LightStay programme after realising the value of sustainability in the hotel sector and the potential advantages it may provide the organisation.</w:t>
      </w:r>
    </w:p>
    <w:p w14:paraId="5A68CB90" w14:textId="314CD97A" w:rsidR="005E6212" w:rsidRDefault="00F16EA2" w:rsidP="00953631">
      <w:pPr>
        <w:spacing w:line="360" w:lineRule="auto"/>
        <w:rPr>
          <w:rFonts w:eastAsia="Times New Roman" w:cs="Times New Roman"/>
          <w:szCs w:val="24"/>
        </w:rPr>
      </w:pPr>
      <w:r>
        <w:rPr>
          <w:rFonts w:eastAsia="Times New Roman" w:cs="Times New Roman"/>
          <w:szCs w:val="24"/>
        </w:rPr>
        <w:t xml:space="preserve">Hilton's management is aware of how crucial it is to involve all relevant parties in its sustainability initiatives, including visitors, staff members, and suppliers. Hilton has been able </w:t>
      </w:r>
      <w:r>
        <w:rPr>
          <w:rFonts w:eastAsia="Times New Roman" w:cs="Times New Roman"/>
          <w:szCs w:val="24"/>
        </w:rPr>
        <w:lastRenderedPageBreak/>
        <w:t>to increase support for its sustainability efforts and foster a sense of shared responsibility for hitting sustainability goals by discussing its sustainability programmes and goals with these stakeholders (Wynn and Jones, 2022). For instance, the business has started initiatives like "Meet with Purpose," which offers visitors environmentally friendly meeting spaces, and "Soap for Hope," which recycles wasted hotel soap and distributes it to underserved areas.</w:t>
      </w:r>
    </w:p>
    <w:p w14:paraId="01562F54" w14:textId="77777777" w:rsidR="005E6212" w:rsidRDefault="00F16EA2" w:rsidP="00953631">
      <w:pPr>
        <w:spacing w:line="360" w:lineRule="auto"/>
        <w:rPr>
          <w:rFonts w:eastAsia="Times New Roman" w:cs="Times New Roman"/>
          <w:b/>
          <w:i/>
          <w:szCs w:val="24"/>
        </w:rPr>
      </w:pPr>
      <w:r>
        <w:rPr>
          <w:rFonts w:eastAsia="Times New Roman" w:cs="Times New Roman"/>
          <w:b/>
          <w:i/>
          <w:szCs w:val="24"/>
        </w:rPr>
        <w:t>Certification</w:t>
      </w:r>
    </w:p>
    <w:p w14:paraId="62625F16" w14:textId="52B2C046" w:rsidR="005E6212" w:rsidRDefault="00F16EA2" w:rsidP="00953631">
      <w:pPr>
        <w:spacing w:line="360" w:lineRule="auto"/>
        <w:rPr>
          <w:rFonts w:eastAsia="Times New Roman" w:cs="Times New Roman"/>
          <w:szCs w:val="24"/>
        </w:rPr>
      </w:pPr>
      <w:r>
        <w:rPr>
          <w:rFonts w:eastAsia="Times New Roman" w:cs="Times New Roman"/>
          <w:szCs w:val="24"/>
        </w:rPr>
        <w:t xml:space="preserve">Another strategy used by certain businesses in the hospitality sector to show their dedication to sustainability is the usage of certifications and standards. </w:t>
      </w:r>
      <w:r w:rsidR="004506B8" w:rsidRPr="004506B8">
        <w:rPr>
          <w:rFonts w:eastAsia="Times New Roman" w:cs="Times New Roman"/>
          <w:szCs w:val="24"/>
        </w:rPr>
        <w:t xml:space="preserve">One well-known standard for environmentally friendly structures is the Leadership in Energy and Environmental Design (LEED) approval. </w:t>
      </w:r>
      <w:r>
        <w:rPr>
          <w:rFonts w:eastAsia="Times New Roman" w:cs="Times New Roman"/>
          <w:szCs w:val="24"/>
        </w:rPr>
        <w:t xml:space="preserve">Further to show their dedication to sustainability, several hotels have worked to get LEED certification (Thesaurus et al., 2022). </w:t>
      </w:r>
      <w:r w:rsidR="00896923">
        <w:rPr>
          <w:rFonts w:eastAsia="Times New Roman" w:cs="Times New Roman"/>
          <w:szCs w:val="24"/>
        </w:rPr>
        <w:t>Similarly,</w:t>
      </w:r>
      <w:r>
        <w:rPr>
          <w:rFonts w:eastAsia="Times New Roman" w:cs="Times New Roman"/>
          <w:szCs w:val="24"/>
        </w:rPr>
        <w:t xml:space="preserve"> to this, hotels and other tourism-related enterprises can utilise the criteria for sustainable tourism created by the Global Sustainable Tourism Council (GSTC) to prove their commitment to sustainability.</w:t>
      </w:r>
    </w:p>
    <w:p w14:paraId="72E6CA53" w14:textId="77777777" w:rsidR="005E6212" w:rsidRPr="00AA7CED" w:rsidRDefault="00F16EA2" w:rsidP="00953631">
      <w:pPr>
        <w:spacing w:line="360" w:lineRule="auto"/>
        <w:rPr>
          <w:b/>
          <w:bCs/>
          <w:i/>
          <w:iCs/>
        </w:rPr>
      </w:pPr>
      <w:r w:rsidRPr="00AA7CED">
        <w:rPr>
          <w:b/>
          <w:bCs/>
          <w:i/>
          <w:iCs/>
        </w:rPr>
        <w:t>Issues</w:t>
      </w:r>
    </w:p>
    <w:p w14:paraId="1AECB6B5" w14:textId="77777777" w:rsidR="005E6212" w:rsidRDefault="00F16EA2" w:rsidP="00953631">
      <w:pPr>
        <w:spacing w:line="360" w:lineRule="auto"/>
        <w:rPr>
          <w:rFonts w:eastAsia="Times New Roman" w:cs="Times New Roman"/>
          <w:i/>
          <w:szCs w:val="24"/>
          <w:u w:val="single"/>
        </w:rPr>
      </w:pPr>
      <w:r>
        <w:rPr>
          <w:rFonts w:eastAsia="Times New Roman" w:cs="Times New Roman"/>
          <w:i/>
          <w:szCs w:val="24"/>
          <w:u w:val="single"/>
        </w:rPr>
        <w:t>Investment</w:t>
      </w:r>
    </w:p>
    <w:p w14:paraId="062A0E9B" w14:textId="77777777" w:rsidR="005E6212" w:rsidRDefault="00F16EA2" w:rsidP="00953631">
      <w:pPr>
        <w:spacing w:line="360" w:lineRule="auto"/>
        <w:rPr>
          <w:rFonts w:eastAsia="Times New Roman" w:cs="Times New Roman"/>
          <w:szCs w:val="24"/>
        </w:rPr>
      </w:pPr>
      <w:r>
        <w:rPr>
          <w:rFonts w:eastAsia="Times New Roman" w:cs="Times New Roman"/>
          <w:szCs w:val="24"/>
        </w:rPr>
        <w:t>Although the management response to sustainability has seen some success, it also has certain drawbacks. One drawback is that sustainability projects might demand a large time and financial commitment. Implementing energy-efficient technology or acquiring sustainable goods, for instance, may necessitate upfront investments that won't likely pay off for several years (Dimitropoulos, 2023). For smaller or independent hotels that do not have the finances to make these changes, this might be difficult.</w:t>
      </w:r>
    </w:p>
    <w:p w14:paraId="167F036A" w14:textId="77777777" w:rsidR="005E6212" w:rsidRDefault="00F16EA2" w:rsidP="00953631">
      <w:pPr>
        <w:spacing w:line="360" w:lineRule="auto"/>
        <w:rPr>
          <w:rFonts w:eastAsia="Times New Roman" w:cs="Times New Roman"/>
          <w:i/>
          <w:szCs w:val="24"/>
          <w:u w:val="single"/>
        </w:rPr>
      </w:pPr>
      <w:r>
        <w:rPr>
          <w:rFonts w:eastAsia="Times New Roman" w:cs="Times New Roman"/>
          <w:i/>
          <w:szCs w:val="24"/>
          <w:u w:val="single"/>
        </w:rPr>
        <w:t>Measuring the impacts</w:t>
      </w:r>
    </w:p>
    <w:p w14:paraId="1AC52BE0" w14:textId="59F469D1" w:rsidR="00207410" w:rsidRDefault="00F16EA2" w:rsidP="00953631">
      <w:pPr>
        <w:spacing w:line="360" w:lineRule="auto"/>
        <w:rPr>
          <w:rFonts w:eastAsia="Times New Roman" w:cs="Times New Roman"/>
          <w:szCs w:val="24"/>
        </w:rPr>
      </w:pPr>
      <w:r>
        <w:rPr>
          <w:rFonts w:eastAsia="Times New Roman" w:cs="Times New Roman"/>
          <w:szCs w:val="24"/>
        </w:rPr>
        <w:t>The difficulty of evaluating the effects of sustainability measures is another drawback. Even if resources like the LightStay programme offer useful information on how much energy, water, and garbage are used, it may be difficult to gauge the larger effects of sustainability measures, such as their influence on customer happiness or a company's reputation. Due to this, it may be challenging to convince stakeholders to support sustainability projects when they may place a higher priority on financial performance (</w:t>
      </w:r>
      <w:r w:rsidR="00501D01" w:rsidRPr="00501D01">
        <w:rPr>
          <w:rFonts w:eastAsia="Times New Roman" w:cs="Times New Roman"/>
          <w:szCs w:val="24"/>
        </w:rPr>
        <w:t xml:space="preserve">Jang, </w:t>
      </w:r>
      <w:r w:rsidR="00EE6738" w:rsidRPr="00501D01">
        <w:rPr>
          <w:rFonts w:eastAsia="Times New Roman" w:cs="Times New Roman"/>
          <w:szCs w:val="24"/>
        </w:rPr>
        <w:t>Kim,</w:t>
      </w:r>
      <w:r w:rsidR="00501D01">
        <w:rPr>
          <w:rFonts w:eastAsia="Times New Roman" w:cs="Times New Roman"/>
          <w:szCs w:val="24"/>
        </w:rPr>
        <w:t xml:space="preserve"> </w:t>
      </w:r>
      <w:r w:rsidR="00501D01" w:rsidRPr="00501D01">
        <w:rPr>
          <w:rFonts w:eastAsia="Times New Roman" w:cs="Times New Roman"/>
          <w:szCs w:val="24"/>
        </w:rPr>
        <w:t>and Lee, 2022</w:t>
      </w:r>
      <w:r w:rsidR="00501D01">
        <w:rPr>
          <w:rFonts w:eastAsia="Times New Roman" w:cs="Times New Roman"/>
          <w:szCs w:val="24"/>
        </w:rPr>
        <w:t>, p.104</w:t>
      </w:r>
      <w:r>
        <w:rPr>
          <w:rFonts w:eastAsia="Times New Roman" w:cs="Times New Roman"/>
          <w:szCs w:val="24"/>
        </w:rPr>
        <w:t>).</w:t>
      </w:r>
    </w:p>
    <w:p w14:paraId="59032BAC" w14:textId="77777777" w:rsidR="00CE09DE" w:rsidRDefault="00CE09DE" w:rsidP="00953631">
      <w:pPr>
        <w:spacing w:line="360" w:lineRule="auto"/>
        <w:rPr>
          <w:rFonts w:eastAsia="Times New Roman" w:cs="Times New Roman"/>
          <w:szCs w:val="24"/>
        </w:rPr>
      </w:pPr>
    </w:p>
    <w:p w14:paraId="06DA59C3" w14:textId="77777777" w:rsidR="00CE09DE" w:rsidRDefault="00CE09DE" w:rsidP="00953631">
      <w:pPr>
        <w:spacing w:line="360" w:lineRule="auto"/>
        <w:rPr>
          <w:rFonts w:eastAsia="Times New Roman" w:cs="Times New Roman"/>
          <w:szCs w:val="24"/>
        </w:rPr>
      </w:pPr>
    </w:p>
    <w:p w14:paraId="7BCAC582" w14:textId="77777777" w:rsidR="005E6212" w:rsidRDefault="00F16EA2" w:rsidP="00953631">
      <w:pPr>
        <w:spacing w:line="360" w:lineRule="auto"/>
        <w:rPr>
          <w:rFonts w:eastAsia="Times New Roman" w:cs="Times New Roman"/>
          <w:i/>
          <w:szCs w:val="24"/>
          <w:u w:val="single"/>
        </w:rPr>
      </w:pPr>
      <w:r>
        <w:rPr>
          <w:rFonts w:eastAsia="Times New Roman" w:cs="Times New Roman"/>
          <w:i/>
          <w:szCs w:val="24"/>
          <w:u w:val="single"/>
        </w:rPr>
        <w:lastRenderedPageBreak/>
        <w:t>Other issues</w:t>
      </w:r>
    </w:p>
    <w:p w14:paraId="2958C3B5" w14:textId="74F24E57" w:rsidR="005E6212" w:rsidRDefault="00F16EA2" w:rsidP="00953631">
      <w:pPr>
        <w:spacing w:line="360" w:lineRule="auto"/>
        <w:rPr>
          <w:rFonts w:eastAsia="Times New Roman" w:cs="Times New Roman"/>
          <w:szCs w:val="24"/>
        </w:rPr>
      </w:pPr>
      <w:r>
        <w:rPr>
          <w:rFonts w:eastAsia="Times New Roman" w:cs="Times New Roman"/>
          <w:szCs w:val="24"/>
        </w:rPr>
        <w:t>Finally, the nature of the hotel sector itself can make sustainability projects challenging. For instance, it may be difficult to maintain consistency in sustainable practices in hotels due to high personnel turnover rates. Additionally, there may be pressure on hotels to offer certain extras or services like room service or air conditioning that may not be environmentally friendly (</w:t>
      </w:r>
      <w:r w:rsidRPr="00F16EA2">
        <w:rPr>
          <w:rFonts w:eastAsia="Times New Roman" w:cs="Times New Roman"/>
          <w:szCs w:val="24"/>
        </w:rPr>
        <w:t xml:space="preserve">Meng, </w:t>
      </w:r>
      <w:proofErr w:type="gramStart"/>
      <w:r w:rsidRPr="00F16EA2">
        <w:rPr>
          <w:rFonts w:eastAsia="Times New Roman" w:cs="Times New Roman"/>
          <w:szCs w:val="24"/>
        </w:rPr>
        <w:t>Yan</w:t>
      </w:r>
      <w:r>
        <w:rPr>
          <w:rFonts w:eastAsia="Times New Roman" w:cs="Times New Roman"/>
          <w:szCs w:val="24"/>
        </w:rPr>
        <w:t xml:space="preserve"> </w:t>
      </w:r>
      <w:r w:rsidRPr="00F16EA2">
        <w:rPr>
          <w:rFonts w:eastAsia="Times New Roman" w:cs="Times New Roman"/>
          <w:szCs w:val="24"/>
        </w:rPr>
        <w:t xml:space="preserve"> and</w:t>
      </w:r>
      <w:proofErr w:type="gramEnd"/>
      <w:r w:rsidRPr="00F16EA2">
        <w:rPr>
          <w:rFonts w:eastAsia="Times New Roman" w:cs="Times New Roman"/>
          <w:szCs w:val="24"/>
        </w:rPr>
        <w:t xml:space="preserve"> Liu, 2022</w:t>
      </w:r>
      <w:r>
        <w:rPr>
          <w:rFonts w:eastAsia="Times New Roman" w:cs="Times New Roman"/>
          <w:szCs w:val="24"/>
        </w:rPr>
        <w:t>).</w:t>
      </w:r>
    </w:p>
    <w:p w14:paraId="5F44F70F" w14:textId="5177BA87" w:rsidR="005E6212" w:rsidRDefault="00F16EA2" w:rsidP="00953631">
      <w:pPr>
        <w:spacing w:line="360" w:lineRule="auto"/>
        <w:rPr>
          <w:rFonts w:eastAsia="Times New Roman" w:cs="Times New Roman"/>
          <w:szCs w:val="24"/>
        </w:rPr>
      </w:pPr>
      <w:r>
        <w:rPr>
          <w:rFonts w:eastAsia="Times New Roman" w:cs="Times New Roman"/>
          <w:szCs w:val="24"/>
        </w:rPr>
        <w:t>There have been both triumphs and drawbacks in the management approach to sustainability in the hotel sector. When backed by top-down management and stakeholder participation, businesses like Hilton have shown the potential advantages of sustainability programmes. However, it can be difficult to convince stakeholders to support sustainability projects due to the financial outlay needed and the difficulties in assessing their effects (Tapaninaho and Heikkinen, 2022). Moreover, it might be difficult to preserve consistent sustainable practices due to the hotel industry's inherent complexity.</w:t>
      </w:r>
    </w:p>
    <w:p w14:paraId="0B41283F" w14:textId="77777777" w:rsidR="004506B8" w:rsidRDefault="004506B8" w:rsidP="00953631">
      <w:pPr>
        <w:spacing w:line="360" w:lineRule="auto"/>
        <w:rPr>
          <w:rFonts w:eastAsia="Times New Roman" w:cs="Times New Roman"/>
          <w:szCs w:val="24"/>
        </w:rPr>
      </w:pPr>
    </w:p>
    <w:p w14:paraId="73C6E13F" w14:textId="6628227D" w:rsidR="005E6212" w:rsidRDefault="00F16EA2" w:rsidP="00953631">
      <w:pPr>
        <w:pStyle w:val="Heading1"/>
        <w:spacing w:line="360" w:lineRule="auto"/>
        <w:rPr>
          <w:rFonts w:eastAsia="Times New Roman"/>
        </w:rPr>
      </w:pPr>
      <w:bookmarkStart w:id="3" w:name="_Toc136598344"/>
      <w:r>
        <w:rPr>
          <w:rFonts w:eastAsia="Times New Roman"/>
        </w:rPr>
        <w:t xml:space="preserve">Evaluate future policy and management options for dealing with this </w:t>
      </w:r>
      <w:r w:rsidR="00896923">
        <w:rPr>
          <w:rFonts w:eastAsia="Times New Roman"/>
        </w:rPr>
        <w:t>issue.</w:t>
      </w:r>
      <w:bookmarkEnd w:id="3"/>
    </w:p>
    <w:p w14:paraId="6186EB43" w14:textId="77777777" w:rsidR="00896923" w:rsidRPr="00896923" w:rsidRDefault="00896923" w:rsidP="00896923">
      <w:pPr>
        <w:spacing w:line="360" w:lineRule="auto"/>
      </w:pPr>
    </w:p>
    <w:p w14:paraId="62776C22" w14:textId="37CA0D18" w:rsidR="005E6212" w:rsidRDefault="00F16EA2" w:rsidP="00896923">
      <w:pPr>
        <w:spacing w:line="360" w:lineRule="auto"/>
        <w:rPr>
          <w:rFonts w:eastAsia="Times New Roman" w:cs="Times New Roman"/>
          <w:szCs w:val="24"/>
        </w:rPr>
      </w:pPr>
      <w:r>
        <w:rPr>
          <w:rFonts w:eastAsia="Times New Roman" w:cs="Times New Roman"/>
          <w:szCs w:val="24"/>
        </w:rPr>
        <w:t xml:space="preserve">The issue of sustainability in the hotel sector calls for constant management and attention. Implementing sustainability programmes has seen some success, but some constraints and difficulties need to be resolved. Future policy and managerial alternatives can be </w:t>
      </w:r>
      <w:r w:rsidR="00896923">
        <w:rPr>
          <w:rFonts w:eastAsia="Times New Roman" w:cs="Times New Roman"/>
          <w:szCs w:val="24"/>
        </w:rPr>
        <w:t>considered</w:t>
      </w:r>
      <w:r>
        <w:rPr>
          <w:rFonts w:eastAsia="Times New Roman" w:cs="Times New Roman"/>
          <w:szCs w:val="24"/>
        </w:rPr>
        <w:t xml:space="preserve"> to continue addressing this issue.</w:t>
      </w:r>
    </w:p>
    <w:p w14:paraId="1A7C43FF" w14:textId="77777777" w:rsidR="005E6212" w:rsidRDefault="00F16EA2" w:rsidP="00953631">
      <w:pPr>
        <w:spacing w:line="360" w:lineRule="auto"/>
        <w:rPr>
          <w:rFonts w:eastAsia="Times New Roman" w:cs="Times New Roman"/>
          <w:b/>
          <w:i/>
          <w:szCs w:val="24"/>
        </w:rPr>
      </w:pPr>
      <w:r>
        <w:rPr>
          <w:rFonts w:eastAsia="Times New Roman" w:cs="Times New Roman"/>
          <w:b/>
          <w:i/>
          <w:szCs w:val="24"/>
        </w:rPr>
        <w:t>Focusing on Sustainability</w:t>
      </w:r>
    </w:p>
    <w:p w14:paraId="195D8695" w14:textId="6D06BBBD" w:rsidR="00953631" w:rsidRDefault="00F16EA2" w:rsidP="00953631">
      <w:pPr>
        <w:spacing w:line="360" w:lineRule="auto"/>
        <w:rPr>
          <w:rFonts w:eastAsia="Times New Roman" w:cs="Times New Roman"/>
          <w:szCs w:val="24"/>
        </w:rPr>
      </w:pPr>
      <w:r>
        <w:rPr>
          <w:rFonts w:eastAsia="Times New Roman" w:cs="Times New Roman"/>
          <w:szCs w:val="24"/>
        </w:rPr>
        <w:t xml:space="preserve">One choice is to keep giving sustainability a top priority in corporate operations and decision-making. This may entail making investments in fresh techniques and technologies that enhance sustainable sourcing, energy and water conservation, and waste reduction. Companies may foster support for sustainability programmes and a feeling of shared accountability for meeting sustainability goals by continuing to interact with stakeholders, such as customers, staff, and suppliers. Businesses that prioritise sustainability might cut expenses, enhance brand reputation, and lessen their negative environmental effect </w:t>
      </w:r>
      <w:sdt>
        <w:sdtPr>
          <w:rPr>
            <w:rFonts w:eastAsia="Times New Roman" w:cs="Times New Roman"/>
            <w:szCs w:val="24"/>
          </w:rPr>
          <w:id w:val="-1525474534"/>
          <w:citation/>
        </w:sdtPr>
        <w:sdtEndPr/>
        <w:sdtContent>
          <w:r>
            <w:rPr>
              <w:rFonts w:eastAsia="Times New Roman" w:cs="Times New Roman"/>
              <w:szCs w:val="24"/>
            </w:rPr>
            <w:fldChar w:fldCharType="begin"/>
          </w:r>
          <w:r>
            <w:rPr>
              <w:rFonts w:eastAsia="Times New Roman" w:cs="Times New Roman"/>
              <w:szCs w:val="24"/>
            </w:rPr>
            <w:instrText xml:space="preserve"> CITATION Oak22 \l 16393 </w:instrText>
          </w:r>
          <w:r>
            <w:rPr>
              <w:rFonts w:eastAsia="Times New Roman" w:cs="Times New Roman"/>
              <w:szCs w:val="24"/>
            </w:rPr>
            <w:fldChar w:fldCharType="separate"/>
          </w:r>
          <w:r w:rsidRPr="00CD7CAF">
            <w:rPr>
              <w:rFonts w:eastAsia="Times New Roman" w:cs="Times New Roman"/>
              <w:noProof/>
              <w:szCs w:val="24"/>
            </w:rPr>
            <w:t>(Oaky, 2022)</w:t>
          </w:r>
          <w:r>
            <w:rPr>
              <w:rFonts w:eastAsia="Times New Roman" w:cs="Times New Roman"/>
              <w:szCs w:val="24"/>
            </w:rPr>
            <w:fldChar w:fldCharType="end"/>
          </w:r>
        </w:sdtContent>
      </w:sdt>
      <w:r>
        <w:rPr>
          <w:rFonts w:eastAsia="Times New Roman" w:cs="Times New Roman"/>
          <w:szCs w:val="24"/>
        </w:rPr>
        <w:t>.</w:t>
      </w:r>
    </w:p>
    <w:p w14:paraId="2FBFA3BE" w14:textId="77777777" w:rsidR="00CE09DE" w:rsidRDefault="00CE09DE" w:rsidP="00953631">
      <w:pPr>
        <w:spacing w:line="360" w:lineRule="auto"/>
        <w:rPr>
          <w:rFonts w:eastAsia="Times New Roman" w:cs="Times New Roman"/>
          <w:szCs w:val="24"/>
        </w:rPr>
      </w:pPr>
    </w:p>
    <w:p w14:paraId="3189A7B2" w14:textId="77777777" w:rsidR="00CE09DE" w:rsidRDefault="00CE09DE" w:rsidP="00953631">
      <w:pPr>
        <w:spacing w:line="360" w:lineRule="auto"/>
        <w:rPr>
          <w:rFonts w:eastAsia="Times New Roman" w:cs="Times New Roman"/>
          <w:szCs w:val="24"/>
        </w:rPr>
      </w:pPr>
    </w:p>
    <w:p w14:paraId="7CD2958F" w14:textId="77777777" w:rsidR="005E6212" w:rsidRDefault="00F16EA2" w:rsidP="00953631">
      <w:pPr>
        <w:spacing w:line="360" w:lineRule="auto"/>
        <w:rPr>
          <w:rFonts w:eastAsia="Times New Roman" w:cs="Times New Roman"/>
          <w:b/>
          <w:i/>
          <w:szCs w:val="24"/>
        </w:rPr>
      </w:pPr>
      <w:r>
        <w:rPr>
          <w:rFonts w:eastAsia="Times New Roman" w:cs="Times New Roman"/>
          <w:b/>
          <w:i/>
          <w:szCs w:val="24"/>
        </w:rPr>
        <w:lastRenderedPageBreak/>
        <w:t xml:space="preserve">Following policies </w:t>
      </w:r>
    </w:p>
    <w:p w14:paraId="6436EE88" w14:textId="4EEC364D" w:rsidR="00D21CA7" w:rsidRDefault="00F16EA2" w:rsidP="00953631">
      <w:pPr>
        <w:spacing w:line="360" w:lineRule="auto"/>
        <w:rPr>
          <w:rFonts w:eastAsia="Times New Roman" w:cs="Times New Roman"/>
          <w:szCs w:val="24"/>
        </w:rPr>
      </w:pPr>
      <w:r>
        <w:rPr>
          <w:rFonts w:eastAsia="Times New Roman" w:cs="Times New Roman"/>
          <w:szCs w:val="24"/>
        </w:rPr>
        <w:t>Another choice is to promote legislation promoting sustainability in the hotel sector. In order to promote sustainable practises, such as energy-efficient construction standards or waste management legislation, this might include engaging with governments and industry organisations (Camilleri, 2022). Companies may help level the playing field for sustainable practices and persuade other businesses in the sector to do the same by pushing for regulatory reforms.</w:t>
      </w:r>
    </w:p>
    <w:p w14:paraId="1B8C87B9" w14:textId="77777777" w:rsidR="005E6212" w:rsidRDefault="00F16EA2" w:rsidP="00953631">
      <w:pPr>
        <w:spacing w:line="360" w:lineRule="auto"/>
        <w:rPr>
          <w:rFonts w:eastAsia="Times New Roman" w:cs="Times New Roman"/>
          <w:b/>
          <w:i/>
          <w:szCs w:val="24"/>
        </w:rPr>
      </w:pPr>
      <w:r>
        <w:rPr>
          <w:rFonts w:eastAsia="Times New Roman" w:cs="Times New Roman"/>
          <w:b/>
          <w:i/>
          <w:szCs w:val="24"/>
        </w:rPr>
        <w:t>Collaboration</w:t>
      </w:r>
    </w:p>
    <w:p w14:paraId="2DAD7289" w14:textId="6C7AB070" w:rsidR="005E6212" w:rsidRDefault="00F16EA2" w:rsidP="00953631">
      <w:pPr>
        <w:spacing w:line="360" w:lineRule="auto"/>
        <w:rPr>
          <w:rFonts w:eastAsia="Times New Roman" w:cs="Times New Roman"/>
          <w:szCs w:val="24"/>
        </w:rPr>
      </w:pPr>
      <w:r>
        <w:rPr>
          <w:rFonts w:eastAsia="Times New Roman" w:cs="Times New Roman"/>
          <w:szCs w:val="24"/>
        </w:rPr>
        <w:t>The hospitality sector has the chance to work together and exchange best practices to address sustainability issues. Peer-to-peer networks and industry organisations may be used for this, allowing businesses to learn from one another and exchange knowledge about sustainable practices. Collaboration may also lower implementation costs and help scale up economies of scale, making sustainable projects more affordable for independent or smaller hotels (</w:t>
      </w:r>
      <w:r w:rsidR="009E60E6">
        <w:rPr>
          <w:rFonts w:eastAsia="Times New Roman" w:cs="Times New Roman"/>
          <w:szCs w:val="24"/>
        </w:rPr>
        <w:t>D</w:t>
      </w:r>
      <w:r>
        <w:rPr>
          <w:rFonts w:eastAsia="Times New Roman" w:cs="Times New Roman"/>
          <w:szCs w:val="24"/>
        </w:rPr>
        <w:t>e Visser-Amundson, 2022).</w:t>
      </w:r>
    </w:p>
    <w:p w14:paraId="720FC310" w14:textId="77777777" w:rsidR="005E6212" w:rsidRDefault="00F16EA2" w:rsidP="00953631">
      <w:pPr>
        <w:spacing w:line="360" w:lineRule="auto"/>
        <w:rPr>
          <w:rFonts w:eastAsia="Times New Roman" w:cs="Times New Roman"/>
          <w:b/>
          <w:i/>
          <w:szCs w:val="24"/>
        </w:rPr>
      </w:pPr>
      <w:r>
        <w:rPr>
          <w:rFonts w:eastAsia="Times New Roman" w:cs="Times New Roman"/>
          <w:b/>
          <w:i/>
          <w:szCs w:val="24"/>
        </w:rPr>
        <w:t xml:space="preserve">Proper Management </w:t>
      </w:r>
    </w:p>
    <w:p w14:paraId="67966ED2" w14:textId="635C391D" w:rsidR="005E6212" w:rsidRDefault="00F16EA2" w:rsidP="00953631">
      <w:pPr>
        <w:spacing w:line="360" w:lineRule="auto"/>
        <w:rPr>
          <w:rFonts w:eastAsia="Times New Roman" w:cs="Times New Roman"/>
          <w:szCs w:val="24"/>
        </w:rPr>
      </w:pPr>
      <w:r>
        <w:rPr>
          <w:rFonts w:eastAsia="Times New Roman" w:cs="Times New Roman"/>
          <w:szCs w:val="24"/>
        </w:rPr>
        <w:t>To evaluate success and pinpoint areas for improvement, management solutions for sustainability programmes must include continual monitoring and reporting. Tools like the LightStay programme, which offers information on energy, water, and waste consumption, may be used in this (Darvishmotevali and Altinay, 2022). Companies may pinpoint areas where their sustainability initiatives need development and show stakeholders their progress by routinely assessing these projects.</w:t>
      </w:r>
    </w:p>
    <w:p w14:paraId="11265E89" w14:textId="77777777" w:rsidR="005E6212" w:rsidRDefault="00F16EA2" w:rsidP="00953631">
      <w:pPr>
        <w:spacing w:line="360" w:lineRule="auto"/>
        <w:rPr>
          <w:rFonts w:eastAsia="Times New Roman" w:cs="Times New Roman"/>
          <w:b/>
          <w:i/>
          <w:szCs w:val="24"/>
        </w:rPr>
      </w:pPr>
      <w:r>
        <w:rPr>
          <w:rFonts w:eastAsia="Times New Roman" w:cs="Times New Roman"/>
          <w:b/>
          <w:i/>
          <w:szCs w:val="24"/>
        </w:rPr>
        <w:t>Training of the employees</w:t>
      </w:r>
    </w:p>
    <w:p w14:paraId="4619B5B2" w14:textId="77777777" w:rsidR="005E6212" w:rsidRDefault="00F16EA2" w:rsidP="00953631">
      <w:pPr>
        <w:spacing w:line="360" w:lineRule="auto"/>
        <w:rPr>
          <w:rFonts w:eastAsia="Times New Roman" w:cs="Times New Roman"/>
          <w:szCs w:val="24"/>
        </w:rPr>
      </w:pPr>
      <w:r>
        <w:rPr>
          <w:rFonts w:eastAsia="Times New Roman" w:cs="Times New Roman"/>
          <w:szCs w:val="24"/>
        </w:rPr>
        <w:t xml:space="preserve">To develop sustainable practices, there is a need for continual education and training for personnel. This may entail including sustainability training in onboarding new hires and continuous training for existing staff members </w:t>
      </w:r>
      <w:sdt>
        <w:sdtPr>
          <w:rPr>
            <w:rFonts w:eastAsia="Times New Roman" w:cs="Times New Roman"/>
            <w:szCs w:val="24"/>
          </w:rPr>
          <w:id w:val="34469292"/>
          <w:citation/>
        </w:sdtPr>
        <w:sdtEndPr/>
        <w:sdtContent>
          <w:r>
            <w:rPr>
              <w:rFonts w:eastAsia="Times New Roman" w:cs="Times New Roman"/>
              <w:szCs w:val="24"/>
            </w:rPr>
            <w:fldChar w:fldCharType="begin"/>
          </w:r>
          <w:r>
            <w:rPr>
              <w:rFonts w:eastAsia="Times New Roman" w:cs="Times New Roman"/>
              <w:szCs w:val="24"/>
            </w:rPr>
            <w:instrText xml:space="preserve"> CITATION Kim191 \l 16393 </w:instrText>
          </w:r>
          <w:r>
            <w:rPr>
              <w:rFonts w:eastAsia="Times New Roman" w:cs="Times New Roman"/>
              <w:szCs w:val="24"/>
            </w:rPr>
            <w:fldChar w:fldCharType="separate"/>
          </w:r>
          <w:r w:rsidRPr="00CD7CAF">
            <w:rPr>
              <w:rFonts w:eastAsia="Times New Roman" w:cs="Times New Roman"/>
              <w:noProof/>
              <w:szCs w:val="24"/>
            </w:rPr>
            <w:t>(Leonard, 2019)</w:t>
          </w:r>
          <w:r>
            <w:rPr>
              <w:rFonts w:eastAsia="Times New Roman" w:cs="Times New Roman"/>
              <w:szCs w:val="24"/>
            </w:rPr>
            <w:fldChar w:fldCharType="end"/>
          </w:r>
        </w:sdtContent>
      </w:sdt>
      <w:r>
        <w:rPr>
          <w:rFonts w:eastAsia="Times New Roman" w:cs="Times New Roman"/>
          <w:szCs w:val="24"/>
        </w:rPr>
        <w:t>. Companies may help maintain consistency in sustainability practices and foster a culture of sustainability within their organisation by equipping staff with the information and skills they need to adopt sustainable practices.</w:t>
      </w:r>
    </w:p>
    <w:p w14:paraId="518DD197" w14:textId="7D4A1DEF" w:rsidR="001974FF" w:rsidRPr="005E6212" w:rsidRDefault="00F16EA2" w:rsidP="00953631">
      <w:pPr>
        <w:spacing w:line="360" w:lineRule="auto"/>
        <w:rPr>
          <w:rFonts w:eastAsia="Times New Roman" w:cs="Times New Roman"/>
          <w:szCs w:val="24"/>
        </w:rPr>
      </w:pPr>
      <w:r>
        <w:t xml:space="preserve">The hotel business presents legislative and managerial alternatives for addressing the problem of sustainability. Companies may continue to advance in tackling sustainability issues by </w:t>
      </w:r>
      <w:r>
        <w:lastRenderedPageBreak/>
        <w:t xml:space="preserve">prioritising sustainability in business practises, pushing for regulatory changes, </w:t>
      </w:r>
      <w:proofErr w:type="gramStart"/>
      <w:r>
        <w:t>cooperating</w:t>
      </w:r>
      <w:proofErr w:type="gramEnd"/>
      <w:r>
        <w:t xml:space="preserve"> and offering continuing education and training for staff. Although these solutions need continual dedication and investment, they also present chances to lessen environmental effects, enhance brand reputation, and perhaps even cut expenses</w:t>
      </w:r>
      <w:r w:rsidR="007A14D8">
        <w:t xml:space="preserve"> (</w:t>
      </w:r>
      <w:r w:rsidR="007A14D8" w:rsidRPr="007A14D8">
        <w:t>Flori</w:t>
      </w:r>
      <w:r w:rsidR="007A14D8">
        <w:t xml:space="preserve"> et al., 2019)</w:t>
      </w:r>
      <w:r>
        <w:t>.</w:t>
      </w:r>
      <w:r>
        <w:br w:type="page"/>
      </w:r>
    </w:p>
    <w:p w14:paraId="0283192A" w14:textId="4F3C139B" w:rsidR="00C11BF3" w:rsidRDefault="00F16EA2" w:rsidP="00953631">
      <w:pPr>
        <w:pStyle w:val="Heading1"/>
        <w:spacing w:line="360" w:lineRule="auto"/>
      </w:pPr>
      <w:bookmarkStart w:id="4" w:name="_Toc136598345"/>
      <w:r>
        <w:lastRenderedPageBreak/>
        <w:t>References</w:t>
      </w:r>
      <w:bookmarkEnd w:id="4"/>
    </w:p>
    <w:p w14:paraId="551798F8" w14:textId="77777777" w:rsidR="00953631" w:rsidRDefault="00953631" w:rsidP="00953631">
      <w:pPr>
        <w:spacing w:line="360" w:lineRule="auto"/>
      </w:pPr>
    </w:p>
    <w:p w14:paraId="1F97D989" w14:textId="77777777" w:rsidR="00EE6738" w:rsidRPr="00CD7CAF" w:rsidRDefault="00EE6738" w:rsidP="00953631">
      <w:pPr>
        <w:spacing w:line="360" w:lineRule="auto"/>
        <w:rPr>
          <w:rFonts w:eastAsia="Times New Roman" w:cs="Times New Roman"/>
          <w:szCs w:val="24"/>
        </w:rPr>
      </w:pPr>
      <w:r w:rsidRPr="00AD4840">
        <w:rPr>
          <w:rFonts w:eastAsia="Times New Roman" w:cs="Times New Roman"/>
          <w:szCs w:val="24"/>
        </w:rPr>
        <w:t xml:space="preserve"> Adcock</w:t>
      </w:r>
      <w:r>
        <w:rPr>
          <w:rFonts w:eastAsia="Times New Roman" w:cs="Times New Roman"/>
          <w:szCs w:val="24"/>
        </w:rPr>
        <w:t xml:space="preserve"> M.</w:t>
      </w:r>
      <w:r w:rsidRPr="00AD4840">
        <w:rPr>
          <w:rFonts w:eastAsia="Times New Roman" w:cs="Times New Roman"/>
          <w:szCs w:val="24"/>
        </w:rPr>
        <w:t>, (</w:t>
      </w:r>
      <w:r>
        <w:rPr>
          <w:rFonts w:eastAsia="Times New Roman" w:cs="Times New Roman"/>
          <w:szCs w:val="24"/>
        </w:rPr>
        <w:t>2023</w:t>
      </w:r>
      <w:r w:rsidRPr="00AD4840">
        <w:rPr>
          <w:rFonts w:eastAsia="Times New Roman" w:cs="Times New Roman"/>
          <w:szCs w:val="24"/>
        </w:rPr>
        <w:t xml:space="preserve">) A new sustainability regime for the UK, KPMG. Available at: https://kpmg.com/xx/en/home/insights/2021/11/a-new-sustainability-regime-for-the-uk.html (Accessed: </w:t>
      </w:r>
      <w:r>
        <w:rPr>
          <w:rFonts w:eastAsia="Times New Roman" w:cs="Times New Roman"/>
          <w:szCs w:val="24"/>
        </w:rPr>
        <w:t>22</w:t>
      </w:r>
      <w:r w:rsidRPr="00AD4840">
        <w:rPr>
          <w:rFonts w:eastAsia="Times New Roman" w:cs="Times New Roman"/>
          <w:szCs w:val="24"/>
        </w:rPr>
        <w:t xml:space="preserve"> </w:t>
      </w:r>
      <w:r>
        <w:rPr>
          <w:rFonts w:eastAsia="Times New Roman" w:cs="Times New Roman"/>
          <w:szCs w:val="24"/>
        </w:rPr>
        <w:t>May</w:t>
      </w:r>
      <w:r w:rsidRPr="00AD4840">
        <w:rPr>
          <w:rFonts w:eastAsia="Times New Roman" w:cs="Times New Roman"/>
          <w:szCs w:val="24"/>
        </w:rPr>
        <w:t xml:space="preserve"> 2023).</w:t>
      </w:r>
    </w:p>
    <w:p w14:paraId="1F811C76" w14:textId="77777777" w:rsidR="00EE6738" w:rsidRDefault="00EE6738" w:rsidP="00953631">
      <w:pPr>
        <w:spacing w:line="360" w:lineRule="auto"/>
      </w:pPr>
      <w:r w:rsidRPr="001974FF">
        <w:t xml:space="preserve">Beauchamp, M.R., Crawford, K.L. and Jackson, B., </w:t>
      </w:r>
      <w:r>
        <w:t>(</w:t>
      </w:r>
      <w:r w:rsidRPr="001974FF">
        <w:t>2019</w:t>
      </w:r>
      <w:r>
        <w:t>)</w:t>
      </w:r>
      <w:r w:rsidRPr="001974FF">
        <w:t xml:space="preserve">. Social cognitive theory and physical activity: Mechanisms of behaviour change, critique, and legacy. Psychology of Sport and Exercise, 42, </w:t>
      </w:r>
      <w:bookmarkStart w:id="5" w:name="_Hlk136595845"/>
      <w:r w:rsidRPr="001974FF">
        <w:t>p.110-117</w:t>
      </w:r>
      <w:bookmarkEnd w:id="5"/>
      <w:r w:rsidRPr="001974FF">
        <w:t>.</w:t>
      </w:r>
    </w:p>
    <w:p w14:paraId="372D9D7B" w14:textId="77777777" w:rsidR="00EE6738" w:rsidRPr="00CD7CAF" w:rsidRDefault="00EE6738" w:rsidP="00953631">
      <w:pPr>
        <w:spacing w:line="360" w:lineRule="auto"/>
        <w:rPr>
          <w:rFonts w:eastAsia="Times New Roman" w:cs="Times New Roman"/>
          <w:szCs w:val="24"/>
        </w:rPr>
      </w:pPr>
      <w:r w:rsidRPr="00CD7CAF">
        <w:rPr>
          <w:rFonts w:eastAsia="Times New Roman" w:cs="Times New Roman"/>
          <w:szCs w:val="24"/>
        </w:rPr>
        <w:t>Camilleri, M.A., (2022). Strategic attributions of corporate social responsibility and environmental management: The business case for doing well by doing good! Sustainable Development</w:t>
      </w:r>
    </w:p>
    <w:p w14:paraId="6BFF3D84" w14:textId="77777777" w:rsidR="00EE6738" w:rsidRDefault="00EE6738" w:rsidP="00953631">
      <w:pPr>
        <w:spacing w:line="360" w:lineRule="auto"/>
      </w:pPr>
      <w:r>
        <w:t>Capozzi, C., (2021). Consumer Segments in the Hotel Industry. [Online]Available at: https://smallbusiness.chron.com/consumer-segments-hotel-industry-13764.html [Accessed 15 May 2023].</w:t>
      </w:r>
    </w:p>
    <w:p w14:paraId="39E7D5E2" w14:textId="77777777" w:rsidR="00EE6738" w:rsidRPr="00CD7CAF" w:rsidRDefault="00EE6738" w:rsidP="00953631">
      <w:pPr>
        <w:spacing w:line="360" w:lineRule="auto"/>
        <w:rPr>
          <w:rFonts w:eastAsia="Times New Roman" w:cs="Times New Roman"/>
          <w:szCs w:val="24"/>
        </w:rPr>
      </w:pPr>
      <w:r w:rsidRPr="00CD7CAF">
        <w:rPr>
          <w:rFonts w:eastAsia="Times New Roman" w:cs="Times New Roman"/>
          <w:szCs w:val="24"/>
        </w:rPr>
        <w:t>Darvishmotevali, M. and Altinay, L., (2022). Toward pro-environmental performance in the hospitality industry: empirical evidence on the mediating and interaction analysis. Journal of Hospitality Marketing &amp; Management</w:t>
      </w:r>
    </w:p>
    <w:p w14:paraId="0E050C5B" w14:textId="77777777" w:rsidR="00EE6738" w:rsidRPr="00CD7CAF" w:rsidRDefault="00EE6738" w:rsidP="00953631">
      <w:pPr>
        <w:spacing w:line="360" w:lineRule="auto"/>
        <w:rPr>
          <w:rFonts w:eastAsia="Times New Roman" w:cs="Times New Roman"/>
          <w:szCs w:val="24"/>
        </w:rPr>
      </w:pPr>
      <w:r>
        <w:rPr>
          <w:rFonts w:eastAsia="Times New Roman" w:cs="Times New Roman"/>
          <w:szCs w:val="24"/>
        </w:rPr>
        <w:t>D</w:t>
      </w:r>
      <w:r w:rsidRPr="00CD7CAF">
        <w:rPr>
          <w:rFonts w:eastAsia="Times New Roman" w:cs="Times New Roman"/>
          <w:szCs w:val="24"/>
        </w:rPr>
        <w:t>e Visser-Amundson, A., (2022). A multi-stakeholder partnership to fight food waste in the hospitality industry: A contribution to the United Nations Sustainable Development Goals 12 and 17. Journal of sustainable tourism.</w:t>
      </w:r>
    </w:p>
    <w:p w14:paraId="72B7BCF2" w14:textId="77777777" w:rsidR="00EE6738" w:rsidRPr="00CD7CAF" w:rsidRDefault="00EE6738" w:rsidP="00953631">
      <w:pPr>
        <w:spacing w:line="360" w:lineRule="auto"/>
        <w:rPr>
          <w:rFonts w:eastAsia="Times New Roman" w:cs="Times New Roman"/>
          <w:szCs w:val="24"/>
        </w:rPr>
      </w:pPr>
      <w:r w:rsidRPr="00CD7CAF">
        <w:rPr>
          <w:rFonts w:eastAsia="Times New Roman" w:cs="Times New Roman"/>
          <w:szCs w:val="24"/>
        </w:rPr>
        <w:t>Dimitropoulos, G., (2023). The Right to Hospitality in International Economic Law: Domestic Investment Laws and the Right to Invest. World Trade Review</w:t>
      </w:r>
    </w:p>
    <w:p w14:paraId="0DD89178" w14:textId="77777777" w:rsidR="00EE6738" w:rsidRDefault="00EE6738" w:rsidP="00953631">
      <w:pPr>
        <w:spacing w:line="360" w:lineRule="auto"/>
      </w:pPr>
      <w:r w:rsidRPr="007A14D8">
        <w:t xml:space="preserve">Florido, C., Jacob, M. and Payeras, M., </w:t>
      </w:r>
      <w:r>
        <w:t>(</w:t>
      </w:r>
      <w:r w:rsidRPr="007A14D8">
        <w:t>2019</w:t>
      </w:r>
      <w:r>
        <w:t>)</w:t>
      </w:r>
      <w:r w:rsidRPr="007A14D8">
        <w:t>. How to carry out the transition towards a more circular tourist activity in the hotel sector. The role of innovation. Administrative Sciences, 9(2), p.47.</w:t>
      </w:r>
    </w:p>
    <w:p w14:paraId="48515E51" w14:textId="77777777" w:rsidR="00EE6738" w:rsidRPr="00CD7CAF" w:rsidRDefault="00EE6738" w:rsidP="00953631">
      <w:pPr>
        <w:spacing w:line="360" w:lineRule="auto"/>
        <w:rPr>
          <w:rFonts w:eastAsia="Times New Roman" w:cs="Times New Roman"/>
          <w:szCs w:val="24"/>
        </w:rPr>
      </w:pPr>
      <w:r w:rsidRPr="00CD7CAF">
        <w:rPr>
          <w:rFonts w:eastAsia="Times New Roman" w:cs="Times New Roman"/>
          <w:szCs w:val="24"/>
        </w:rPr>
        <w:t>Hahang, E., Bayraktar, S. and Jiménez, A., (2022). Early evidence of leadership skills and strategies in managing the impact of the COVID-19 pandemic in the hospitality industry. Cross Cultural &amp; Strategic Management.</w:t>
      </w:r>
    </w:p>
    <w:p w14:paraId="749C2C54" w14:textId="77777777" w:rsidR="00EE6738" w:rsidRDefault="00EE6738" w:rsidP="00953631">
      <w:pPr>
        <w:spacing w:line="360" w:lineRule="auto"/>
        <w:rPr>
          <w:rFonts w:eastAsia="Times New Roman" w:cs="Times New Roman"/>
          <w:szCs w:val="24"/>
        </w:rPr>
      </w:pPr>
      <w:r>
        <w:rPr>
          <w:rFonts w:eastAsia="Times New Roman" w:cs="Times New Roman"/>
          <w:szCs w:val="24"/>
        </w:rPr>
        <w:t xml:space="preserve">Hilton, (2023). </w:t>
      </w:r>
      <w:r w:rsidRPr="00D21CA7">
        <w:rPr>
          <w:rFonts w:eastAsia="Times New Roman" w:cs="Times New Roman"/>
          <w:szCs w:val="24"/>
        </w:rPr>
        <w:t>Travel with purpose: Environmental, social and governance at Hilton</w:t>
      </w:r>
      <w:r>
        <w:rPr>
          <w:rFonts w:eastAsia="Times New Roman" w:cs="Times New Roman"/>
          <w:szCs w:val="24"/>
        </w:rPr>
        <w:t>;</w:t>
      </w:r>
      <w:r w:rsidRPr="00D21CA7">
        <w:rPr>
          <w:rFonts w:eastAsia="Times New Roman" w:cs="Times New Roman"/>
          <w:szCs w:val="24"/>
        </w:rPr>
        <w:t xml:space="preserve"> Travel With Purpose | Hilton ESG. Available at: https://esg.hilton.com/ (Accessed: 19 May 2023).</w:t>
      </w:r>
    </w:p>
    <w:p w14:paraId="265D89BA" w14:textId="77777777" w:rsidR="00EE6738" w:rsidRDefault="00EE6738" w:rsidP="00953631">
      <w:pPr>
        <w:spacing w:line="360" w:lineRule="auto"/>
      </w:pPr>
      <w:r>
        <w:lastRenderedPageBreak/>
        <w:t>ISO, (2018). How Hilton is going green. [Online] Available at: https://www.iso.org/news/ref2324.html#:~:text=The%20savings%20have%20been%20significant%20%E2%80%93%20we%20have,intensity%20by%2030.0%20%25%20from%20our%202008%20baseline. [Accessed 15 May 2023].</w:t>
      </w:r>
    </w:p>
    <w:p w14:paraId="6D797E1B" w14:textId="77777777" w:rsidR="00EE6738" w:rsidRPr="00CD7CAF" w:rsidRDefault="00EE6738" w:rsidP="00953631">
      <w:pPr>
        <w:spacing w:line="360" w:lineRule="auto"/>
        <w:rPr>
          <w:rFonts w:eastAsia="Times New Roman" w:cs="Times New Roman"/>
          <w:szCs w:val="24"/>
        </w:rPr>
      </w:pPr>
      <w:r w:rsidRPr="00CD7CAF">
        <w:rPr>
          <w:rFonts w:eastAsia="Times New Roman" w:cs="Times New Roman"/>
          <w:szCs w:val="24"/>
        </w:rPr>
        <w:t>Jang, S., Kim, B. and Lee, S., (2022). Impact of corporate social (ir) responsibility on volume and valence of online employee reviews: Evidence from the tourism and hospitality industry. Tourism Management, 91, p.104.</w:t>
      </w:r>
    </w:p>
    <w:p w14:paraId="68E7D455" w14:textId="77777777" w:rsidR="00EE6738" w:rsidRDefault="00EE6738" w:rsidP="00953631">
      <w:pPr>
        <w:spacing w:line="360" w:lineRule="auto"/>
      </w:pPr>
      <w:r w:rsidRPr="001974FF">
        <w:t xml:space="preserve">Krcmar, M., </w:t>
      </w:r>
      <w:r>
        <w:t>(</w:t>
      </w:r>
      <w:r w:rsidRPr="001974FF">
        <w:t>2019</w:t>
      </w:r>
      <w:r>
        <w:t>)</w:t>
      </w:r>
      <w:r w:rsidRPr="001974FF">
        <w:t>. Social cognitive theory. In Media Effects (p</w:t>
      </w:r>
      <w:r>
        <w:t>.</w:t>
      </w:r>
      <w:r w:rsidRPr="001974FF">
        <w:t xml:space="preserve"> 100-114). Routledge.</w:t>
      </w:r>
    </w:p>
    <w:p w14:paraId="20C9AAE8" w14:textId="77777777" w:rsidR="00EE6738" w:rsidRPr="00CD7CAF" w:rsidRDefault="00EE6738" w:rsidP="00953631">
      <w:pPr>
        <w:spacing w:line="360" w:lineRule="auto"/>
        <w:rPr>
          <w:rFonts w:eastAsia="Times New Roman" w:cs="Times New Roman"/>
          <w:szCs w:val="24"/>
        </w:rPr>
      </w:pPr>
      <w:r w:rsidRPr="00CD7CAF">
        <w:rPr>
          <w:rFonts w:eastAsia="Times New Roman" w:cs="Times New Roman"/>
          <w:szCs w:val="24"/>
        </w:rPr>
        <w:t>Legrand, W., Chen, J.S. and Laeis, G., (2023). Sustainability in the hospitality industry: Principles of sustainable operations. Taylor &amp; Francis eBooks DRM Free Collection.</w:t>
      </w:r>
    </w:p>
    <w:p w14:paraId="73AE3A94" w14:textId="77777777" w:rsidR="00EE6738" w:rsidRDefault="00EE6738" w:rsidP="00953631">
      <w:pPr>
        <w:spacing w:line="360" w:lineRule="auto"/>
      </w:pPr>
      <w:r>
        <w:t>Leonard, K., (2019). The Importance of Training &amp; Development in the Hospitality Industry. [Online] Available at: https://smallbusiness.chron.com/importance-training-development-hospitality-industry-64312.html [Accessed 19 May 2023].</w:t>
      </w:r>
    </w:p>
    <w:p w14:paraId="7E0A37B9" w14:textId="77777777" w:rsidR="00EE6738" w:rsidRPr="00CD7CAF" w:rsidRDefault="00EE6738" w:rsidP="00953631">
      <w:pPr>
        <w:spacing w:line="360" w:lineRule="auto"/>
        <w:rPr>
          <w:rFonts w:eastAsia="Times New Roman" w:cs="Times New Roman"/>
          <w:szCs w:val="24"/>
        </w:rPr>
      </w:pPr>
      <w:r w:rsidRPr="00CD7CAF">
        <w:rPr>
          <w:rFonts w:eastAsia="Times New Roman" w:cs="Times New Roman"/>
          <w:szCs w:val="24"/>
        </w:rPr>
        <w:t>Meng, X., Yan, L. and Liu, F., (2022). A new method to improve the indoor environment: Combining the living wall with air-conditioning. Building and Environment, 216, p.108981.</w:t>
      </w:r>
    </w:p>
    <w:p w14:paraId="6908AD10" w14:textId="77777777" w:rsidR="00EE6738" w:rsidRDefault="00EE6738" w:rsidP="00953631">
      <w:pPr>
        <w:spacing w:line="360" w:lineRule="auto"/>
      </w:pPr>
      <w:r>
        <w:t>Milano, S., (2022). Objectives for Hotel &amp; Tourism Management. [Online]Available at: https://smallbusiness.chron.com/objectives-hotel-tourism-management-78785.html [Accessed 21 May 2023].</w:t>
      </w:r>
    </w:p>
    <w:p w14:paraId="0CE43E92" w14:textId="77777777" w:rsidR="00EE6738" w:rsidRDefault="00EE6738" w:rsidP="00953631">
      <w:pPr>
        <w:spacing w:line="360" w:lineRule="auto"/>
      </w:pPr>
      <w:r>
        <w:t>Oaky, (2022). Sustainability in the hospitality industry: 9 ideas to adopt. [Online] Available at: https://oaky.com/en/blog/sustainability-in-the-hospitality-industry [Accessed 19 May 2023].</w:t>
      </w:r>
    </w:p>
    <w:p w14:paraId="2B410EE7" w14:textId="77777777" w:rsidR="00EE6738" w:rsidRDefault="00EE6738" w:rsidP="00953631">
      <w:pPr>
        <w:spacing w:line="360" w:lineRule="auto"/>
      </w:pPr>
      <w:r>
        <w:t>Petersen, L., (2020). Uncontrollable Variables That Affect the Hospitality Industry. [Online]Available at: https://smallbusiness.chron.com/uncontrollable-variables-affect-hospitality-industry-38795.html [Accessed 21 May 2023].</w:t>
      </w:r>
    </w:p>
    <w:p w14:paraId="79E57FAB" w14:textId="77777777" w:rsidR="00EE6738" w:rsidRDefault="00EE6738" w:rsidP="00953631">
      <w:pPr>
        <w:spacing w:line="360" w:lineRule="auto"/>
      </w:pPr>
      <w:r w:rsidRPr="001974FF">
        <w:t xml:space="preserve">Schunk, D.H. and DiBenedetto, M.K., </w:t>
      </w:r>
      <w:r>
        <w:t>(</w:t>
      </w:r>
      <w:r w:rsidRPr="001974FF">
        <w:t>2020</w:t>
      </w:r>
      <w:r>
        <w:t>)</w:t>
      </w:r>
      <w:r w:rsidRPr="001974FF">
        <w:t>. Motivation and social cognitive theory. Contemporary Educational Psychology, 60, p.101832.</w:t>
      </w:r>
    </w:p>
    <w:p w14:paraId="745FB575" w14:textId="77777777" w:rsidR="00EE6738" w:rsidRDefault="00EE6738" w:rsidP="00953631">
      <w:pPr>
        <w:spacing w:line="360" w:lineRule="auto"/>
      </w:pPr>
      <w:r>
        <w:t>Smyth, D., (2020). The Role of the Human Resources Department in a Hospitality Organization. [Online] Available at: https://smallbusiness.chron.com/role-human-resources-department-hospitality-organization-71891.html [Accessed 19 May 2023].</w:t>
      </w:r>
    </w:p>
    <w:p w14:paraId="16C150E7" w14:textId="77777777" w:rsidR="00EE6738" w:rsidRDefault="00EE6738" w:rsidP="00953631">
      <w:pPr>
        <w:spacing w:line="360" w:lineRule="auto"/>
      </w:pPr>
      <w:r w:rsidRPr="001974FF">
        <w:lastRenderedPageBreak/>
        <w:t xml:space="preserve">Stewart, J., Henderson, R., Michaluk, L., Deshler, J., Fuller, E. and Rambo-Hernandez, K., </w:t>
      </w:r>
      <w:r>
        <w:t>(</w:t>
      </w:r>
      <w:r w:rsidRPr="001974FF">
        <w:t>2020</w:t>
      </w:r>
      <w:r>
        <w:t>)</w:t>
      </w:r>
      <w:r w:rsidRPr="001974FF">
        <w:t>. Using the social cognitive theory framework to chart gender differences in the developmental trajectory of STEM self-efficacy in science and engineering students. Journal of Science Education and Technology, 29, p</w:t>
      </w:r>
      <w:r>
        <w:t>.</w:t>
      </w:r>
      <w:r w:rsidRPr="001974FF">
        <w:t>758-773.</w:t>
      </w:r>
    </w:p>
    <w:p w14:paraId="11496A17" w14:textId="77777777" w:rsidR="00EE6738" w:rsidRPr="00CD7CAF" w:rsidRDefault="00EE6738" w:rsidP="00953631">
      <w:pPr>
        <w:spacing w:line="360" w:lineRule="auto"/>
        <w:rPr>
          <w:rFonts w:eastAsia="Times New Roman" w:cs="Times New Roman"/>
          <w:szCs w:val="24"/>
        </w:rPr>
      </w:pPr>
      <w:r w:rsidRPr="00CD7CAF">
        <w:rPr>
          <w:rFonts w:eastAsia="Times New Roman" w:cs="Times New Roman"/>
          <w:szCs w:val="24"/>
        </w:rPr>
        <w:t>Tapaninaho, R. and Heikkinen, A., (2022). Value creation in circular economy business for sustainability: A stakeholder relationship perspective. Business Strategy and the Environment</w:t>
      </w:r>
    </w:p>
    <w:p w14:paraId="4877A25C" w14:textId="77777777" w:rsidR="00EE6738" w:rsidRPr="00CD7CAF" w:rsidRDefault="00EE6738" w:rsidP="00953631">
      <w:pPr>
        <w:spacing w:line="360" w:lineRule="auto"/>
        <w:rPr>
          <w:rFonts w:eastAsia="Times New Roman" w:cs="Times New Roman"/>
          <w:szCs w:val="24"/>
        </w:rPr>
      </w:pPr>
      <w:r w:rsidRPr="00CD7CAF">
        <w:rPr>
          <w:rFonts w:eastAsia="Times New Roman" w:cs="Times New Roman"/>
          <w:szCs w:val="24"/>
        </w:rPr>
        <w:t>Thesaurus, C.A.B.I., Portal, B., Compendium, C.A.B.I., Tool, H.S., Bank, P.K. and Cases, T., (2022). Social Justice in the Hospitality Industry–Better Pay Equals Better Employees and a Better Hotel.</w:t>
      </w:r>
    </w:p>
    <w:p w14:paraId="309C917E" w14:textId="77777777" w:rsidR="00EE6738" w:rsidRDefault="00EE6738" w:rsidP="00953631">
      <w:pPr>
        <w:spacing w:line="360" w:lineRule="auto"/>
      </w:pPr>
      <w:r w:rsidRPr="001974FF">
        <w:t xml:space="preserve">Thompson, M., </w:t>
      </w:r>
      <w:r>
        <w:t>(</w:t>
      </w:r>
      <w:r w:rsidRPr="001974FF">
        <w:t>2020</w:t>
      </w:r>
      <w:r>
        <w:t>)</w:t>
      </w:r>
      <w:r w:rsidRPr="001974FF">
        <w:t>. Farmers' markets and tourism: Identifying tensions that arise from balancing dual roles as community events and tourist attractions. Journal of Hospitality and Tourism Management, 45, pp.1-9.</w:t>
      </w:r>
    </w:p>
    <w:p w14:paraId="01866219" w14:textId="77777777" w:rsidR="00EE6738" w:rsidRDefault="00EE6738" w:rsidP="00953631">
      <w:pPr>
        <w:spacing w:line="360" w:lineRule="auto"/>
      </w:pPr>
      <w:r>
        <w:t>Thompson, S., (2021). Critical Success Factors in the Hotel Industry. [Online]Available at: https://smallbusiness.chron.com/critical-success-factors-hotel-industry-72378.html [Accessed 19 May 2023].</w:t>
      </w:r>
    </w:p>
    <w:p w14:paraId="1B6E0BF6" w14:textId="77777777" w:rsidR="00EE6738" w:rsidRDefault="00EE6738" w:rsidP="00953631">
      <w:pPr>
        <w:spacing w:line="360" w:lineRule="auto"/>
        <w:rPr>
          <w:rFonts w:eastAsia="Times New Roman" w:cs="Times New Roman"/>
          <w:szCs w:val="24"/>
        </w:rPr>
      </w:pPr>
      <w:r w:rsidRPr="00CD7CAF">
        <w:rPr>
          <w:rFonts w:eastAsia="Times New Roman" w:cs="Times New Roman"/>
          <w:szCs w:val="24"/>
        </w:rPr>
        <w:t>Wynn, M. and Jones, P., (2022). IT strategy in the hotel industry in the digital era. Sustainability, 14(17), p.10705.</w:t>
      </w:r>
    </w:p>
    <w:sectPr w:rsidR="00EE6738" w:rsidSect="00E66A97">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51BE4" w14:textId="77777777" w:rsidR="00E93E0F" w:rsidRDefault="00E93E0F">
      <w:pPr>
        <w:spacing w:after="0" w:line="240" w:lineRule="auto"/>
      </w:pPr>
      <w:r>
        <w:separator/>
      </w:r>
    </w:p>
  </w:endnote>
  <w:endnote w:type="continuationSeparator" w:id="0">
    <w:p w14:paraId="363D3F43" w14:textId="77777777" w:rsidR="00E93E0F" w:rsidRDefault="00E93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570124"/>
      <w:docPartObj>
        <w:docPartGallery w:val="Page Numbers (Bottom of Page)"/>
        <w:docPartUnique/>
      </w:docPartObj>
    </w:sdtPr>
    <w:sdtEndPr/>
    <w:sdtContent>
      <w:p w14:paraId="0123C5D3" w14:textId="736D2B3C" w:rsidR="003305FB" w:rsidRDefault="003305FB">
        <w:pPr>
          <w:pStyle w:val="Footer"/>
          <w:jc w:val="center"/>
        </w:pPr>
        <w:r>
          <w:fldChar w:fldCharType="begin"/>
        </w:r>
        <w:r>
          <w:instrText>PAGE   \* MERGEFORMAT</w:instrText>
        </w:r>
        <w:r>
          <w:fldChar w:fldCharType="separate"/>
        </w:r>
        <w:r>
          <w:rPr>
            <w:lang w:val="en-GB"/>
          </w:rPr>
          <w:t>2</w:t>
        </w:r>
        <w:r>
          <w:fldChar w:fldCharType="end"/>
        </w:r>
      </w:p>
    </w:sdtContent>
  </w:sdt>
  <w:p w14:paraId="0252DA46" w14:textId="77777777" w:rsidR="00E66A97" w:rsidRDefault="00E66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8C29E" w14:textId="77777777" w:rsidR="00E93E0F" w:rsidRDefault="00E93E0F">
      <w:pPr>
        <w:spacing w:after="0" w:line="240" w:lineRule="auto"/>
      </w:pPr>
      <w:r>
        <w:separator/>
      </w:r>
    </w:p>
  </w:footnote>
  <w:footnote w:type="continuationSeparator" w:id="0">
    <w:p w14:paraId="14B958EE" w14:textId="77777777" w:rsidR="00E93E0F" w:rsidRDefault="00E93E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249BC" w14:textId="085894E3" w:rsidR="00E66A97" w:rsidRDefault="00E66A97" w:rsidP="00E66A97">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20A9"/>
    <w:multiLevelType w:val="hybridMultilevel"/>
    <w:tmpl w:val="75F6FD3E"/>
    <w:lvl w:ilvl="0" w:tplc="FF84F8FA">
      <w:start w:val="1"/>
      <w:numFmt w:val="decimal"/>
      <w:lvlText w:val="%1."/>
      <w:lvlJc w:val="left"/>
      <w:pPr>
        <w:ind w:left="720" w:hanging="360"/>
      </w:pPr>
    </w:lvl>
    <w:lvl w:ilvl="1" w:tplc="11AEC5B8" w:tentative="1">
      <w:start w:val="1"/>
      <w:numFmt w:val="lowerLetter"/>
      <w:lvlText w:val="%2."/>
      <w:lvlJc w:val="left"/>
      <w:pPr>
        <w:ind w:left="1440" w:hanging="360"/>
      </w:pPr>
    </w:lvl>
    <w:lvl w:ilvl="2" w:tplc="A0BCF5C4" w:tentative="1">
      <w:start w:val="1"/>
      <w:numFmt w:val="lowerRoman"/>
      <w:lvlText w:val="%3."/>
      <w:lvlJc w:val="right"/>
      <w:pPr>
        <w:ind w:left="2160" w:hanging="180"/>
      </w:pPr>
    </w:lvl>
    <w:lvl w:ilvl="3" w:tplc="27FC6302" w:tentative="1">
      <w:start w:val="1"/>
      <w:numFmt w:val="decimal"/>
      <w:lvlText w:val="%4."/>
      <w:lvlJc w:val="left"/>
      <w:pPr>
        <w:ind w:left="2880" w:hanging="360"/>
      </w:pPr>
    </w:lvl>
    <w:lvl w:ilvl="4" w:tplc="9C608D2A" w:tentative="1">
      <w:start w:val="1"/>
      <w:numFmt w:val="lowerLetter"/>
      <w:lvlText w:val="%5."/>
      <w:lvlJc w:val="left"/>
      <w:pPr>
        <w:ind w:left="3600" w:hanging="360"/>
      </w:pPr>
    </w:lvl>
    <w:lvl w:ilvl="5" w:tplc="1B38B52C" w:tentative="1">
      <w:start w:val="1"/>
      <w:numFmt w:val="lowerRoman"/>
      <w:lvlText w:val="%6."/>
      <w:lvlJc w:val="right"/>
      <w:pPr>
        <w:ind w:left="4320" w:hanging="180"/>
      </w:pPr>
    </w:lvl>
    <w:lvl w:ilvl="6" w:tplc="FA0C51D0" w:tentative="1">
      <w:start w:val="1"/>
      <w:numFmt w:val="decimal"/>
      <w:lvlText w:val="%7."/>
      <w:lvlJc w:val="left"/>
      <w:pPr>
        <w:ind w:left="5040" w:hanging="360"/>
      </w:pPr>
    </w:lvl>
    <w:lvl w:ilvl="7" w:tplc="33A003B8" w:tentative="1">
      <w:start w:val="1"/>
      <w:numFmt w:val="lowerLetter"/>
      <w:lvlText w:val="%8."/>
      <w:lvlJc w:val="left"/>
      <w:pPr>
        <w:ind w:left="5760" w:hanging="360"/>
      </w:pPr>
    </w:lvl>
    <w:lvl w:ilvl="8" w:tplc="0E541A2E" w:tentative="1">
      <w:start w:val="1"/>
      <w:numFmt w:val="lowerRoman"/>
      <w:lvlText w:val="%9."/>
      <w:lvlJc w:val="right"/>
      <w:pPr>
        <w:ind w:left="6480" w:hanging="180"/>
      </w:pPr>
    </w:lvl>
  </w:abstractNum>
  <w:num w:numId="1" w16cid:durableId="1918248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44D"/>
    <w:rsid w:val="000A748F"/>
    <w:rsid w:val="00126451"/>
    <w:rsid w:val="00163077"/>
    <w:rsid w:val="001974FF"/>
    <w:rsid w:val="001E6910"/>
    <w:rsid w:val="00207410"/>
    <w:rsid w:val="00295336"/>
    <w:rsid w:val="002D6C85"/>
    <w:rsid w:val="002E0BAE"/>
    <w:rsid w:val="003305FB"/>
    <w:rsid w:val="003A32EB"/>
    <w:rsid w:val="00420186"/>
    <w:rsid w:val="004506B8"/>
    <w:rsid w:val="00463C93"/>
    <w:rsid w:val="00480015"/>
    <w:rsid w:val="004A6374"/>
    <w:rsid w:val="00501D01"/>
    <w:rsid w:val="00522E58"/>
    <w:rsid w:val="00540076"/>
    <w:rsid w:val="005E6212"/>
    <w:rsid w:val="00742899"/>
    <w:rsid w:val="007438BF"/>
    <w:rsid w:val="00776D23"/>
    <w:rsid w:val="007A14D8"/>
    <w:rsid w:val="007E47CC"/>
    <w:rsid w:val="00861B2D"/>
    <w:rsid w:val="00896923"/>
    <w:rsid w:val="008C7B4C"/>
    <w:rsid w:val="00903820"/>
    <w:rsid w:val="00934432"/>
    <w:rsid w:val="00953631"/>
    <w:rsid w:val="0097568B"/>
    <w:rsid w:val="009E60E6"/>
    <w:rsid w:val="00AA7CED"/>
    <w:rsid w:val="00AB7314"/>
    <w:rsid w:val="00AD4840"/>
    <w:rsid w:val="00AD50C2"/>
    <w:rsid w:val="00B540C9"/>
    <w:rsid w:val="00C11BF3"/>
    <w:rsid w:val="00C72092"/>
    <w:rsid w:val="00C77599"/>
    <w:rsid w:val="00CD7CAF"/>
    <w:rsid w:val="00CE09DE"/>
    <w:rsid w:val="00CE767A"/>
    <w:rsid w:val="00D21762"/>
    <w:rsid w:val="00D21CA7"/>
    <w:rsid w:val="00DC186E"/>
    <w:rsid w:val="00E4524E"/>
    <w:rsid w:val="00E57DA4"/>
    <w:rsid w:val="00E66A97"/>
    <w:rsid w:val="00E83638"/>
    <w:rsid w:val="00E90328"/>
    <w:rsid w:val="00E93E0F"/>
    <w:rsid w:val="00EB2E4A"/>
    <w:rsid w:val="00EC4E26"/>
    <w:rsid w:val="00EE6738"/>
    <w:rsid w:val="00F16EA2"/>
    <w:rsid w:val="00F22186"/>
    <w:rsid w:val="00F665FB"/>
    <w:rsid w:val="00F6744D"/>
    <w:rsid w:val="00F70ADA"/>
    <w:rsid w:val="00FA50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81C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6C85"/>
    <w:pPr>
      <w:spacing w:line="48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5E621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D6C85"/>
    <w:pPr>
      <w:keepNext/>
      <w:keepLines/>
      <w:spacing w:before="4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212"/>
    <w:rPr>
      <w:rFonts w:ascii="Times New Roman" w:eastAsiaTheme="majorEastAsia" w:hAnsi="Times New Roman" w:cstheme="majorBidi"/>
      <w:b/>
      <w:kern w:val="0"/>
      <w:sz w:val="28"/>
      <w:szCs w:val="32"/>
      <w14:ligatures w14:val="none"/>
    </w:rPr>
  </w:style>
  <w:style w:type="character" w:customStyle="1" w:styleId="Heading2Char">
    <w:name w:val="Heading 2 Char"/>
    <w:basedOn w:val="DefaultParagraphFont"/>
    <w:link w:val="Heading2"/>
    <w:uiPriority w:val="9"/>
    <w:rsid w:val="002D6C85"/>
    <w:rPr>
      <w:rFonts w:ascii="Times New Roman" w:eastAsiaTheme="majorEastAsia" w:hAnsi="Times New Roman" w:cstheme="majorBidi"/>
      <w:b/>
      <w:bCs/>
      <w:sz w:val="26"/>
      <w:szCs w:val="26"/>
    </w:rPr>
  </w:style>
  <w:style w:type="paragraph" w:styleId="ListParagraph">
    <w:name w:val="List Paragraph"/>
    <w:basedOn w:val="Normal"/>
    <w:uiPriority w:val="34"/>
    <w:qFormat/>
    <w:rsid w:val="00F6744D"/>
    <w:pPr>
      <w:ind w:left="720"/>
      <w:contextualSpacing/>
    </w:pPr>
  </w:style>
  <w:style w:type="paragraph" w:styleId="Bibliography">
    <w:name w:val="Bibliography"/>
    <w:basedOn w:val="Normal"/>
    <w:next w:val="Normal"/>
    <w:uiPriority w:val="37"/>
    <w:unhideWhenUsed/>
    <w:rsid w:val="00480015"/>
  </w:style>
  <w:style w:type="character" w:styleId="Hyperlink">
    <w:name w:val="Hyperlink"/>
    <w:basedOn w:val="DefaultParagraphFont"/>
    <w:uiPriority w:val="99"/>
    <w:unhideWhenUsed/>
    <w:rsid w:val="00480015"/>
    <w:rPr>
      <w:color w:val="0563C1" w:themeColor="hyperlink"/>
      <w:u w:val="single"/>
    </w:rPr>
  </w:style>
  <w:style w:type="character" w:styleId="UnresolvedMention">
    <w:name w:val="Unresolved Mention"/>
    <w:basedOn w:val="DefaultParagraphFont"/>
    <w:uiPriority w:val="99"/>
    <w:semiHidden/>
    <w:unhideWhenUsed/>
    <w:rsid w:val="00480015"/>
    <w:rPr>
      <w:color w:val="605E5C"/>
      <w:shd w:val="clear" w:color="auto" w:fill="E1DFDD"/>
    </w:rPr>
  </w:style>
  <w:style w:type="paragraph" w:styleId="Header">
    <w:name w:val="header"/>
    <w:basedOn w:val="Normal"/>
    <w:link w:val="HeaderChar"/>
    <w:uiPriority w:val="99"/>
    <w:unhideWhenUsed/>
    <w:rsid w:val="00E66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A97"/>
    <w:rPr>
      <w:rFonts w:ascii="Times New Roman" w:hAnsi="Times New Roman"/>
      <w:kern w:val="0"/>
      <w:sz w:val="24"/>
      <w14:ligatures w14:val="none"/>
    </w:rPr>
  </w:style>
  <w:style w:type="paragraph" w:styleId="Footer">
    <w:name w:val="footer"/>
    <w:basedOn w:val="Normal"/>
    <w:link w:val="FooterChar"/>
    <w:uiPriority w:val="99"/>
    <w:unhideWhenUsed/>
    <w:rsid w:val="00E66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A97"/>
    <w:rPr>
      <w:rFonts w:ascii="Times New Roman" w:hAnsi="Times New Roman"/>
      <w:kern w:val="0"/>
      <w:sz w:val="24"/>
      <w14:ligatures w14:val="none"/>
    </w:rPr>
  </w:style>
  <w:style w:type="paragraph" w:styleId="TOCHeading">
    <w:name w:val="TOC Heading"/>
    <w:basedOn w:val="Heading1"/>
    <w:next w:val="Normal"/>
    <w:uiPriority w:val="39"/>
    <w:unhideWhenUsed/>
    <w:qFormat/>
    <w:rsid w:val="0042018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20186"/>
    <w:pPr>
      <w:spacing w:after="100"/>
    </w:pPr>
  </w:style>
  <w:style w:type="paragraph" w:styleId="TOC2">
    <w:name w:val="toc 2"/>
    <w:basedOn w:val="Normal"/>
    <w:next w:val="Normal"/>
    <w:autoRedefine/>
    <w:uiPriority w:val="39"/>
    <w:unhideWhenUsed/>
    <w:rsid w:val="00420186"/>
    <w:pPr>
      <w:spacing w:after="100"/>
      <w:ind w:left="240"/>
    </w:pPr>
  </w:style>
  <w:style w:type="table" w:styleId="TableGrid">
    <w:name w:val="Table Grid"/>
    <w:basedOn w:val="TableNormal"/>
    <w:uiPriority w:val="39"/>
    <w:rsid w:val="00EB2E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305FB"/>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3305FB"/>
    <w:rPr>
      <w:rFonts w:eastAsiaTheme="minorEastAsia"/>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Lai203</b:Tag>
    <b:SourceType>InternetSite</b:SourceType>
    <b:Guid>{9872C60A-71C1-4511-A35A-C93B3A53ED1B}</b:Guid>
    <b:Author>
      <b:Author>
        <b:NameList>
          <b:Person>
            <b:Last>Petersen</b:Last>
            <b:First>Lainie</b:First>
          </b:Person>
        </b:NameList>
      </b:Author>
    </b:Author>
    <b:Title>Uncontrollable Variables That Affect the Hospitality Industry</b:Title>
    <b:Year>2020</b:Year>
    <b:YearAccessed>2023</b:YearAccessed>
    <b:MonthAccessed>May</b:MonthAccessed>
    <b:DayAccessed>11</b:DayAccessed>
    <b:URL>https://smallbusiness.chron.com/uncontrollable-variables-affect-hospitality-industry-38795.html</b:URL>
    <b:RefOrder>1</b:RefOrder>
  </b:Source>
  <b:Source>
    <b:Tag>Cat21</b:Tag>
    <b:SourceType>InternetSite</b:SourceType>
    <b:Guid>{B4330FCE-4086-48FD-8439-851C867D1FE8}</b:Guid>
    <b:Author>
      <b:Author>
        <b:NameList>
          <b:Person>
            <b:Last>Capozzi</b:Last>
            <b:First>Catherine</b:First>
          </b:Person>
        </b:NameList>
      </b:Author>
    </b:Author>
    <b:Title>Consumer Segments in the Hotel Industry</b:Title>
    <b:Year>2021</b:Year>
    <b:YearAccessed>2023</b:YearAccessed>
    <b:MonthAccessed>May</b:MonthAccessed>
    <b:DayAccessed>11</b:DayAccessed>
    <b:URL>https://smallbusiness.chron.com/consumer-segments-hotel-industry-13764.html</b:URL>
    <b:RefOrder>2</b:RefOrder>
  </b:Source>
  <b:Source>
    <b:Tag>Sco21</b:Tag>
    <b:SourceType>InternetSite</b:SourceType>
    <b:Guid>{B90AE1D9-0817-41F7-B7A9-2A17615BE078}</b:Guid>
    <b:Author>
      <b:Author>
        <b:NameList>
          <b:Person>
            <b:Last>Thompson</b:Last>
            <b:First>Scott</b:First>
          </b:Person>
        </b:NameList>
      </b:Author>
    </b:Author>
    <b:Title>Critical Success Factors in the Hotel Industry</b:Title>
    <b:Year>2021</b:Year>
    <b:YearAccessed>2023</b:YearAccessed>
    <b:MonthAccessed>May</b:MonthAccessed>
    <b:DayAccessed>11</b:DayAccessed>
    <b:URL>https://smallbusiness.chron.com/critical-success-factors-hotel-industry-72378.html</b:URL>
    <b:RefOrder>3</b:RefOrder>
  </b:Source>
  <b:Source>
    <b:Tag>Ste221</b:Tag>
    <b:SourceType>InternetSite</b:SourceType>
    <b:Guid>{3FABD0E0-59DA-474C-9543-130ABFDF042A}</b:Guid>
    <b:Author>
      <b:Author>
        <b:NameList>
          <b:Person>
            <b:Last>Milano</b:Last>
            <b:First>Steve</b:First>
          </b:Person>
        </b:NameList>
      </b:Author>
    </b:Author>
    <b:Title>Objectives for Hotel &amp; Tourism Management</b:Title>
    <b:Year>2022</b:Year>
    <b:YearAccessed>2023</b:YearAccessed>
    <b:MonthAccessed>May</b:MonthAccessed>
    <b:DayAccessed>11</b:DayAccessed>
    <b:URL>https://smallbusiness.chron.com/objectives-hotel-tourism-management-78785.html</b:URL>
    <b:RefOrder>4</b:RefOrder>
  </b:Source>
  <b:Source>
    <b:Tag>ISO18</b:Tag>
    <b:SourceType>InternetSite</b:SourceType>
    <b:Guid>{C4D813FA-8410-4C6C-A179-430E12572869}</b:Guid>
    <b:Author>
      <b:Author>
        <b:Corporate>ISO</b:Corporate>
      </b:Author>
    </b:Author>
    <b:Title>How Hilton is going green</b:Title>
    <b:Year>2018</b:Year>
    <b:YearAccessed>2023</b:YearAccessed>
    <b:MonthAccessed>May</b:MonthAccessed>
    <b:DayAccessed>11</b:DayAccessed>
    <b:URL>https://www.iso.org/news/ref2324.html#:~:text=The%20savings%20have%20been%20significant%20%E2%80%93%20we%20have,intensity%20by%2030.0%20%25%20from%20our%202008%20baseline.</b:URL>
    <b:RefOrder>1</b:RefOrder>
  </b:Source>
  <b:Source>
    <b:Tag>Dan20</b:Tag>
    <b:SourceType>InternetSite</b:SourceType>
    <b:Guid>{B26DAE91-E4B1-4B44-971B-3BDB1FED9055}</b:Guid>
    <b:Author>
      <b:Author>
        <b:NameList>
          <b:Person>
            <b:Last>Smyth</b:Last>
            <b:First>Danielle</b:First>
          </b:Person>
        </b:NameList>
      </b:Author>
    </b:Author>
    <b:Title>The Role of the Human Resources Department in a Hospitality Organization</b:Title>
    <b:Year>2020</b:Year>
    <b:YearAccessed>2023</b:YearAccessed>
    <b:MonthAccessed>May</b:MonthAccessed>
    <b:DayAccessed>09</b:DayAccessed>
    <b:URL>https://smallbusiness.chron.com/role-human-resources-department-hospitality-organization-71891.html</b:URL>
    <b:RefOrder>2</b:RefOrder>
  </b:Source>
  <b:Source>
    <b:Tag>Oak22</b:Tag>
    <b:SourceType>InternetSite</b:SourceType>
    <b:Guid>{A5ED5771-3168-4E92-997D-1F1FCB82A05F}</b:Guid>
    <b:Author>
      <b:Author>
        <b:Corporate>Oaky</b:Corporate>
      </b:Author>
    </b:Author>
    <b:Title>Sustainability in the hospitality industry: 9 ideas to adopt</b:Title>
    <b:Year>2022</b:Year>
    <b:YearAccessed>2023</b:YearAccessed>
    <b:MonthAccessed>May</b:MonthAccessed>
    <b:DayAccessed>10</b:DayAccessed>
    <b:URL>https://oaky.com/en/blog/sustainability-in-the-hospitality-industry</b:URL>
    <b:RefOrder>3</b:RefOrder>
  </b:Source>
  <b:Source>
    <b:Tag>Kim191</b:Tag>
    <b:SourceType>InternetSite</b:SourceType>
    <b:Guid>{289FF7B1-9EDC-4A48-B984-625FA1AD299A}</b:Guid>
    <b:Author>
      <b:Author>
        <b:NameList>
          <b:Person>
            <b:Last>Leonard</b:Last>
            <b:First>Kimberlee</b:First>
          </b:Person>
        </b:NameList>
      </b:Author>
    </b:Author>
    <b:Title>The Importance of Training &amp; Development in the Hospitality Industry</b:Title>
    <b:Year>2019</b:Year>
    <b:YearAccessed>2023</b:YearAccessed>
    <b:MonthAccessed>May</b:MonthAccessed>
    <b:DayAccessed>10</b:DayAccessed>
    <b:URL>https://smallbusiness.chron.com/importance-training-development-hospitality-industry-64312.html</b:URL>
    <b:RefOrder>4</b:RefOrder>
  </b:Source>
</b:Sources>
</file>

<file path=customXml/itemProps1.xml><?xml version="1.0" encoding="utf-8"?>
<ds:datastoreItem xmlns:ds="http://schemas.openxmlformats.org/officeDocument/2006/customXml" ds:itemID="{BB3571A0-8D95-4E0E-BBA2-84FBB14C1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3946</Words>
  <Characters>22497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Sorin Boata (2014248)</dc:creator>
  <cp:lastModifiedBy/>
  <cp:revision>1</cp:revision>
  <dcterms:created xsi:type="dcterms:W3CDTF">2023-05-12T07:43:00Z</dcterms:created>
  <dcterms:modified xsi:type="dcterms:W3CDTF">2023-06-02T10:38:00Z</dcterms:modified>
</cp:coreProperties>
</file>