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AF456"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Jane Doe</w:t>
      </w:r>
    </w:p>
    <w:p w14:paraId="169C4343"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54 Fleet street</w:t>
      </w:r>
    </w:p>
    <w:p w14:paraId="03CD27C7"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Swansea, SA1 3UT</w:t>
      </w:r>
    </w:p>
    <w:p w14:paraId="707BA6E0" w14:textId="77777777" w:rsidR="008F6C87" w:rsidRPr="00DC1ECF" w:rsidRDefault="008F6C87" w:rsidP="008F6C87">
      <w:pPr>
        <w:spacing w:line="480" w:lineRule="auto"/>
        <w:rPr>
          <w:rFonts w:ascii="Arial" w:hAnsi="Arial" w:cs="Arial"/>
          <w:sz w:val="24"/>
          <w:szCs w:val="24"/>
        </w:rPr>
      </w:pPr>
    </w:p>
    <w:p w14:paraId="52BDD84F"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Mr. Smith</w:t>
      </w:r>
    </w:p>
    <w:p w14:paraId="58202F21"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45 Brunswick street</w:t>
      </w:r>
    </w:p>
    <w:p w14:paraId="65BCFC6C"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Swansea, SA1 4JP</w:t>
      </w:r>
    </w:p>
    <w:p w14:paraId="1E2CA99B" w14:textId="77777777" w:rsidR="008F6C87" w:rsidRPr="00DC1ECF" w:rsidRDefault="008F6C87" w:rsidP="008F6C87">
      <w:pPr>
        <w:spacing w:line="480" w:lineRule="auto"/>
        <w:rPr>
          <w:rFonts w:ascii="Arial" w:hAnsi="Arial" w:cs="Arial"/>
          <w:sz w:val="24"/>
          <w:szCs w:val="24"/>
        </w:rPr>
      </w:pPr>
    </w:p>
    <w:p w14:paraId="32736824"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Subject: The Formation of a Binding Tenancy Agreement</w:t>
      </w:r>
    </w:p>
    <w:p w14:paraId="106EF5D6" w14:textId="77777777" w:rsidR="008F6C87" w:rsidRPr="00DC1ECF" w:rsidRDefault="008F6C87" w:rsidP="008F6C87">
      <w:pPr>
        <w:spacing w:line="480" w:lineRule="auto"/>
        <w:rPr>
          <w:rFonts w:ascii="Arial" w:hAnsi="Arial" w:cs="Arial"/>
          <w:sz w:val="24"/>
          <w:szCs w:val="24"/>
        </w:rPr>
      </w:pPr>
    </w:p>
    <w:p w14:paraId="0BD9D488"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Dear Mr. Smith, </w:t>
      </w:r>
    </w:p>
    <w:p w14:paraId="3EBB2B51"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This letter is to discuss the agreement we reached regarding the lease of your property and the subsequent decision you made to rent the flat to an alternative tenant due to their offer of higher rent, due to our previous communication and the deposit payment that has already been made, this raises cause for significant legal concern, and It is imperative to clarify that a legally binding contract was formed and to outline the legal implications that could result from your actions. Firstly, in the United Kingdom, the following elements are required to form a contract: Offer, Consideration, Intention to create legal relations and Capacity to contract (Poole, J, 2014). We will dissect each element and determine whether each applies to our current situation. </w:t>
      </w:r>
    </w:p>
    <w:p w14:paraId="2D7987F6"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lastRenderedPageBreak/>
        <w:t xml:space="preserve">Secondly, According to Finch, E., &amp; Fafinski, S. (2023), an offer is defined as someone expressing that they are willing to enter a contract on specific terms; this must be made with the intent for the offer to become binding when the other party accepts it. There must also be a distinct offeror and offeree. The offeror can revoke the offer at any time unless a deposit has been paid, as shown in </w:t>
      </w:r>
      <w:r w:rsidRPr="00DC1ECF">
        <w:rPr>
          <w:rFonts w:ascii="Arial" w:hAnsi="Arial" w:cs="Arial"/>
          <w:i/>
          <w:iCs/>
          <w:sz w:val="24"/>
          <w:szCs w:val="24"/>
        </w:rPr>
        <w:t>Dickinson v Dodds</w:t>
      </w:r>
      <w:r w:rsidRPr="00DC1ECF">
        <w:rPr>
          <w:rFonts w:ascii="Arial" w:hAnsi="Arial" w:cs="Arial"/>
          <w:sz w:val="24"/>
          <w:szCs w:val="24"/>
        </w:rPr>
        <w:t xml:space="preserve"> (1876). The case of </w:t>
      </w:r>
      <w:r w:rsidRPr="00DC1ECF">
        <w:rPr>
          <w:rFonts w:ascii="Arial" w:hAnsi="Arial" w:cs="Arial"/>
          <w:i/>
          <w:iCs/>
          <w:sz w:val="24"/>
          <w:szCs w:val="24"/>
        </w:rPr>
        <w:t>Storer v Manchester City Council</w:t>
      </w:r>
      <w:r w:rsidRPr="00DC1ECF">
        <w:rPr>
          <w:rFonts w:ascii="Arial" w:hAnsi="Arial" w:cs="Arial"/>
          <w:sz w:val="24"/>
          <w:szCs w:val="24"/>
        </w:rPr>
        <w:t xml:space="preserve"> (1974) highlights the validity of your offer; the council's written communication was deemed to be an offer, similar to the email confirmation that stated, "Sure, the rent is £500 per month, and you can move in on September 1st, please confirm if you agree" there is a clear offer presented. The offer is precise and definite, reinforcing </w:t>
      </w:r>
      <w:r w:rsidRPr="00DC1ECF">
        <w:rPr>
          <w:rFonts w:ascii="Arial" w:hAnsi="Arial" w:cs="Arial"/>
          <w:i/>
          <w:iCs/>
          <w:sz w:val="24"/>
          <w:szCs w:val="24"/>
        </w:rPr>
        <w:t>Gibson v Manchester City Council</w:t>
      </w:r>
      <w:r w:rsidRPr="00DC1ECF">
        <w:rPr>
          <w:rFonts w:ascii="Arial" w:hAnsi="Arial" w:cs="Arial"/>
          <w:sz w:val="24"/>
          <w:szCs w:val="24"/>
        </w:rPr>
        <w:t xml:space="preserve"> (1979). </w:t>
      </w:r>
    </w:p>
    <w:p w14:paraId="2A61B16D"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Next, the contract becomes binding when acceptance is apparent and communicated effectively (</w:t>
      </w:r>
      <w:r w:rsidRPr="00DC1ECF">
        <w:rPr>
          <w:rFonts w:ascii="Arial" w:hAnsi="Arial" w:cs="Arial"/>
          <w:i/>
          <w:iCs/>
          <w:sz w:val="24"/>
          <w:szCs w:val="24"/>
        </w:rPr>
        <w:t>Felthouse v Bindley,</w:t>
      </w:r>
      <w:r w:rsidRPr="00DC1ECF">
        <w:rPr>
          <w:rFonts w:ascii="Arial" w:hAnsi="Arial" w:cs="Arial"/>
          <w:sz w:val="24"/>
          <w:szCs w:val="24"/>
        </w:rPr>
        <w:t xml:space="preserve"> 1862). My email satisfies this, “I agree to the terms. I will arrange the deposit payment by the end of this week” The acceptance is unequivocal, introducing no new terms fulfilling </w:t>
      </w:r>
      <w:r w:rsidRPr="00DC1ECF">
        <w:rPr>
          <w:rFonts w:ascii="Arial" w:hAnsi="Arial" w:cs="Arial"/>
          <w:i/>
          <w:iCs/>
          <w:sz w:val="24"/>
          <w:szCs w:val="24"/>
        </w:rPr>
        <w:t>Butler Machine Tool Co v Ex-cell o corporation</w:t>
      </w:r>
      <w:r w:rsidRPr="00DC1ECF">
        <w:rPr>
          <w:rFonts w:ascii="Arial" w:hAnsi="Arial" w:cs="Arial"/>
          <w:sz w:val="24"/>
          <w:szCs w:val="24"/>
        </w:rPr>
        <w:t xml:space="preserve"> (1979), which introduced the mirror image rule. The acceptance was effective as soon as you received the email (</w:t>
      </w:r>
      <w:r w:rsidRPr="00DC1ECF">
        <w:rPr>
          <w:rFonts w:ascii="Arial" w:hAnsi="Arial" w:cs="Arial"/>
          <w:i/>
          <w:iCs/>
          <w:sz w:val="24"/>
          <w:szCs w:val="24"/>
        </w:rPr>
        <w:t>Entores Ltd v Miles Far East Corporation</w:t>
      </w:r>
      <w:r w:rsidRPr="00DC1ECF">
        <w:rPr>
          <w:rFonts w:ascii="Arial" w:hAnsi="Arial" w:cs="Arial"/>
          <w:sz w:val="24"/>
          <w:szCs w:val="24"/>
        </w:rPr>
        <w:t xml:space="preserve">, 1955), acceptance was established, and our contract was finalised. </w:t>
      </w:r>
    </w:p>
    <w:p w14:paraId="00E059E6"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Following on, in </w:t>
      </w:r>
      <w:r w:rsidRPr="00DC1ECF">
        <w:rPr>
          <w:rFonts w:ascii="Arial" w:hAnsi="Arial" w:cs="Arial"/>
          <w:i/>
          <w:iCs/>
          <w:sz w:val="24"/>
          <w:szCs w:val="24"/>
        </w:rPr>
        <w:t>Currie v Misa (1874)</w:t>
      </w:r>
      <w:r w:rsidRPr="00DC1ECF">
        <w:rPr>
          <w:rFonts w:ascii="Arial" w:hAnsi="Arial" w:cs="Arial"/>
          <w:sz w:val="24"/>
          <w:szCs w:val="24"/>
        </w:rPr>
        <w:t xml:space="preserve">, the court states that considerations are required in a contract; they then go on to define considerations as one part gaining some right, profit, interest or benefit or some detriment, loss or responsibility, given, suffered or undertaken by the other; therefore no legally binding contract can be formed without considerations, some value must be exchanged, in this case the deposit payment satisfies this, reinforcing that the contract is now binding. The </w:t>
      </w:r>
      <w:r w:rsidRPr="00DC1ECF">
        <w:rPr>
          <w:rFonts w:ascii="Arial" w:hAnsi="Arial" w:cs="Arial"/>
          <w:sz w:val="24"/>
          <w:szCs w:val="24"/>
        </w:rPr>
        <w:lastRenderedPageBreak/>
        <w:t xml:space="preserve">deposit should be returned if you cannot honour the contract; keeping the money is unjust enrichment; in </w:t>
      </w:r>
      <w:r w:rsidRPr="00DC1ECF">
        <w:rPr>
          <w:rFonts w:ascii="Arial" w:hAnsi="Arial" w:cs="Arial"/>
          <w:i/>
          <w:iCs/>
          <w:sz w:val="24"/>
          <w:szCs w:val="24"/>
        </w:rPr>
        <w:t>Lipkin Gorman v Karpnale Ltd (1991)</w:t>
      </w:r>
      <w:r w:rsidRPr="00DC1ECF">
        <w:rPr>
          <w:rFonts w:ascii="Arial" w:hAnsi="Arial" w:cs="Arial"/>
          <w:sz w:val="24"/>
          <w:szCs w:val="24"/>
        </w:rPr>
        <w:t>,</w:t>
      </w:r>
      <w:r w:rsidRPr="00DC1ECF">
        <w:rPr>
          <w:rFonts w:ascii="Arial" w:hAnsi="Arial" w:cs="Arial"/>
          <w:i/>
          <w:iCs/>
          <w:sz w:val="24"/>
          <w:szCs w:val="24"/>
        </w:rPr>
        <w:t xml:space="preserve"> </w:t>
      </w:r>
      <w:r w:rsidRPr="00DC1ECF">
        <w:rPr>
          <w:rFonts w:ascii="Arial" w:hAnsi="Arial" w:cs="Arial"/>
          <w:sz w:val="24"/>
          <w:szCs w:val="24"/>
        </w:rPr>
        <w:t xml:space="preserve">it was affirmed that unjust enrichment is when the defendant has attained a benefit at the expense of the client when there is no legal reason. In </w:t>
      </w:r>
      <w:r w:rsidRPr="00DC1ECF">
        <w:rPr>
          <w:rFonts w:ascii="Arial" w:hAnsi="Arial" w:cs="Arial"/>
          <w:i/>
          <w:iCs/>
          <w:sz w:val="24"/>
          <w:szCs w:val="24"/>
        </w:rPr>
        <w:t xml:space="preserve">Benedetti v Sawairis (2013), </w:t>
      </w:r>
      <w:r w:rsidRPr="00DC1ECF">
        <w:rPr>
          <w:rFonts w:ascii="Arial" w:hAnsi="Arial" w:cs="Arial"/>
          <w:sz w:val="24"/>
          <w:szCs w:val="24"/>
        </w:rPr>
        <w:t xml:space="preserve">the requirements for unjust enrichment were established: the defendant has been enriched- you received money, the enrichment was at my expense, the enrichment was unjust- you breached the contract and have no legal entitlement to the money, and there is no defence. The </w:t>
      </w:r>
      <w:r w:rsidRPr="00DC1ECF">
        <w:rPr>
          <w:rFonts w:ascii="Arial" w:hAnsi="Arial" w:cs="Arial"/>
          <w:i/>
          <w:iCs/>
          <w:sz w:val="24"/>
          <w:szCs w:val="24"/>
        </w:rPr>
        <w:t xml:space="preserve">Fiborosa Spolka Akcynja v Fairbairn Lawson Combe Barbour Ltd </w:t>
      </w:r>
      <w:r w:rsidRPr="00DC1ECF">
        <w:rPr>
          <w:rFonts w:ascii="Arial" w:hAnsi="Arial" w:cs="Arial"/>
          <w:sz w:val="24"/>
          <w:szCs w:val="24"/>
        </w:rPr>
        <w:t>(1943)</w:t>
      </w:r>
      <w:r w:rsidRPr="00DC1ECF">
        <w:rPr>
          <w:rFonts w:ascii="Arial" w:hAnsi="Arial" w:cs="Arial"/>
          <w:i/>
          <w:iCs/>
          <w:sz w:val="24"/>
          <w:szCs w:val="24"/>
        </w:rPr>
        <w:t xml:space="preserve"> </w:t>
      </w:r>
      <w:r w:rsidRPr="00DC1ECF">
        <w:rPr>
          <w:rFonts w:ascii="Arial" w:hAnsi="Arial" w:cs="Arial"/>
          <w:sz w:val="24"/>
          <w:szCs w:val="24"/>
        </w:rPr>
        <w:t xml:space="preserve">further strengthens this; the House of Lords ruled that money paid for contractual purposes that fail should be returned. </w:t>
      </w:r>
    </w:p>
    <w:p w14:paraId="39E581FB"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Furthermore, Goode, R. (No Date) conveys that for an agreement to be legally binding, both parties must intend to be legally bound to the agreement to satisfy the intention to create legal relations; this is an objective test based on a reasonable person and how they would interpret the situation as seen in </w:t>
      </w:r>
      <w:r w:rsidRPr="00DC1ECF">
        <w:rPr>
          <w:rFonts w:ascii="Arial" w:hAnsi="Arial" w:cs="Arial"/>
          <w:i/>
          <w:iCs/>
          <w:sz w:val="24"/>
          <w:szCs w:val="24"/>
        </w:rPr>
        <w:t>Smith v Hughes</w:t>
      </w:r>
      <w:r w:rsidRPr="00DC1ECF">
        <w:rPr>
          <w:rFonts w:ascii="Arial" w:hAnsi="Arial" w:cs="Arial"/>
          <w:sz w:val="24"/>
          <w:szCs w:val="24"/>
        </w:rPr>
        <w:t xml:space="preserve"> (1870). However, commercial transactions have a presumption of legal enforceability (</w:t>
      </w:r>
      <w:r w:rsidRPr="00DC1ECF">
        <w:rPr>
          <w:rFonts w:ascii="Arial" w:hAnsi="Arial" w:cs="Arial"/>
          <w:i/>
          <w:iCs/>
          <w:sz w:val="24"/>
          <w:szCs w:val="24"/>
        </w:rPr>
        <w:t>Edwards v Skyways, 1969</w:t>
      </w:r>
      <w:r w:rsidRPr="00DC1ECF">
        <w:rPr>
          <w:rFonts w:ascii="Arial" w:hAnsi="Arial" w:cs="Arial"/>
          <w:sz w:val="24"/>
          <w:szCs w:val="24"/>
        </w:rPr>
        <w:t>). The email confirmation I provided after you asked for it and your acceptance of my deposit and clear terms illustrate a legally binding agreement.</w:t>
      </w:r>
    </w:p>
    <w:p w14:paraId="34B84138"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In addition, compacity to contract must be met under section 1.1 of the</w:t>
      </w:r>
      <w:r w:rsidRPr="00DC1ECF">
        <w:rPr>
          <w:rFonts w:ascii="Arial" w:hAnsi="Arial" w:cs="Arial"/>
          <w:i/>
          <w:iCs/>
          <w:sz w:val="24"/>
          <w:szCs w:val="24"/>
        </w:rPr>
        <w:t xml:space="preserve"> Minors’ Contracts Act 1987</w:t>
      </w:r>
      <w:r w:rsidRPr="00DC1ECF">
        <w:rPr>
          <w:rFonts w:ascii="Arial" w:hAnsi="Arial" w:cs="Arial"/>
          <w:sz w:val="24"/>
          <w:szCs w:val="24"/>
        </w:rPr>
        <w:t xml:space="preserve">; anyone over 18 has full contractual capacity unless either party lacks mental capacity defined under section s.2 of the </w:t>
      </w:r>
      <w:r w:rsidRPr="00DC1ECF">
        <w:rPr>
          <w:rFonts w:ascii="Arial" w:hAnsi="Arial" w:cs="Arial"/>
          <w:i/>
          <w:iCs/>
          <w:sz w:val="24"/>
          <w:szCs w:val="24"/>
        </w:rPr>
        <w:t>Mental Capacity Act 2005</w:t>
      </w:r>
      <w:r w:rsidRPr="00DC1ECF">
        <w:rPr>
          <w:rFonts w:ascii="Arial" w:hAnsi="Arial" w:cs="Arial"/>
          <w:sz w:val="24"/>
          <w:szCs w:val="24"/>
        </w:rPr>
        <w:t xml:space="preserve">; there is no evidence to support you lack mental capacity, and we are both adults entering into a financial contract, the compacity to contract is met. </w:t>
      </w:r>
    </w:p>
    <w:p w14:paraId="1BAAC7C7"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lastRenderedPageBreak/>
        <w:t xml:space="preserve">Also, there are other statutory requirements you are held to; for instance, you could breach your obligations under the </w:t>
      </w:r>
      <w:r w:rsidRPr="00DC1ECF">
        <w:rPr>
          <w:rFonts w:ascii="Arial" w:hAnsi="Arial" w:cs="Arial"/>
          <w:i/>
          <w:iCs/>
          <w:sz w:val="24"/>
          <w:szCs w:val="24"/>
        </w:rPr>
        <w:t>Landlord and Tenant Act 1985</w:t>
      </w:r>
      <w:r w:rsidRPr="00DC1ECF">
        <w:rPr>
          <w:rFonts w:ascii="Arial" w:hAnsi="Arial" w:cs="Arial"/>
          <w:sz w:val="24"/>
          <w:szCs w:val="24"/>
        </w:rPr>
        <w:t xml:space="preserve">, the </w:t>
      </w:r>
      <w:r w:rsidRPr="00DC1ECF">
        <w:rPr>
          <w:rFonts w:ascii="Arial" w:hAnsi="Arial" w:cs="Arial"/>
          <w:i/>
          <w:iCs/>
          <w:sz w:val="24"/>
          <w:szCs w:val="24"/>
        </w:rPr>
        <w:t>Law of Property Act 1925</w:t>
      </w:r>
      <w:r w:rsidRPr="00DC1ECF">
        <w:rPr>
          <w:rFonts w:ascii="Arial" w:hAnsi="Arial" w:cs="Arial"/>
          <w:sz w:val="24"/>
          <w:szCs w:val="24"/>
        </w:rPr>
        <w:t xml:space="preserve"> establishes requirements for tenancy to exist, under section 54.2, tenancy can be created orally or informally if the agreements made in exchange for valuable consideration, in this case, the £500 is the valuable consideration. </w:t>
      </w:r>
      <w:r w:rsidRPr="00DC1ECF">
        <w:rPr>
          <w:rFonts w:ascii="Arial" w:hAnsi="Arial" w:cs="Arial"/>
          <w:i/>
          <w:iCs/>
          <w:sz w:val="24"/>
          <w:szCs w:val="24"/>
        </w:rPr>
        <w:t xml:space="preserve">Street v Mountford </w:t>
      </w:r>
      <w:r w:rsidRPr="00DC1ECF">
        <w:rPr>
          <w:rFonts w:ascii="Arial" w:hAnsi="Arial" w:cs="Arial"/>
          <w:sz w:val="24"/>
          <w:szCs w:val="24"/>
        </w:rPr>
        <w:t>(1985)</w:t>
      </w:r>
      <w:r w:rsidRPr="00DC1ECF">
        <w:rPr>
          <w:rFonts w:ascii="Arial" w:hAnsi="Arial" w:cs="Arial"/>
          <w:i/>
          <w:iCs/>
          <w:sz w:val="24"/>
          <w:szCs w:val="24"/>
        </w:rPr>
        <w:t xml:space="preserve"> </w:t>
      </w:r>
      <w:r w:rsidRPr="00DC1ECF">
        <w:rPr>
          <w:rFonts w:ascii="Arial" w:hAnsi="Arial" w:cs="Arial"/>
          <w:sz w:val="24"/>
          <w:szCs w:val="24"/>
        </w:rPr>
        <w:t xml:space="preserve">sets more requirements for tenancy; these are exclusive possession, rent and fixed term; in this case, I was offered sole occupancy of the flat, paid a deposit and agreed on the monthly rent charge if it is deemed that a tenancy has been created landlords cant retain deposits with no valid reason or they will be in breach of s.19 of the </w:t>
      </w:r>
      <w:r w:rsidRPr="00DC1ECF">
        <w:rPr>
          <w:rFonts w:ascii="Arial" w:hAnsi="Arial" w:cs="Arial"/>
          <w:i/>
          <w:iCs/>
          <w:sz w:val="24"/>
          <w:szCs w:val="24"/>
        </w:rPr>
        <w:t>Landlord and Tenant Act 2005</w:t>
      </w:r>
      <w:r w:rsidRPr="00DC1ECF">
        <w:rPr>
          <w:rFonts w:ascii="Arial" w:hAnsi="Arial" w:cs="Arial"/>
          <w:sz w:val="24"/>
          <w:szCs w:val="24"/>
        </w:rPr>
        <w:t xml:space="preserve">. If the tenancy is created, your actions could be unlawful under s.5 of the </w:t>
      </w:r>
      <w:r w:rsidRPr="00DC1ECF">
        <w:rPr>
          <w:rFonts w:ascii="Arial" w:hAnsi="Arial" w:cs="Arial"/>
          <w:i/>
          <w:iCs/>
          <w:sz w:val="24"/>
          <w:szCs w:val="24"/>
        </w:rPr>
        <w:t>Housing Act 1988</w:t>
      </w:r>
      <w:r w:rsidRPr="00DC1ECF">
        <w:rPr>
          <w:rFonts w:ascii="Arial" w:hAnsi="Arial" w:cs="Arial"/>
          <w:sz w:val="24"/>
          <w:szCs w:val="24"/>
        </w:rPr>
        <w:t xml:space="preserve">, as the tenancy must only be terminated through legal procedure. </w:t>
      </w:r>
    </w:p>
    <w:p w14:paraId="01BEED3F" w14:textId="77777777" w:rsidR="008F6C87" w:rsidRPr="00DC1ECF" w:rsidRDefault="008F6C87" w:rsidP="008F6C87">
      <w:pPr>
        <w:spacing w:line="480" w:lineRule="auto"/>
        <w:rPr>
          <w:rFonts w:ascii="Arial" w:hAnsi="Arial" w:cs="Arial"/>
          <w:i/>
          <w:iCs/>
          <w:sz w:val="24"/>
          <w:szCs w:val="24"/>
        </w:rPr>
      </w:pPr>
      <w:r w:rsidRPr="00DC1ECF">
        <w:rPr>
          <w:rFonts w:ascii="Arial" w:hAnsi="Arial" w:cs="Arial"/>
          <w:sz w:val="24"/>
          <w:szCs w:val="24"/>
        </w:rPr>
        <w:t xml:space="preserve">Next, The </w:t>
      </w:r>
      <w:r w:rsidRPr="00DC1ECF">
        <w:rPr>
          <w:rFonts w:ascii="Arial" w:hAnsi="Arial" w:cs="Arial"/>
          <w:i/>
          <w:iCs/>
          <w:sz w:val="24"/>
          <w:szCs w:val="24"/>
        </w:rPr>
        <w:t>Consumer Rights Act</w:t>
      </w:r>
      <w:r w:rsidRPr="00DC1ECF">
        <w:rPr>
          <w:rFonts w:ascii="Arial" w:hAnsi="Arial" w:cs="Arial"/>
          <w:sz w:val="24"/>
          <w:szCs w:val="24"/>
        </w:rPr>
        <w:t xml:space="preserve"> 2015 is a piece of legislation that protects consumers from unfair practices. Sections that possibly apply to you include section 62, as your behaviour was unfair and unforeseeable; you breached your contract by not going ahead with the agreement and had a non-refundable deposit despite the contract not being carried out because of your own omissions. Another section that may apply is section 68; the contract terms were unclear, and you failed to voice that the deposit would not be returned. If you never intended to lease the flat to me but wanted the deposit money, this may be a fraudulent misrepresentation, as seen in </w:t>
      </w:r>
      <w:r w:rsidRPr="00DC1ECF">
        <w:rPr>
          <w:rFonts w:ascii="Arial" w:hAnsi="Arial" w:cs="Arial"/>
          <w:i/>
          <w:iCs/>
          <w:sz w:val="24"/>
          <w:szCs w:val="24"/>
        </w:rPr>
        <w:t>Derry v Peek (</w:t>
      </w:r>
      <w:r w:rsidRPr="00DC1ECF">
        <w:rPr>
          <w:rFonts w:ascii="Arial" w:hAnsi="Arial" w:cs="Arial"/>
          <w:sz w:val="24"/>
          <w:szCs w:val="24"/>
        </w:rPr>
        <w:t>1889)</w:t>
      </w:r>
      <w:r w:rsidRPr="00DC1ECF">
        <w:rPr>
          <w:rFonts w:ascii="Arial" w:hAnsi="Arial" w:cs="Arial"/>
          <w:i/>
          <w:iCs/>
          <w:sz w:val="24"/>
          <w:szCs w:val="24"/>
        </w:rPr>
        <w:t>.</w:t>
      </w:r>
    </w:p>
    <w:p w14:paraId="14A03619"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It is clear that since you chose to lease the flat to a different tenant, you are in breach of contract, which enables me to seek legal remedies; there are various legal remedies the court may order you to uphold, such as specific performance or damages. </w:t>
      </w:r>
    </w:p>
    <w:p w14:paraId="61481701"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lastRenderedPageBreak/>
        <w:t xml:space="preserve">Specific performance is a remedy which is rewarded only by the court; the court compels the party that is in breach to carry out their obligations specified in the contract (Reece, K &amp; Ryan, C, 2020) in </w:t>
      </w:r>
      <w:r w:rsidRPr="00DC1ECF">
        <w:rPr>
          <w:rFonts w:ascii="Arial" w:hAnsi="Arial" w:cs="Arial"/>
          <w:i/>
          <w:iCs/>
          <w:sz w:val="24"/>
          <w:szCs w:val="24"/>
        </w:rPr>
        <w:t xml:space="preserve">Beswick v Beswick </w:t>
      </w:r>
      <w:r w:rsidRPr="00DC1ECF">
        <w:rPr>
          <w:rFonts w:ascii="Arial" w:hAnsi="Arial" w:cs="Arial"/>
          <w:sz w:val="24"/>
          <w:szCs w:val="24"/>
        </w:rPr>
        <w:t xml:space="preserve">(1968) it highlighted that specific performance is used when monetary compensation isn't sufficient. In </w:t>
      </w:r>
      <w:r w:rsidRPr="00DC1ECF">
        <w:rPr>
          <w:rFonts w:ascii="Arial" w:hAnsi="Arial" w:cs="Arial"/>
          <w:i/>
          <w:iCs/>
          <w:sz w:val="24"/>
          <w:szCs w:val="24"/>
        </w:rPr>
        <w:t xml:space="preserve">Verrell v Great Yarmouth Borough Council </w:t>
      </w:r>
      <w:r w:rsidRPr="00DC1ECF">
        <w:rPr>
          <w:rFonts w:ascii="Arial" w:hAnsi="Arial" w:cs="Arial"/>
          <w:sz w:val="24"/>
          <w:szCs w:val="24"/>
        </w:rPr>
        <w:t>(1981),</w:t>
      </w:r>
      <w:r w:rsidRPr="00DC1ECF">
        <w:rPr>
          <w:rFonts w:ascii="Arial" w:hAnsi="Arial" w:cs="Arial"/>
          <w:i/>
          <w:iCs/>
          <w:sz w:val="24"/>
          <w:szCs w:val="24"/>
        </w:rPr>
        <w:t xml:space="preserve"> </w:t>
      </w:r>
      <w:r w:rsidRPr="00DC1ECF">
        <w:rPr>
          <w:rFonts w:ascii="Arial" w:hAnsi="Arial" w:cs="Arial"/>
          <w:sz w:val="24"/>
          <w:szCs w:val="24"/>
        </w:rPr>
        <w:t xml:space="preserve">similarly, specific performance was given when the council had a binding contract but still refused to grant a lease; in this case, the court may order you to grant a lease and allow me to fulfil tenancy. </w:t>
      </w:r>
    </w:p>
    <w:p w14:paraId="25A75B81"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The next remedy is damages; there are different types of damages you can claim. For instance, expectation damages Tettenborn, Wilby, &amp; Bennet (2003) state that expectation damages compensate the claimant for the contractual benefits they failed to obtain but would have if they had been correctly performed. In </w:t>
      </w:r>
      <w:r w:rsidRPr="00DC1ECF">
        <w:rPr>
          <w:rFonts w:ascii="Arial" w:hAnsi="Arial" w:cs="Arial"/>
          <w:i/>
          <w:iCs/>
          <w:sz w:val="24"/>
          <w:szCs w:val="24"/>
        </w:rPr>
        <w:t>Ruxley Electronics v Forsyth</w:t>
      </w:r>
      <w:r w:rsidRPr="00DC1ECF">
        <w:rPr>
          <w:rFonts w:ascii="Arial" w:hAnsi="Arial" w:cs="Arial"/>
          <w:sz w:val="24"/>
          <w:szCs w:val="24"/>
        </w:rPr>
        <w:t xml:space="preserve"> (1996), the claimant was able to claim expectation damages based on the pool being 2 inches different to in the contract; in this case, I could claim for the difference in rent if a new property I find costs more than the one you are renting to someone else. </w:t>
      </w:r>
    </w:p>
    <w:p w14:paraId="206E2B0C"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Reliance damages are used for wasted expenditure; the claimant should not be put in a better position or state after reliance damages than if the contract had been appropriately performed; the goal is to restore the claimant to their original financial state (Ghaiwal, s., 2010). This means that money I wasted securing different accommodation or for the legal costs that occurred from bringing you to court, the court could order you to pay for. In </w:t>
      </w:r>
      <w:r w:rsidRPr="00DC1ECF">
        <w:rPr>
          <w:rFonts w:ascii="Arial" w:hAnsi="Arial" w:cs="Arial"/>
          <w:i/>
          <w:iCs/>
          <w:sz w:val="24"/>
          <w:szCs w:val="24"/>
        </w:rPr>
        <w:t xml:space="preserve">Anglia Television Ltd v Reed </w:t>
      </w:r>
      <w:r w:rsidRPr="00DC1ECF">
        <w:rPr>
          <w:rFonts w:ascii="Arial" w:hAnsi="Arial" w:cs="Arial"/>
          <w:sz w:val="24"/>
          <w:szCs w:val="24"/>
        </w:rPr>
        <w:t>(1974),</w:t>
      </w:r>
      <w:r w:rsidRPr="00DC1ECF">
        <w:rPr>
          <w:rFonts w:ascii="Arial" w:hAnsi="Arial" w:cs="Arial"/>
          <w:i/>
          <w:iCs/>
          <w:sz w:val="24"/>
          <w:szCs w:val="24"/>
        </w:rPr>
        <w:t xml:space="preserve"> </w:t>
      </w:r>
      <w:r w:rsidRPr="00DC1ECF">
        <w:rPr>
          <w:rFonts w:ascii="Arial" w:hAnsi="Arial" w:cs="Arial"/>
          <w:sz w:val="24"/>
          <w:szCs w:val="24"/>
        </w:rPr>
        <w:t xml:space="preserve">the leading case that allows reliance damages, Anglia Televisions made a claim to recover costs that were spent prior to the contract breach; this is different to expectation damages as expectation damages are money that would have been gained if the contract had been performed whereas reliance damages are the money lost due to the contract, </w:t>
      </w:r>
      <w:r w:rsidRPr="00DC1ECF">
        <w:rPr>
          <w:rFonts w:ascii="Arial" w:hAnsi="Arial" w:cs="Arial"/>
          <w:sz w:val="24"/>
          <w:szCs w:val="24"/>
        </w:rPr>
        <w:lastRenderedPageBreak/>
        <w:t xml:space="preserve">the case also allows money lost prior to the contract being signed to be recovered. This could mean you being held liable for costs that I incurred, for instance, the deposit being paid back, any non-refundable services I may have made associated with the tenancy of the flat and the cost of alternative housing if it is more than the £500 we agreed upon, this may be a better alternative for me in court due to the tenancy never commencing. </w:t>
      </w:r>
    </w:p>
    <w:p w14:paraId="3D763444"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Consequential Damages are defined under </w:t>
      </w:r>
      <w:r w:rsidRPr="00DC1ECF">
        <w:rPr>
          <w:rFonts w:ascii="Arial" w:hAnsi="Arial" w:cs="Arial"/>
          <w:i/>
          <w:iCs/>
          <w:sz w:val="24"/>
          <w:szCs w:val="24"/>
        </w:rPr>
        <w:t xml:space="preserve">Victoria Laundry Ltd v Newman Industries Ltd </w:t>
      </w:r>
      <w:r w:rsidRPr="00DC1ECF">
        <w:rPr>
          <w:rFonts w:ascii="Arial" w:hAnsi="Arial" w:cs="Arial"/>
          <w:sz w:val="24"/>
          <w:szCs w:val="24"/>
        </w:rPr>
        <w:t>(1949), where the defendant was held liable for losses when a delivery of a boiler was delayed as</w:t>
      </w:r>
      <w:r w:rsidRPr="00DC1ECF">
        <w:rPr>
          <w:rFonts w:ascii="Arial" w:hAnsi="Arial" w:cs="Arial"/>
          <w:i/>
          <w:iCs/>
          <w:sz w:val="24"/>
          <w:szCs w:val="24"/>
        </w:rPr>
        <w:t xml:space="preserve"> </w:t>
      </w:r>
      <w:r w:rsidRPr="00DC1ECF">
        <w:rPr>
          <w:rFonts w:ascii="Arial" w:hAnsi="Arial" w:cs="Arial"/>
          <w:sz w:val="24"/>
          <w:szCs w:val="24"/>
        </w:rPr>
        <w:t xml:space="preserve">losses that are foreseeable due to the knowledge between the claimant and defendant that are beyond the regular course of events, meaning if the knowledge was communicated between the parties prior to the contract formation the party of the breach is liable for indirect financial loss, since your breach may mean I have to pay higher rent elsewhere, you might be held liable to pay for this, you could also be held reliable for any temporary accommodation I will have to stay in if I can not find accommodation, as in </w:t>
      </w:r>
      <w:r w:rsidRPr="00DC1ECF">
        <w:rPr>
          <w:rFonts w:ascii="Arial" w:hAnsi="Arial" w:cs="Arial"/>
          <w:i/>
          <w:iCs/>
          <w:sz w:val="24"/>
          <w:szCs w:val="24"/>
        </w:rPr>
        <w:t xml:space="preserve">Brace v Calder </w:t>
      </w:r>
      <w:r w:rsidRPr="00DC1ECF">
        <w:rPr>
          <w:rFonts w:ascii="Arial" w:hAnsi="Arial" w:cs="Arial"/>
          <w:sz w:val="24"/>
          <w:szCs w:val="24"/>
        </w:rPr>
        <w:t xml:space="preserve">(1895) the court established that consequential damages could include expenses that incurred when trying to mitigate the loss. There is a two-part test to establish recoverability in </w:t>
      </w:r>
      <w:r w:rsidRPr="00DC1ECF">
        <w:rPr>
          <w:rFonts w:ascii="Arial" w:hAnsi="Arial" w:cs="Arial"/>
          <w:i/>
          <w:iCs/>
          <w:sz w:val="24"/>
          <w:szCs w:val="24"/>
        </w:rPr>
        <w:t>Hadley v Baxendale</w:t>
      </w:r>
      <w:r w:rsidRPr="00DC1ECF">
        <w:rPr>
          <w:rFonts w:ascii="Arial" w:hAnsi="Arial" w:cs="Arial"/>
          <w:sz w:val="24"/>
          <w:szCs w:val="24"/>
        </w:rPr>
        <w:t xml:space="preserve"> (1854). The first part includes ordinary damages, which are losses that arise naturally because of the breach, and the second is consequential damages, which we just defined. In our case, the direct loss would be the money for the deposit and the legal costs due to you breaching the contract; consequential damages could include getting alternative accommodation at a higher cost or temporary accommodation.</w:t>
      </w:r>
    </w:p>
    <w:p w14:paraId="7ABFE46C"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You could be subjected to fines due to failing to protect a tenancy under section 213 of the </w:t>
      </w:r>
      <w:r w:rsidRPr="00DC1ECF">
        <w:rPr>
          <w:rFonts w:ascii="Arial" w:hAnsi="Arial" w:cs="Arial"/>
          <w:i/>
          <w:iCs/>
          <w:sz w:val="24"/>
          <w:szCs w:val="24"/>
        </w:rPr>
        <w:t>Housing Act 2004</w:t>
      </w:r>
      <w:r w:rsidRPr="00DC1ECF">
        <w:rPr>
          <w:rFonts w:ascii="Arial" w:hAnsi="Arial" w:cs="Arial"/>
          <w:sz w:val="24"/>
          <w:szCs w:val="24"/>
        </w:rPr>
        <w:t xml:space="preserve">. This could mean facing fines of up to 3x the deposit </w:t>
      </w:r>
      <w:r w:rsidRPr="00DC1ECF">
        <w:rPr>
          <w:rFonts w:ascii="Arial" w:hAnsi="Arial" w:cs="Arial"/>
          <w:sz w:val="24"/>
          <w:szCs w:val="24"/>
        </w:rPr>
        <w:lastRenderedPageBreak/>
        <w:t xml:space="preserve">amount. The </w:t>
      </w:r>
      <w:r w:rsidRPr="00DC1ECF">
        <w:rPr>
          <w:rFonts w:ascii="Arial" w:hAnsi="Arial" w:cs="Arial"/>
          <w:i/>
          <w:iCs/>
          <w:sz w:val="24"/>
          <w:szCs w:val="24"/>
        </w:rPr>
        <w:t>Consumer Rights Act 2015</w:t>
      </w:r>
      <w:r w:rsidRPr="00DC1ECF">
        <w:rPr>
          <w:rFonts w:ascii="Arial" w:hAnsi="Arial" w:cs="Arial"/>
          <w:sz w:val="24"/>
          <w:szCs w:val="24"/>
        </w:rPr>
        <w:t xml:space="preserve"> section 62 conveys that contract terms must be fair and transparent and not create an unfair power imbalance; if you refuse to pay back your deposit, this could be unfair if there is no legal justification under Office of </w:t>
      </w:r>
      <w:r w:rsidRPr="00DC1ECF">
        <w:rPr>
          <w:rFonts w:ascii="Arial" w:hAnsi="Arial" w:cs="Arial"/>
          <w:i/>
          <w:iCs/>
          <w:sz w:val="24"/>
          <w:szCs w:val="24"/>
        </w:rPr>
        <w:t xml:space="preserve">Fair Trading v Abbey National Plc </w:t>
      </w:r>
      <w:r w:rsidRPr="00DC1ECF">
        <w:rPr>
          <w:rFonts w:ascii="Arial" w:hAnsi="Arial" w:cs="Arial"/>
          <w:sz w:val="24"/>
          <w:szCs w:val="24"/>
        </w:rPr>
        <w:t>(2009</w:t>
      </w:r>
      <w:r w:rsidRPr="00DC1ECF">
        <w:rPr>
          <w:rFonts w:ascii="Arial" w:hAnsi="Arial" w:cs="Arial"/>
          <w:i/>
          <w:iCs/>
          <w:sz w:val="24"/>
          <w:szCs w:val="24"/>
        </w:rPr>
        <w:t>)</w:t>
      </w:r>
      <w:r w:rsidRPr="00DC1ECF">
        <w:rPr>
          <w:rFonts w:ascii="Arial" w:hAnsi="Arial" w:cs="Arial"/>
          <w:sz w:val="24"/>
          <w:szCs w:val="24"/>
        </w:rPr>
        <w:t xml:space="preserve"> it was determined that causing financial issues to consumers is unfair unless there is clear justification</w:t>
      </w:r>
    </w:p>
    <w:p w14:paraId="2EAB0DA1"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The evidence supports that we entered into a legally binding tenancy agreement, an offer was made, there was clear acceptance, there was a monetary exchange, the intent to create legal relations was established, and we both have the legal capacity to enter into a contract, your decision to rent the flat to another person breaches the contract; I advise you to rethink your decisions to avoid legal action and honour the lease, please get back to me as soon as convenient. </w:t>
      </w:r>
    </w:p>
    <w:p w14:paraId="73369FD8" w14:textId="77777777" w:rsidR="008F6C87" w:rsidRPr="00DC1ECF" w:rsidRDefault="008F6C87" w:rsidP="008F6C87">
      <w:pPr>
        <w:spacing w:line="480" w:lineRule="auto"/>
        <w:rPr>
          <w:rFonts w:ascii="Arial" w:hAnsi="Arial" w:cs="Arial"/>
          <w:sz w:val="24"/>
          <w:szCs w:val="24"/>
        </w:rPr>
      </w:pPr>
    </w:p>
    <w:p w14:paraId="119F10D1" w14:textId="77777777" w:rsidR="008F6C87" w:rsidRDefault="008F6C87" w:rsidP="008F6C87">
      <w:pPr>
        <w:spacing w:line="480" w:lineRule="auto"/>
        <w:rPr>
          <w:rFonts w:ascii="Arial" w:hAnsi="Arial" w:cs="Arial"/>
          <w:sz w:val="24"/>
          <w:szCs w:val="24"/>
        </w:rPr>
      </w:pPr>
      <w:r w:rsidRPr="00DC1ECF">
        <w:rPr>
          <w:rFonts w:ascii="Arial" w:hAnsi="Arial" w:cs="Arial"/>
          <w:sz w:val="24"/>
          <w:szCs w:val="24"/>
        </w:rPr>
        <w:t xml:space="preserve">Sincerely, </w:t>
      </w:r>
    </w:p>
    <w:p w14:paraId="1E54D268"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Jane Doe.</w:t>
      </w:r>
    </w:p>
    <w:p w14:paraId="3718A744" w14:textId="77777777" w:rsidR="008F6C87" w:rsidRPr="00DC1ECF" w:rsidRDefault="008F6C87" w:rsidP="008F6C87">
      <w:pPr>
        <w:spacing w:line="480" w:lineRule="auto"/>
        <w:rPr>
          <w:rFonts w:ascii="Arial" w:hAnsi="Arial" w:cs="Arial"/>
          <w:sz w:val="24"/>
          <w:szCs w:val="24"/>
        </w:rPr>
      </w:pPr>
    </w:p>
    <w:p w14:paraId="47D59A1E" w14:textId="77777777" w:rsidR="008F6C87" w:rsidRPr="00DC1ECF" w:rsidRDefault="008F6C87" w:rsidP="008F6C87">
      <w:pPr>
        <w:spacing w:line="480" w:lineRule="auto"/>
        <w:rPr>
          <w:rFonts w:ascii="Arial" w:hAnsi="Arial" w:cs="Arial"/>
          <w:sz w:val="24"/>
          <w:szCs w:val="24"/>
        </w:rPr>
      </w:pPr>
    </w:p>
    <w:p w14:paraId="68865680" w14:textId="77777777" w:rsidR="008F6C87" w:rsidRPr="00DC1ECF" w:rsidRDefault="008F6C87" w:rsidP="008F6C87">
      <w:pPr>
        <w:spacing w:line="480" w:lineRule="auto"/>
        <w:rPr>
          <w:rFonts w:ascii="Arial" w:hAnsi="Arial" w:cs="Arial"/>
          <w:sz w:val="24"/>
          <w:szCs w:val="24"/>
        </w:rPr>
      </w:pPr>
    </w:p>
    <w:p w14:paraId="04B15208" w14:textId="77777777" w:rsidR="008F6C87" w:rsidRPr="00DC1ECF" w:rsidRDefault="008F6C87" w:rsidP="008F6C87">
      <w:pPr>
        <w:spacing w:line="480" w:lineRule="auto"/>
        <w:rPr>
          <w:rFonts w:ascii="Arial" w:hAnsi="Arial" w:cs="Arial"/>
          <w:sz w:val="24"/>
          <w:szCs w:val="24"/>
        </w:rPr>
      </w:pPr>
    </w:p>
    <w:p w14:paraId="21A4B51B" w14:textId="77777777" w:rsidR="008F6C87" w:rsidRPr="00DC1ECF" w:rsidRDefault="008F6C87" w:rsidP="008F6C87">
      <w:pPr>
        <w:spacing w:line="480" w:lineRule="auto"/>
        <w:rPr>
          <w:rFonts w:ascii="Arial" w:hAnsi="Arial" w:cs="Arial"/>
          <w:sz w:val="24"/>
          <w:szCs w:val="24"/>
        </w:rPr>
      </w:pPr>
    </w:p>
    <w:p w14:paraId="46C48920" w14:textId="77777777" w:rsidR="008F6C87" w:rsidRPr="00DC1ECF" w:rsidRDefault="008F6C87" w:rsidP="008F6C87">
      <w:pPr>
        <w:spacing w:line="480" w:lineRule="auto"/>
        <w:rPr>
          <w:rFonts w:ascii="Arial" w:hAnsi="Arial" w:cs="Arial"/>
          <w:sz w:val="24"/>
          <w:szCs w:val="24"/>
        </w:rPr>
      </w:pPr>
    </w:p>
    <w:p w14:paraId="7CCD72ED" w14:textId="77777777" w:rsidR="008F6C87" w:rsidRPr="00DC1ECF" w:rsidRDefault="008F6C87" w:rsidP="008F6C87">
      <w:pPr>
        <w:spacing w:line="480" w:lineRule="auto"/>
        <w:rPr>
          <w:rFonts w:ascii="Arial" w:hAnsi="Arial" w:cs="Arial"/>
          <w:sz w:val="24"/>
          <w:szCs w:val="24"/>
        </w:rPr>
      </w:pPr>
    </w:p>
    <w:p w14:paraId="70BEFA49" w14:textId="77777777" w:rsidR="008F6C87" w:rsidRDefault="008F6C87" w:rsidP="008F6C87">
      <w:pPr>
        <w:spacing w:line="480" w:lineRule="auto"/>
        <w:rPr>
          <w:rFonts w:ascii="Arial" w:hAnsi="Arial" w:cs="Arial"/>
          <w:sz w:val="24"/>
          <w:szCs w:val="24"/>
          <w:u w:val="single"/>
        </w:rPr>
      </w:pPr>
    </w:p>
    <w:p w14:paraId="6994BD06" w14:textId="77777777" w:rsidR="008F6C87" w:rsidRPr="00DC1ECF" w:rsidRDefault="008F6C87" w:rsidP="008F6C87">
      <w:pPr>
        <w:spacing w:line="480" w:lineRule="auto"/>
        <w:rPr>
          <w:rFonts w:ascii="Arial" w:hAnsi="Arial" w:cs="Arial"/>
          <w:sz w:val="24"/>
          <w:szCs w:val="24"/>
          <w:u w:val="single"/>
        </w:rPr>
      </w:pPr>
      <w:r w:rsidRPr="00DC1ECF">
        <w:rPr>
          <w:rFonts w:ascii="Arial" w:hAnsi="Arial" w:cs="Arial"/>
          <w:sz w:val="24"/>
          <w:szCs w:val="24"/>
          <w:u w:val="single"/>
        </w:rPr>
        <w:lastRenderedPageBreak/>
        <w:t>Reference List</w:t>
      </w:r>
    </w:p>
    <w:p w14:paraId="0A248EC9" w14:textId="77777777" w:rsidR="008F6C87" w:rsidRPr="00DC1ECF" w:rsidRDefault="008F6C87" w:rsidP="008F6C87">
      <w:pPr>
        <w:spacing w:line="480" w:lineRule="auto"/>
        <w:rPr>
          <w:rFonts w:ascii="Arial" w:hAnsi="Arial" w:cs="Arial"/>
          <w:sz w:val="24"/>
          <w:szCs w:val="24"/>
        </w:rPr>
      </w:pPr>
    </w:p>
    <w:p w14:paraId="3786754F" w14:textId="77777777" w:rsidR="008F6C87" w:rsidRPr="00DC1ECF" w:rsidRDefault="008F6C87" w:rsidP="008F6C87">
      <w:pPr>
        <w:spacing w:line="480" w:lineRule="auto"/>
        <w:rPr>
          <w:rFonts w:ascii="Arial" w:hAnsi="Arial" w:cs="Arial"/>
          <w:i/>
          <w:iCs/>
          <w:sz w:val="24"/>
          <w:szCs w:val="24"/>
        </w:rPr>
      </w:pPr>
      <w:r w:rsidRPr="00DC1ECF">
        <w:rPr>
          <w:rFonts w:ascii="Arial" w:hAnsi="Arial" w:cs="Arial"/>
          <w:i/>
          <w:iCs/>
          <w:sz w:val="24"/>
          <w:szCs w:val="24"/>
        </w:rPr>
        <w:t xml:space="preserve">Anglia Television Ltd v Reed </w:t>
      </w:r>
      <w:r w:rsidRPr="00DC1ECF">
        <w:rPr>
          <w:rFonts w:ascii="Arial" w:hAnsi="Arial" w:cs="Arial"/>
          <w:sz w:val="24"/>
          <w:szCs w:val="24"/>
        </w:rPr>
        <w:t>(1974), 1, Queen Bench, 60.</w:t>
      </w:r>
    </w:p>
    <w:p w14:paraId="3C4F2BB2" w14:textId="77777777" w:rsidR="008F6C87" w:rsidRPr="00DC1ECF" w:rsidRDefault="008F6C87" w:rsidP="008F6C87">
      <w:pPr>
        <w:spacing w:line="480" w:lineRule="auto"/>
        <w:rPr>
          <w:rFonts w:ascii="Arial" w:hAnsi="Arial" w:cs="Arial"/>
          <w:sz w:val="24"/>
          <w:szCs w:val="24"/>
        </w:rPr>
      </w:pPr>
    </w:p>
    <w:p w14:paraId="444C16E4"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Benedetti v Sawairis</w:t>
      </w:r>
      <w:r w:rsidRPr="00DC1ECF">
        <w:rPr>
          <w:rFonts w:ascii="Arial" w:hAnsi="Arial" w:cs="Arial"/>
          <w:sz w:val="24"/>
          <w:szCs w:val="24"/>
        </w:rPr>
        <w:t xml:space="preserve"> (2013) Uk Supreme Court, Case 50. </w:t>
      </w:r>
      <w:r w:rsidRPr="00DC1ECF">
        <w:rPr>
          <w:rFonts w:ascii="Arial" w:hAnsi="Arial" w:cs="Arial"/>
          <w:i/>
          <w:iCs/>
          <w:sz w:val="24"/>
          <w:szCs w:val="24"/>
        </w:rPr>
        <w:t>Casemine</w:t>
      </w:r>
      <w:r w:rsidRPr="00DC1ECF">
        <w:rPr>
          <w:rFonts w:ascii="Arial" w:hAnsi="Arial" w:cs="Arial"/>
          <w:sz w:val="24"/>
          <w:szCs w:val="24"/>
        </w:rPr>
        <w:t xml:space="preserve">. Available at: </w:t>
      </w:r>
      <w:hyperlink r:id="rId7" w:history="1">
        <w:r w:rsidRPr="00DC1ECF">
          <w:rPr>
            <w:rStyle w:val="Hyperlink"/>
            <w:rFonts w:ascii="Arial" w:hAnsi="Arial" w:cs="Arial"/>
            <w:sz w:val="24"/>
            <w:szCs w:val="24"/>
          </w:rPr>
          <w:t>https://www.casemine.com/judgement/uk/5a8ff7a960d03e7f57eb0f75</w:t>
        </w:r>
      </w:hyperlink>
    </w:p>
    <w:p w14:paraId="361710C1" w14:textId="77777777" w:rsidR="008F6C87" w:rsidRPr="00DC1ECF" w:rsidRDefault="008F6C87" w:rsidP="008F6C87">
      <w:pPr>
        <w:spacing w:line="480" w:lineRule="auto"/>
        <w:rPr>
          <w:rFonts w:ascii="Arial" w:hAnsi="Arial" w:cs="Arial"/>
          <w:sz w:val="24"/>
          <w:szCs w:val="24"/>
        </w:rPr>
      </w:pPr>
    </w:p>
    <w:p w14:paraId="2DEA937B"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Beswick v Beswick (</w:t>
      </w:r>
      <w:r w:rsidRPr="00DC1ECF">
        <w:rPr>
          <w:rFonts w:ascii="Arial" w:hAnsi="Arial" w:cs="Arial"/>
          <w:sz w:val="24"/>
          <w:szCs w:val="24"/>
        </w:rPr>
        <w:t>1968), 3, Weekly Law Reports, 932.</w:t>
      </w:r>
    </w:p>
    <w:p w14:paraId="1B28A795" w14:textId="77777777" w:rsidR="008F6C87" w:rsidRPr="00DC1ECF" w:rsidRDefault="008F6C87" w:rsidP="008F6C87">
      <w:pPr>
        <w:spacing w:line="480" w:lineRule="auto"/>
        <w:rPr>
          <w:rFonts w:ascii="Arial" w:hAnsi="Arial" w:cs="Arial"/>
          <w:sz w:val="24"/>
          <w:szCs w:val="24"/>
        </w:rPr>
      </w:pPr>
    </w:p>
    <w:p w14:paraId="01B1C710"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Brace v Calder</w:t>
      </w:r>
      <w:r w:rsidRPr="00DC1ECF">
        <w:rPr>
          <w:rFonts w:ascii="Arial" w:hAnsi="Arial" w:cs="Arial"/>
          <w:sz w:val="24"/>
          <w:szCs w:val="24"/>
        </w:rPr>
        <w:t xml:space="preserve"> (1895), 2, Queen Bench, 253.</w:t>
      </w:r>
    </w:p>
    <w:p w14:paraId="1C2E72AD" w14:textId="77777777" w:rsidR="008F6C87" w:rsidRPr="00DC1ECF" w:rsidRDefault="008F6C87" w:rsidP="008F6C87">
      <w:pPr>
        <w:spacing w:line="480" w:lineRule="auto"/>
        <w:rPr>
          <w:rFonts w:ascii="Arial" w:hAnsi="Arial" w:cs="Arial"/>
          <w:sz w:val="24"/>
          <w:szCs w:val="24"/>
        </w:rPr>
      </w:pPr>
    </w:p>
    <w:p w14:paraId="3CF223BA"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Butler Machine Tool v Ex-Cell-O Corporation</w:t>
      </w:r>
      <w:r w:rsidRPr="00DC1ECF">
        <w:rPr>
          <w:rFonts w:ascii="Arial" w:hAnsi="Arial" w:cs="Arial"/>
          <w:sz w:val="24"/>
          <w:szCs w:val="24"/>
        </w:rPr>
        <w:t> (1979) 1, Weekly Law Reports, 401.</w:t>
      </w:r>
    </w:p>
    <w:p w14:paraId="30516EFD" w14:textId="77777777" w:rsidR="008F6C87" w:rsidRPr="00DC1ECF" w:rsidRDefault="008F6C87" w:rsidP="008F6C87">
      <w:pPr>
        <w:spacing w:line="480" w:lineRule="auto"/>
        <w:rPr>
          <w:rFonts w:ascii="Arial" w:hAnsi="Arial" w:cs="Arial"/>
          <w:sz w:val="24"/>
          <w:szCs w:val="24"/>
        </w:rPr>
      </w:pPr>
    </w:p>
    <w:p w14:paraId="3F1BA046"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Consumer Rights Act</w:t>
      </w:r>
      <w:r w:rsidRPr="00DC1ECF">
        <w:rPr>
          <w:rFonts w:ascii="Arial" w:hAnsi="Arial" w:cs="Arial"/>
          <w:sz w:val="24"/>
          <w:szCs w:val="24"/>
        </w:rPr>
        <w:t xml:space="preserve"> 2015, C. 15,  Available at: </w:t>
      </w:r>
      <w:hyperlink r:id="rId8" w:history="1">
        <w:r w:rsidRPr="00DC1ECF">
          <w:rPr>
            <w:rStyle w:val="Hyperlink"/>
            <w:rFonts w:ascii="Arial" w:hAnsi="Arial" w:cs="Arial"/>
            <w:sz w:val="24"/>
            <w:szCs w:val="24"/>
          </w:rPr>
          <w:t>https://www.legislation.gov.uk/ukpga/2015/15/contents</w:t>
        </w:r>
      </w:hyperlink>
    </w:p>
    <w:p w14:paraId="21E07865" w14:textId="77777777" w:rsidR="008F6C87" w:rsidRPr="00DC1ECF" w:rsidRDefault="008F6C87" w:rsidP="008F6C87">
      <w:pPr>
        <w:spacing w:line="480" w:lineRule="auto"/>
        <w:rPr>
          <w:rFonts w:ascii="Arial" w:hAnsi="Arial" w:cs="Arial"/>
          <w:sz w:val="24"/>
          <w:szCs w:val="24"/>
        </w:rPr>
      </w:pPr>
    </w:p>
    <w:p w14:paraId="3B7781CD"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Currie v Misa</w:t>
      </w:r>
      <w:r w:rsidRPr="00DC1ECF">
        <w:rPr>
          <w:rFonts w:ascii="Arial" w:hAnsi="Arial" w:cs="Arial"/>
          <w:sz w:val="24"/>
          <w:szCs w:val="24"/>
        </w:rPr>
        <w:t xml:space="preserve"> (1874) 10, Law Reports, Exchequer Court, 153.</w:t>
      </w:r>
    </w:p>
    <w:p w14:paraId="72BB5768" w14:textId="77777777" w:rsidR="008F6C87" w:rsidRPr="00DC1ECF" w:rsidRDefault="008F6C87" w:rsidP="008F6C87">
      <w:pPr>
        <w:spacing w:line="480" w:lineRule="auto"/>
        <w:rPr>
          <w:rFonts w:ascii="Arial" w:hAnsi="Arial" w:cs="Arial"/>
          <w:sz w:val="24"/>
          <w:szCs w:val="24"/>
        </w:rPr>
      </w:pPr>
    </w:p>
    <w:p w14:paraId="18152AFE"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 xml:space="preserve">Derry v Peek </w:t>
      </w:r>
      <w:r w:rsidRPr="00DC1ECF">
        <w:rPr>
          <w:rFonts w:ascii="Arial" w:hAnsi="Arial" w:cs="Arial"/>
          <w:sz w:val="24"/>
          <w:szCs w:val="24"/>
        </w:rPr>
        <w:t>(1889) 14, Appeal Cases, 337.</w:t>
      </w:r>
    </w:p>
    <w:p w14:paraId="7F1F0FA3" w14:textId="77777777" w:rsidR="008F6C87" w:rsidRPr="00DC1ECF" w:rsidRDefault="008F6C87" w:rsidP="008F6C87">
      <w:pPr>
        <w:spacing w:line="480" w:lineRule="auto"/>
        <w:rPr>
          <w:rFonts w:ascii="Arial" w:hAnsi="Arial" w:cs="Arial"/>
          <w:sz w:val="24"/>
          <w:szCs w:val="24"/>
        </w:rPr>
      </w:pPr>
    </w:p>
    <w:p w14:paraId="65A7D759"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lastRenderedPageBreak/>
        <w:t>Dickinson v Dodds</w:t>
      </w:r>
      <w:r w:rsidRPr="00DC1ECF">
        <w:rPr>
          <w:rFonts w:ascii="Arial" w:hAnsi="Arial" w:cs="Arial"/>
          <w:sz w:val="24"/>
          <w:szCs w:val="24"/>
        </w:rPr>
        <w:t xml:space="preserve"> (1876), 2 Chancery Division, 463.</w:t>
      </w:r>
    </w:p>
    <w:p w14:paraId="72FD6A57" w14:textId="77777777" w:rsidR="008F6C87" w:rsidRPr="00DC1ECF" w:rsidRDefault="008F6C87" w:rsidP="008F6C87">
      <w:pPr>
        <w:spacing w:line="480" w:lineRule="auto"/>
        <w:rPr>
          <w:rFonts w:ascii="Arial" w:hAnsi="Arial" w:cs="Arial"/>
          <w:sz w:val="24"/>
          <w:szCs w:val="24"/>
        </w:rPr>
      </w:pPr>
    </w:p>
    <w:p w14:paraId="7EE572DA" w14:textId="77777777" w:rsidR="008F6C87" w:rsidRPr="00DC1ECF" w:rsidRDefault="008F6C87" w:rsidP="008F6C87">
      <w:pPr>
        <w:spacing w:line="480" w:lineRule="auto"/>
        <w:rPr>
          <w:rFonts w:ascii="Arial" w:hAnsi="Arial" w:cs="Arial"/>
          <w:i/>
          <w:iCs/>
          <w:sz w:val="24"/>
          <w:szCs w:val="24"/>
        </w:rPr>
      </w:pPr>
      <w:r w:rsidRPr="00DC1ECF">
        <w:rPr>
          <w:rFonts w:ascii="Arial" w:hAnsi="Arial" w:cs="Arial"/>
          <w:i/>
          <w:iCs/>
          <w:sz w:val="24"/>
          <w:szCs w:val="24"/>
        </w:rPr>
        <w:t>Edwards v Skyways</w:t>
      </w:r>
      <w:r w:rsidRPr="00DC1ECF">
        <w:rPr>
          <w:rFonts w:ascii="Arial" w:hAnsi="Arial" w:cs="Arial"/>
          <w:b/>
          <w:bCs/>
          <w:i/>
          <w:iCs/>
          <w:sz w:val="24"/>
          <w:szCs w:val="24"/>
        </w:rPr>
        <w:t xml:space="preserve"> </w:t>
      </w:r>
      <w:r w:rsidRPr="00DC1ECF">
        <w:rPr>
          <w:rFonts w:ascii="Arial" w:hAnsi="Arial" w:cs="Arial"/>
          <w:sz w:val="24"/>
          <w:szCs w:val="24"/>
        </w:rPr>
        <w:t>(1969) 1, Weekly Law Reports, 349</w:t>
      </w:r>
    </w:p>
    <w:p w14:paraId="43742116" w14:textId="77777777" w:rsidR="008F6C87" w:rsidRPr="00DC1ECF" w:rsidRDefault="008F6C87" w:rsidP="008F6C87">
      <w:pPr>
        <w:spacing w:line="480" w:lineRule="auto"/>
        <w:rPr>
          <w:rFonts w:ascii="Arial" w:hAnsi="Arial" w:cs="Arial"/>
          <w:sz w:val="24"/>
          <w:szCs w:val="24"/>
        </w:rPr>
      </w:pPr>
    </w:p>
    <w:p w14:paraId="592627A0"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Entores v Miles Far East Corp</w:t>
      </w:r>
      <w:r w:rsidRPr="00DC1ECF">
        <w:rPr>
          <w:rFonts w:ascii="Arial" w:hAnsi="Arial" w:cs="Arial"/>
          <w:sz w:val="24"/>
          <w:szCs w:val="24"/>
        </w:rPr>
        <w:t xml:space="preserve"> (1955) 2 Queens Bench, 327.</w:t>
      </w:r>
    </w:p>
    <w:p w14:paraId="27CB0EC7" w14:textId="77777777" w:rsidR="008F6C87" w:rsidRPr="00DC1ECF" w:rsidRDefault="008F6C87" w:rsidP="008F6C87">
      <w:pPr>
        <w:spacing w:line="480" w:lineRule="auto"/>
        <w:rPr>
          <w:rFonts w:ascii="Arial" w:hAnsi="Arial" w:cs="Arial"/>
          <w:sz w:val="24"/>
          <w:szCs w:val="24"/>
        </w:rPr>
      </w:pPr>
    </w:p>
    <w:p w14:paraId="3402A01E"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Fair Trading v Abbey National Plc</w:t>
      </w:r>
      <w:r w:rsidRPr="00DC1ECF">
        <w:rPr>
          <w:rFonts w:ascii="Arial" w:hAnsi="Arial" w:cs="Arial"/>
          <w:sz w:val="24"/>
          <w:szCs w:val="24"/>
        </w:rPr>
        <w:t xml:space="preserve"> (2009) United kingdom Supreme Court, 6, </w:t>
      </w:r>
      <w:r w:rsidRPr="00DC1ECF">
        <w:rPr>
          <w:rFonts w:ascii="Arial" w:hAnsi="Arial" w:cs="Arial"/>
          <w:i/>
          <w:iCs/>
          <w:sz w:val="24"/>
          <w:szCs w:val="24"/>
        </w:rPr>
        <w:t xml:space="preserve">Casemine. </w:t>
      </w:r>
      <w:r w:rsidRPr="00DC1ECF">
        <w:rPr>
          <w:rFonts w:ascii="Arial" w:hAnsi="Arial" w:cs="Arial"/>
          <w:sz w:val="24"/>
          <w:szCs w:val="24"/>
        </w:rPr>
        <w:t xml:space="preserve">Available at: </w:t>
      </w:r>
      <w:hyperlink r:id="rId9" w:history="1">
        <w:r w:rsidRPr="00DC1ECF">
          <w:rPr>
            <w:rStyle w:val="Hyperlink"/>
            <w:rFonts w:ascii="Arial" w:hAnsi="Arial" w:cs="Arial"/>
            <w:sz w:val="24"/>
            <w:szCs w:val="24"/>
          </w:rPr>
          <w:t>https://www.casemine.com/judgement/uk/5a8ff73a60d03e7f57eaa09a</w:t>
        </w:r>
      </w:hyperlink>
    </w:p>
    <w:p w14:paraId="63C55EBC"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Accessed: 08/03/2025</w:t>
      </w:r>
    </w:p>
    <w:p w14:paraId="25D04936" w14:textId="77777777" w:rsidR="008F6C87" w:rsidRPr="00DC1ECF" w:rsidRDefault="008F6C87" w:rsidP="008F6C87">
      <w:pPr>
        <w:spacing w:line="480" w:lineRule="auto"/>
        <w:rPr>
          <w:rFonts w:ascii="Arial" w:hAnsi="Arial" w:cs="Arial"/>
          <w:sz w:val="24"/>
          <w:szCs w:val="24"/>
        </w:rPr>
      </w:pPr>
    </w:p>
    <w:p w14:paraId="42955A35"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Felthouse v Bindley</w:t>
      </w:r>
      <w:r w:rsidRPr="00DC1ECF">
        <w:rPr>
          <w:rFonts w:ascii="Arial" w:hAnsi="Arial" w:cs="Arial"/>
          <w:sz w:val="24"/>
          <w:szCs w:val="24"/>
        </w:rPr>
        <w:t> (1862) English and Wales High Court, Court of Common Pleas, 35.</w:t>
      </w:r>
    </w:p>
    <w:p w14:paraId="76B288EE" w14:textId="77777777" w:rsidR="008F6C87" w:rsidRPr="00DC1ECF" w:rsidRDefault="008F6C87" w:rsidP="008F6C87">
      <w:pPr>
        <w:spacing w:line="480" w:lineRule="auto"/>
        <w:rPr>
          <w:rFonts w:ascii="Arial" w:hAnsi="Arial" w:cs="Arial"/>
          <w:sz w:val="24"/>
          <w:szCs w:val="24"/>
        </w:rPr>
      </w:pPr>
    </w:p>
    <w:p w14:paraId="3A3BFEF5"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 xml:space="preserve">Fibrosa SA v Fairbairn Lawson Combe Barbour Ltd </w:t>
      </w:r>
      <w:r w:rsidRPr="00DC1ECF">
        <w:rPr>
          <w:rFonts w:ascii="Arial" w:hAnsi="Arial" w:cs="Arial"/>
          <w:sz w:val="24"/>
          <w:szCs w:val="24"/>
        </w:rPr>
        <w:t>(1943) Appeal court, 3.</w:t>
      </w:r>
    </w:p>
    <w:p w14:paraId="2AB0D772" w14:textId="77777777" w:rsidR="008F6C87" w:rsidRPr="00DC1ECF" w:rsidRDefault="008F6C87" w:rsidP="008F6C87">
      <w:pPr>
        <w:spacing w:line="480" w:lineRule="auto"/>
        <w:rPr>
          <w:rFonts w:ascii="Arial" w:hAnsi="Arial" w:cs="Arial"/>
          <w:sz w:val="24"/>
          <w:szCs w:val="24"/>
        </w:rPr>
      </w:pPr>
    </w:p>
    <w:p w14:paraId="5D45ED1B"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Finch, E., &amp; Fafinski, S. (2023). </w:t>
      </w:r>
      <w:r w:rsidRPr="00DC1ECF">
        <w:rPr>
          <w:rFonts w:ascii="Arial" w:hAnsi="Arial" w:cs="Arial"/>
          <w:i/>
          <w:iCs/>
          <w:sz w:val="24"/>
          <w:szCs w:val="24"/>
        </w:rPr>
        <w:t>Contract law</w:t>
      </w:r>
      <w:r w:rsidRPr="00DC1ECF">
        <w:rPr>
          <w:rFonts w:ascii="Arial" w:hAnsi="Arial" w:cs="Arial"/>
          <w:sz w:val="24"/>
          <w:szCs w:val="24"/>
        </w:rPr>
        <w:t xml:space="preserve"> (8th edition.). Pearson Education. Available at: </w:t>
      </w:r>
      <w:hyperlink r:id="rId10" w:history="1">
        <w:r w:rsidRPr="00DC1ECF">
          <w:rPr>
            <w:rStyle w:val="Hyperlink"/>
            <w:rFonts w:ascii="Arial" w:hAnsi="Arial" w:cs="Arial"/>
            <w:sz w:val="24"/>
            <w:szCs w:val="24"/>
          </w:rPr>
          <w:t>https://ebookcentral.proquest.com/lib/trinity/reader.action?docID=31734120&amp;ppg=32</w:t>
        </w:r>
      </w:hyperlink>
    </w:p>
    <w:p w14:paraId="5EA60397"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Accessed:05/03/2025</w:t>
      </w:r>
    </w:p>
    <w:p w14:paraId="21E4AF71" w14:textId="77777777" w:rsidR="008F6C87" w:rsidRPr="00DC1ECF" w:rsidRDefault="008F6C87" w:rsidP="008F6C87">
      <w:pPr>
        <w:spacing w:line="480" w:lineRule="auto"/>
        <w:rPr>
          <w:rFonts w:ascii="Arial" w:hAnsi="Arial" w:cs="Arial"/>
          <w:sz w:val="24"/>
          <w:szCs w:val="24"/>
        </w:rPr>
      </w:pPr>
    </w:p>
    <w:p w14:paraId="5D2B57FE"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lastRenderedPageBreak/>
        <w:t>Ghaiwal, S. (2010) Case Summaries: Damages</w:t>
      </w:r>
      <w:r w:rsidRPr="00DC1ECF">
        <w:rPr>
          <w:rFonts w:ascii="Arial" w:hAnsi="Arial" w:cs="Arial"/>
          <w:i/>
          <w:iCs/>
          <w:sz w:val="24"/>
          <w:szCs w:val="24"/>
        </w:rPr>
        <w:t xml:space="preserve">, Construction Newsletter, </w:t>
      </w:r>
      <w:r w:rsidRPr="00DC1ECF">
        <w:rPr>
          <w:rFonts w:ascii="Arial" w:hAnsi="Arial" w:cs="Arial"/>
          <w:sz w:val="24"/>
          <w:szCs w:val="24"/>
        </w:rPr>
        <w:t>September-October</w:t>
      </w:r>
    </w:p>
    <w:p w14:paraId="62DB9239"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Available at: </w:t>
      </w:r>
      <w:hyperlink r:id="rId11" w:history="1">
        <w:r w:rsidRPr="00697D45">
          <w:rPr>
            <w:rStyle w:val="Hyperlink"/>
            <w:rFonts w:ascii="Arial" w:hAnsi="Arial" w:cs="Arial"/>
            <w:sz w:val="24"/>
            <w:szCs w:val="24"/>
          </w:rPr>
          <w:t>https://plus-lexis-com.ezproxy.uwtsd.ac.uk/uk/analytical-materials-uk/case-summaries-damages-2010-construction-ne/?crid=39a6ef82-4bef-46</w:t>
        </w:r>
        <w:r w:rsidRPr="00697D45">
          <w:rPr>
            <w:rStyle w:val="Hyperlink"/>
            <w:rFonts w:ascii="Arial" w:hAnsi="Arial" w:cs="Arial"/>
            <w:sz w:val="24"/>
            <w:szCs w:val="24"/>
          </w:rPr>
          <w:t>0</w:t>
        </w:r>
        <w:r w:rsidRPr="00697D45">
          <w:rPr>
            <w:rStyle w:val="Hyperlink"/>
            <w:rFonts w:ascii="Arial" w:hAnsi="Arial" w:cs="Arial"/>
            <w:sz w:val="24"/>
            <w:szCs w:val="24"/>
          </w:rPr>
          <w:t>7-90e9-bb2c51f31586&amp;pddocumentnumber=53</w:t>
        </w:r>
      </w:hyperlink>
    </w:p>
    <w:p w14:paraId="1C858494"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Accessed:08/03/2025</w:t>
      </w:r>
    </w:p>
    <w:p w14:paraId="493BDC82" w14:textId="77777777" w:rsidR="008F6C87" w:rsidRPr="00DC1ECF" w:rsidRDefault="008F6C87" w:rsidP="008F6C87">
      <w:pPr>
        <w:spacing w:line="480" w:lineRule="auto"/>
        <w:rPr>
          <w:rFonts w:ascii="Arial" w:hAnsi="Arial" w:cs="Arial"/>
          <w:sz w:val="24"/>
          <w:szCs w:val="24"/>
        </w:rPr>
      </w:pPr>
    </w:p>
    <w:p w14:paraId="188750A7"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Gibson v Manchester City Council</w:t>
      </w:r>
      <w:r w:rsidRPr="00DC1ECF">
        <w:rPr>
          <w:rFonts w:ascii="Arial" w:hAnsi="Arial" w:cs="Arial"/>
          <w:b/>
          <w:bCs/>
          <w:sz w:val="24"/>
          <w:szCs w:val="24"/>
        </w:rPr>
        <w:t xml:space="preserve"> </w:t>
      </w:r>
      <w:r w:rsidRPr="00DC1ECF">
        <w:rPr>
          <w:rFonts w:ascii="Arial" w:hAnsi="Arial" w:cs="Arial"/>
          <w:sz w:val="24"/>
          <w:szCs w:val="24"/>
        </w:rPr>
        <w:t>(1979) 1, Weekly Law Reports, 294.</w:t>
      </w:r>
    </w:p>
    <w:p w14:paraId="1A2DDFF3" w14:textId="77777777" w:rsidR="008F6C87" w:rsidRPr="00DC1ECF" w:rsidRDefault="008F6C87" w:rsidP="008F6C87">
      <w:pPr>
        <w:spacing w:line="480" w:lineRule="auto"/>
        <w:rPr>
          <w:rFonts w:ascii="Arial" w:hAnsi="Arial" w:cs="Arial"/>
          <w:sz w:val="24"/>
          <w:szCs w:val="24"/>
        </w:rPr>
      </w:pPr>
    </w:p>
    <w:p w14:paraId="6CF5397A" w14:textId="77777777" w:rsidR="008F6C87" w:rsidRDefault="008F6C87" w:rsidP="008F6C87">
      <w:pPr>
        <w:spacing w:line="480" w:lineRule="auto"/>
        <w:rPr>
          <w:rFonts w:ascii="Arial" w:hAnsi="Arial" w:cs="Arial"/>
          <w:sz w:val="24"/>
          <w:szCs w:val="24"/>
        </w:rPr>
      </w:pPr>
      <w:r w:rsidRPr="00DC1ECF">
        <w:rPr>
          <w:rFonts w:ascii="Arial" w:hAnsi="Arial" w:cs="Arial"/>
          <w:sz w:val="24"/>
          <w:szCs w:val="24"/>
        </w:rPr>
        <w:t>Goode, R. (No Date)</w:t>
      </w:r>
      <w:r w:rsidRPr="00DC1ECF">
        <w:rPr>
          <w:rFonts w:ascii="Arial" w:hAnsi="Arial" w:cs="Arial"/>
          <w:i/>
          <w:iCs/>
          <w:sz w:val="24"/>
          <w:szCs w:val="24"/>
        </w:rPr>
        <w:t> Goode: Consumer Credit Law and Practice.</w:t>
      </w:r>
      <w:r w:rsidRPr="00DC1ECF">
        <w:rPr>
          <w:rFonts w:ascii="Arial" w:hAnsi="Arial" w:cs="Arial"/>
          <w:sz w:val="24"/>
          <w:szCs w:val="24"/>
        </w:rPr>
        <w:t> London: Lexisnexis Butterworth.</w:t>
      </w:r>
    </w:p>
    <w:p w14:paraId="16AAF31C"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 Available at:</w:t>
      </w:r>
      <w:hyperlink r:id="rId12" w:history="1">
        <w:r w:rsidRPr="00DC1ECF">
          <w:rPr>
            <w:rStyle w:val="Hyperlink"/>
            <w:rFonts w:ascii="Arial" w:hAnsi="Arial" w:cs="Arial"/>
            <w:sz w:val="24"/>
            <w:szCs w:val="24"/>
          </w:rPr>
          <w:t>https://plus-lexis-com.ezproxy.uwtsd.ac.uk/uk/analytical-materials-uk/5-intention-to-create-legal-relations/?crid=532dc4b4-d7a4-4caa-9cbe-c1d526ea6cf9&amp;pddocumentnumber=6</w:t>
        </w:r>
      </w:hyperlink>
    </w:p>
    <w:p w14:paraId="373D4154"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Accessed:06/03/2025</w:t>
      </w:r>
    </w:p>
    <w:p w14:paraId="44000A48" w14:textId="77777777" w:rsidR="008F6C87" w:rsidRPr="00DC1ECF" w:rsidRDefault="008F6C87" w:rsidP="008F6C87">
      <w:pPr>
        <w:spacing w:line="480" w:lineRule="auto"/>
        <w:rPr>
          <w:rFonts w:ascii="Arial" w:hAnsi="Arial" w:cs="Arial"/>
          <w:sz w:val="24"/>
          <w:szCs w:val="24"/>
        </w:rPr>
      </w:pPr>
    </w:p>
    <w:p w14:paraId="50975308" w14:textId="77777777" w:rsidR="008F6C87" w:rsidRPr="00DC1ECF" w:rsidRDefault="008F6C87" w:rsidP="008F6C87">
      <w:pPr>
        <w:spacing w:line="480" w:lineRule="auto"/>
        <w:rPr>
          <w:rFonts w:ascii="Arial" w:hAnsi="Arial" w:cs="Arial"/>
          <w:i/>
          <w:iCs/>
          <w:sz w:val="24"/>
          <w:szCs w:val="24"/>
        </w:rPr>
      </w:pPr>
      <w:r w:rsidRPr="00DC1ECF">
        <w:rPr>
          <w:rFonts w:ascii="Arial" w:hAnsi="Arial" w:cs="Arial"/>
          <w:i/>
          <w:iCs/>
          <w:sz w:val="24"/>
          <w:szCs w:val="24"/>
        </w:rPr>
        <w:t>Hadley v Baxendale</w:t>
      </w:r>
      <w:r w:rsidRPr="00DC1ECF">
        <w:rPr>
          <w:rFonts w:ascii="Arial" w:hAnsi="Arial" w:cs="Arial"/>
          <w:sz w:val="24"/>
          <w:szCs w:val="24"/>
        </w:rPr>
        <w:t xml:space="preserve"> (1854), England and Wales High Court, Exchequer Court, 70.</w:t>
      </w:r>
    </w:p>
    <w:p w14:paraId="585942CE" w14:textId="77777777" w:rsidR="008F6C87" w:rsidRPr="00DC1ECF" w:rsidRDefault="008F6C87" w:rsidP="008F6C87">
      <w:pPr>
        <w:spacing w:line="480" w:lineRule="auto"/>
        <w:rPr>
          <w:rFonts w:ascii="Arial" w:hAnsi="Arial" w:cs="Arial"/>
          <w:sz w:val="24"/>
          <w:szCs w:val="24"/>
        </w:rPr>
      </w:pPr>
    </w:p>
    <w:p w14:paraId="7364BE10" w14:textId="77777777" w:rsidR="008F6C87" w:rsidRDefault="008F6C87" w:rsidP="008F6C87">
      <w:pPr>
        <w:spacing w:line="480" w:lineRule="auto"/>
        <w:rPr>
          <w:rFonts w:ascii="Arial" w:hAnsi="Arial" w:cs="Arial"/>
          <w:sz w:val="24"/>
          <w:szCs w:val="24"/>
        </w:rPr>
      </w:pPr>
      <w:r w:rsidRPr="00DC1ECF">
        <w:rPr>
          <w:rFonts w:ascii="Arial" w:hAnsi="Arial" w:cs="Arial"/>
          <w:i/>
          <w:iCs/>
          <w:sz w:val="24"/>
          <w:szCs w:val="24"/>
        </w:rPr>
        <w:t xml:space="preserve">Housing Act 1988, </w:t>
      </w:r>
      <w:r w:rsidRPr="00DC1ECF">
        <w:rPr>
          <w:rFonts w:ascii="Arial" w:hAnsi="Arial" w:cs="Arial"/>
          <w:sz w:val="24"/>
          <w:szCs w:val="24"/>
        </w:rPr>
        <w:t xml:space="preserve">C. 50, </w:t>
      </w:r>
    </w:p>
    <w:p w14:paraId="7ADC54DC"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Available at: </w:t>
      </w:r>
      <w:hyperlink r:id="rId13" w:history="1">
        <w:r w:rsidRPr="00DC1ECF">
          <w:rPr>
            <w:rStyle w:val="Hyperlink"/>
            <w:rFonts w:ascii="Arial" w:hAnsi="Arial" w:cs="Arial"/>
            <w:sz w:val="24"/>
            <w:szCs w:val="24"/>
          </w:rPr>
          <w:t>https://www.legislation.gov.uk/ukpga/1988/50/contents</w:t>
        </w:r>
      </w:hyperlink>
    </w:p>
    <w:p w14:paraId="71B06F3C" w14:textId="77777777" w:rsidR="008F6C87" w:rsidRPr="00DC1ECF" w:rsidRDefault="008F6C87" w:rsidP="008F6C87">
      <w:pPr>
        <w:spacing w:line="480" w:lineRule="auto"/>
        <w:rPr>
          <w:rFonts w:ascii="Arial" w:hAnsi="Arial" w:cs="Arial"/>
          <w:sz w:val="24"/>
          <w:szCs w:val="24"/>
        </w:rPr>
      </w:pPr>
    </w:p>
    <w:p w14:paraId="18A83F9E"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lastRenderedPageBreak/>
        <w:t>Landlord and Tenant Act 1985, C. 70, Available at:</w:t>
      </w:r>
      <w:hyperlink r:id="rId14" w:history="1">
        <w:r w:rsidRPr="00DC1ECF">
          <w:rPr>
            <w:rStyle w:val="Hyperlink"/>
            <w:rFonts w:ascii="Arial" w:hAnsi="Arial" w:cs="Arial"/>
            <w:sz w:val="24"/>
            <w:szCs w:val="24"/>
          </w:rPr>
          <w:t>https://www.legislation.gov.uk/ukpga/1985/70/contents</w:t>
        </w:r>
      </w:hyperlink>
    </w:p>
    <w:p w14:paraId="099D5CC1" w14:textId="77777777" w:rsidR="008F6C87" w:rsidRPr="00DC1ECF" w:rsidRDefault="008F6C87" w:rsidP="008F6C87">
      <w:pPr>
        <w:spacing w:line="480" w:lineRule="auto"/>
        <w:rPr>
          <w:rFonts w:ascii="Arial" w:hAnsi="Arial" w:cs="Arial"/>
          <w:sz w:val="24"/>
          <w:szCs w:val="24"/>
        </w:rPr>
      </w:pPr>
    </w:p>
    <w:p w14:paraId="74FC0F1C" w14:textId="77777777" w:rsidR="008F6C87" w:rsidRDefault="008F6C87" w:rsidP="008F6C87">
      <w:pPr>
        <w:spacing w:line="480" w:lineRule="auto"/>
        <w:rPr>
          <w:rFonts w:ascii="Arial" w:hAnsi="Arial" w:cs="Arial"/>
          <w:sz w:val="24"/>
          <w:szCs w:val="24"/>
        </w:rPr>
      </w:pPr>
      <w:r w:rsidRPr="00DC1ECF">
        <w:rPr>
          <w:rFonts w:ascii="Arial" w:hAnsi="Arial" w:cs="Arial"/>
          <w:sz w:val="24"/>
          <w:szCs w:val="24"/>
        </w:rPr>
        <w:t xml:space="preserve">Law of Property Act 1925, C. 20, </w:t>
      </w:r>
    </w:p>
    <w:p w14:paraId="04DC8B74"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Available at: </w:t>
      </w:r>
      <w:hyperlink r:id="rId15" w:history="1">
        <w:r w:rsidRPr="00DC1ECF">
          <w:rPr>
            <w:rStyle w:val="Hyperlink"/>
            <w:rFonts w:ascii="Arial" w:hAnsi="Arial" w:cs="Arial"/>
            <w:sz w:val="24"/>
            <w:szCs w:val="24"/>
          </w:rPr>
          <w:t>https://www.legislation.gov.uk/ukpga/Geo5/15-16/20/contents</w:t>
        </w:r>
      </w:hyperlink>
    </w:p>
    <w:p w14:paraId="1BDE925F" w14:textId="77777777" w:rsidR="008F6C87" w:rsidRPr="00DC1ECF" w:rsidRDefault="008F6C87" w:rsidP="008F6C87">
      <w:pPr>
        <w:spacing w:line="480" w:lineRule="auto"/>
        <w:rPr>
          <w:rFonts w:ascii="Arial" w:hAnsi="Arial" w:cs="Arial"/>
          <w:sz w:val="24"/>
          <w:szCs w:val="24"/>
        </w:rPr>
      </w:pPr>
    </w:p>
    <w:p w14:paraId="44A206F3"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Lipkin Gorman v Karpnale Ltd</w:t>
      </w:r>
      <w:r w:rsidRPr="00DC1ECF">
        <w:rPr>
          <w:rFonts w:ascii="Arial" w:hAnsi="Arial" w:cs="Arial"/>
          <w:sz w:val="24"/>
          <w:szCs w:val="24"/>
        </w:rPr>
        <w:t xml:space="preserve"> (1991) 2, Appeal court, 548.</w:t>
      </w:r>
    </w:p>
    <w:p w14:paraId="16F17A36" w14:textId="77777777" w:rsidR="008F6C87" w:rsidRPr="00DC1ECF" w:rsidRDefault="008F6C87" w:rsidP="008F6C87">
      <w:pPr>
        <w:spacing w:line="480" w:lineRule="auto"/>
        <w:rPr>
          <w:rFonts w:ascii="Arial" w:hAnsi="Arial" w:cs="Arial"/>
          <w:sz w:val="24"/>
          <w:szCs w:val="24"/>
        </w:rPr>
      </w:pPr>
    </w:p>
    <w:p w14:paraId="48EA2C9A" w14:textId="77777777" w:rsidR="008F6C87" w:rsidRDefault="008F6C87" w:rsidP="008F6C87">
      <w:pPr>
        <w:spacing w:line="480" w:lineRule="auto"/>
        <w:rPr>
          <w:rFonts w:ascii="Arial" w:hAnsi="Arial" w:cs="Arial"/>
          <w:sz w:val="24"/>
          <w:szCs w:val="24"/>
        </w:rPr>
      </w:pPr>
      <w:r w:rsidRPr="00DC1ECF">
        <w:rPr>
          <w:rFonts w:ascii="Arial" w:hAnsi="Arial" w:cs="Arial"/>
          <w:i/>
          <w:iCs/>
          <w:sz w:val="24"/>
          <w:szCs w:val="24"/>
        </w:rPr>
        <w:t xml:space="preserve">Mental Capacity Act 2005, </w:t>
      </w:r>
      <w:r w:rsidRPr="00DC1ECF">
        <w:rPr>
          <w:rFonts w:ascii="Arial" w:hAnsi="Arial" w:cs="Arial"/>
          <w:sz w:val="24"/>
          <w:szCs w:val="24"/>
        </w:rPr>
        <w:t xml:space="preserve">c. 9, </w:t>
      </w:r>
    </w:p>
    <w:p w14:paraId="5ABDF89E"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Available at: </w:t>
      </w:r>
      <w:hyperlink r:id="rId16" w:history="1">
        <w:r w:rsidRPr="00DC1ECF">
          <w:rPr>
            <w:rStyle w:val="Hyperlink"/>
            <w:rFonts w:ascii="Arial" w:hAnsi="Arial" w:cs="Arial"/>
            <w:sz w:val="24"/>
            <w:szCs w:val="24"/>
          </w:rPr>
          <w:t>https://www.legislation.gov.uk/ukpga/2005/9/contents</w:t>
        </w:r>
      </w:hyperlink>
    </w:p>
    <w:p w14:paraId="44F7BC16" w14:textId="77777777" w:rsidR="008F6C87" w:rsidRPr="00DC1ECF" w:rsidRDefault="008F6C87" w:rsidP="008F6C87">
      <w:pPr>
        <w:spacing w:line="480" w:lineRule="auto"/>
        <w:rPr>
          <w:rFonts w:ascii="Arial" w:hAnsi="Arial" w:cs="Arial"/>
          <w:sz w:val="24"/>
          <w:szCs w:val="24"/>
        </w:rPr>
      </w:pPr>
    </w:p>
    <w:p w14:paraId="6EF7670A" w14:textId="77777777" w:rsidR="008F6C87" w:rsidRDefault="008F6C87" w:rsidP="008F6C87">
      <w:pPr>
        <w:spacing w:line="480" w:lineRule="auto"/>
        <w:rPr>
          <w:rFonts w:ascii="Arial" w:hAnsi="Arial" w:cs="Arial"/>
          <w:sz w:val="24"/>
          <w:szCs w:val="24"/>
        </w:rPr>
      </w:pPr>
      <w:r w:rsidRPr="00DC1ECF">
        <w:rPr>
          <w:rFonts w:ascii="Arial" w:hAnsi="Arial" w:cs="Arial"/>
          <w:i/>
          <w:iCs/>
          <w:sz w:val="24"/>
          <w:szCs w:val="24"/>
        </w:rPr>
        <w:t>Minors’ Contracts Act 1987</w:t>
      </w:r>
      <w:r w:rsidRPr="00DC1ECF">
        <w:rPr>
          <w:rFonts w:ascii="Arial" w:hAnsi="Arial" w:cs="Arial"/>
          <w:sz w:val="24"/>
          <w:szCs w:val="24"/>
        </w:rPr>
        <w:t xml:space="preserve">, c. 13, </w:t>
      </w:r>
    </w:p>
    <w:p w14:paraId="2438DCAD"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Available at: </w:t>
      </w:r>
      <w:hyperlink r:id="rId17" w:history="1">
        <w:r w:rsidRPr="00DC1ECF">
          <w:rPr>
            <w:rStyle w:val="Hyperlink"/>
            <w:rFonts w:ascii="Arial" w:hAnsi="Arial" w:cs="Arial"/>
            <w:sz w:val="24"/>
            <w:szCs w:val="24"/>
          </w:rPr>
          <w:t>https://www.legislation.gov.uk/ukpga/1987/13</w:t>
        </w:r>
      </w:hyperlink>
    </w:p>
    <w:p w14:paraId="34769E02" w14:textId="77777777" w:rsidR="008F6C87" w:rsidRPr="00DC1ECF" w:rsidRDefault="008F6C87" w:rsidP="008F6C87">
      <w:pPr>
        <w:spacing w:line="480" w:lineRule="auto"/>
        <w:rPr>
          <w:rFonts w:ascii="Arial" w:hAnsi="Arial" w:cs="Arial"/>
          <w:sz w:val="24"/>
          <w:szCs w:val="24"/>
        </w:rPr>
      </w:pPr>
    </w:p>
    <w:p w14:paraId="45987F4E"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 xml:space="preserve">Poole, J. (2014). </w:t>
      </w:r>
      <w:r w:rsidRPr="00DC1ECF">
        <w:rPr>
          <w:rFonts w:ascii="Arial" w:hAnsi="Arial" w:cs="Arial"/>
          <w:i/>
          <w:iCs/>
          <w:sz w:val="24"/>
          <w:szCs w:val="24"/>
        </w:rPr>
        <w:t>Casebook on contract law</w:t>
      </w:r>
      <w:r w:rsidRPr="00DC1ECF">
        <w:rPr>
          <w:rFonts w:ascii="Arial" w:hAnsi="Arial" w:cs="Arial"/>
          <w:sz w:val="24"/>
          <w:szCs w:val="24"/>
        </w:rPr>
        <w:t xml:space="preserve"> (12th edition.). Oxford University Press.</w:t>
      </w:r>
    </w:p>
    <w:p w14:paraId="06589F3E" w14:textId="77777777" w:rsidR="008F6C87" w:rsidRPr="00DC1ECF" w:rsidRDefault="008F6C87" w:rsidP="008F6C87">
      <w:pPr>
        <w:spacing w:line="480" w:lineRule="auto"/>
        <w:rPr>
          <w:rFonts w:ascii="Arial" w:hAnsi="Arial" w:cs="Arial"/>
          <w:sz w:val="24"/>
          <w:szCs w:val="24"/>
        </w:rPr>
      </w:pPr>
    </w:p>
    <w:p w14:paraId="10E1C114" w14:textId="77777777" w:rsidR="008F6C87" w:rsidRDefault="008F6C87" w:rsidP="008F6C87">
      <w:pPr>
        <w:spacing w:line="480" w:lineRule="auto"/>
        <w:rPr>
          <w:rFonts w:ascii="Arial" w:hAnsi="Arial" w:cs="Arial"/>
          <w:sz w:val="24"/>
          <w:szCs w:val="24"/>
        </w:rPr>
      </w:pPr>
      <w:r w:rsidRPr="00DC1ECF">
        <w:rPr>
          <w:rFonts w:ascii="Arial" w:hAnsi="Arial" w:cs="Arial"/>
          <w:sz w:val="24"/>
          <w:szCs w:val="24"/>
        </w:rPr>
        <w:t xml:space="preserve">Reece, K &amp; Ryan, C, (2020), </w:t>
      </w:r>
      <w:r w:rsidRPr="00DC1ECF">
        <w:rPr>
          <w:rFonts w:ascii="Arial" w:hAnsi="Arial" w:cs="Arial"/>
          <w:i/>
          <w:iCs/>
          <w:sz w:val="24"/>
          <w:szCs w:val="24"/>
        </w:rPr>
        <w:t xml:space="preserve">Reece &amp; Ryan: The Law &amp; Practice of Shareholders' Agreements, </w:t>
      </w:r>
      <w:r w:rsidRPr="00DC1ECF">
        <w:rPr>
          <w:rFonts w:ascii="Arial" w:hAnsi="Arial" w:cs="Arial"/>
          <w:sz w:val="24"/>
          <w:szCs w:val="24"/>
        </w:rPr>
        <w:t>London: LexisNexis Butterworth.</w:t>
      </w:r>
    </w:p>
    <w:p w14:paraId="3FB8CE8B" w14:textId="77777777" w:rsidR="008F6C87" w:rsidRPr="002E27F5" w:rsidRDefault="008F6C87" w:rsidP="008F6C87">
      <w:pPr>
        <w:spacing w:line="480" w:lineRule="auto"/>
        <w:rPr>
          <w:rFonts w:ascii="Arial" w:hAnsi="Arial" w:cs="Arial"/>
          <w:i/>
          <w:iCs/>
          <w:sz w:val="24"/>
          <w:szCs w:val="24"/>
        </w:rPr>
      </w:pPr>
      <w:r w:rsidRPr="00DC1ECF">
        <w:rPr>
          <w:rFonts w:ascii="Arial" w:hAnsi="Arial" w:cs="Arial"/>
          <w:i/>
          <w:iCs/>
          <w:sz w:val="24"/>
          <w:szCs w:val="24"/>
        </w:rPr>
        <w:t xml:space="preserve"> </w:t>
      </w:r>
      <w:r w:rsidRPr="00DC1ECF">
        <w:rPr>
          <w:rFonts w:ascii="Arial" w:hAnsi="Arial" w:cs="Arial"/>
          <w:sz w:val="24"/>
          <w:szCs w:val="24"/>
        </w:rPr>
        <w:t xml:space="preserve">Available at: </w:t>
      </w:r>
      <w:hyperlink r:id="rId18" w:history="1">
        <w:r w:rsidRPr="00697D45">
          <w:rPr>
            <w:rStyle w:val="Hyperlink"/>
            <w:rFonts w:ascii="Arial" w:hAnsi="Arial" w:cs="Arial"/>
            <w:sz w:val="24"/>
            <w:szCs w:val="24"/>
          </w:rPr>
          <w:t>https://plus-lexis-com.ezproxy.uwtsd.ac.uk/uk/document/?pdmfid=1001073&amp;crid=16983a67-58a9-4151-8616-0001b1cd2409&amp;pddocfullpath=%2Fshared%2Fdocument%2Fanalytical-</w:t>
        </w:r>
        <w:r w:rsidRPr="00697D45">
          <w:rPr>
            <w:rStyle w:val="Hyperlink"/>
            <w:rFonts w:ascii="Arial" w:hAnsi="Arial" w:cs="Arial"/>
            <w:sz w:val="24"/>
            <w:szCs w:val="24"/>
          </w:rPr>
          <w:lastRenderedPageBreak/>
          <w:t>materials-uk%2Furn:contentItem:6367-</w:t>
        </w:r>
        <w:r w:rsidRPr="00697D45">
          <w:rPr>
            <w:rStyle w:val="Hyperlink"/>
            <w:rFonts w:ascii="Arial" w:hAnsi="Arial" w:cs="Arial"/>
            <w:sz w:val="24"/>
            <w:szCs w:val="24"/>
          </w:rPr>
          <w:t>G</w:t>
        </w:r>
        <w:r w:rsidRPr="00697D45">
          <w:rPr>
            <w:rStyle w:val="Hyperlink"/>
            <w:rFonts w:ascii="Arial" w:hAnsi="Arial" w:cs="Arial"/>
            <w:sz w:val="24"/>
            <w:szCs w:val="24"/>
          </w:rPr>
          <w:t>RS3-GXFD-8271-00000</w:t>
        </w:r>
        <w:r w:rsidRPr="00697D45">
          <w:rPr>
            <w:rStyle w:val="Hyperlink"/>
            <w:rFonts w:ascii="Arial" w:hAnsi="Arial" w:cs="Arial"/>
            <w:sz w:val="24"/>
            <w:szCs w:val="24"/>
          </w:rPr>
          <w:t>-00&amp;pdcontentcomponentid=362736&amp;pdteaserkey=&amp;pdislpamode=false&amp;pddocumentnumber=6&amp;ecomp=5t5k&amp;earg=sr5&amp;prid=9b80f49f-b4de-4ad6-900e-93aae6ab4a38</w:t>
        </w:r>
      </w:hyperlink>
      <w:r w:rsidRPr="00DC1ECF">
        <w:rPr>
          <w:rFonts w:ascii="Arial" w:hAnsi="Arial" w:cs="Arial"/>
          <w:sz w:val="24"/>
          <w:szCs w:val="24"/>
        </w:rPr>
        <w:t xml:space="preserve"> Accessed: 07/03/2025</w:t>
      </w:r>
    </w:p>
    <w:p w14:paraId="2FD87FC4" w14:textId="77777777" w:rsidR="008F6C87" w:rsidRPr="00DC1ECF" w:rsidRDefault="008F6C87" w:rsidP="008F6C87">
      <w:pPr>
        <w:spacing w:line="480" w:lineRule="auto"/>
        <w:rPr>
          <w:rFonts w:ascii="Arial" w:hAnsi="Arial" w:cs="Arial"/>
          <w:sz w:val="24"/>
          <w:szCs w:val="24"/>
        </w:rPr>
      </w:pPr>
    </w:p>
    <w:p w14:paraId="1FAA50CE"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Ruxley Electronics v Forsyth</w:t>
      </w:r>
      <w:r w:rsidRPr="00DC1ECF">
        <w:rPr>
          <w:rFonts w:ascii="Arial" w:hAnsi="Arial" w:cs="Arial"/>
          <w:sz w:val="24"/>
          <w:szCs w:val="24"/>
        </w:rPr>
        <w:t xml:space="preserve"> (1996), Appeal Court, 344.</w:t>
      </w:r>
    </w:p>
    <w:p w14:paraId="63EAB711" w14:textId="77777777" w:rsidR="008F6C87" w:rsidRPr="00DC1ECF" w:rsidRDefault="008F6C87" w:rsidP="008F6C87">
      <w:pPr>
        <w:spacing w:line="480" w:lineRule="auto"/>
        <w:rPr>
          <w:rFonts w:ascii="Arial" w:hAnsi="Arial" w:cs="Arial"/>
          <w:i/>
          <w:iCs/>
          <w:sz w:val="24"/>
          <w:szCs w:val="24"/>
        </w:rPr>
      </w:pPr>
    </w:p>
    <w:p w14:paraId="3E7DE4E9"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 xml:space="preserve">Smith v Hughes </w:t>
      </w:r>
      <w:r w:rsidRPr="00DC1ECF">
        <w:rPr>
          <w:rFonts w:ascii="Arial" w:hAnsi="Arial" w:cs="Arial"/>
          <w:sz w:val="24"/>
          <w:szCs w:val="24"/>
        </w:rPr>
        <w:t>(1870) Law Reports, 6, Queens Bench, 597.</w:t>
      </w:r>
    </w:p>
    <w:p w14:paraId="7EC3A166" w14:textId="77777777" w:rsidR="008F6C87" w:rsidRPr="00DC1ECF" w:rsidRDefault="008F6C87" w:rsidP="008F6C87">
      <w:pPr>
        <w:spacing w:line="480" w:lineRule="auto"/>
        <w:rPr>
          <w:rFonts w:ascii="Arial" w:hAnsi="Arial" w:cs="Arial"/>
          <w:sz w:val="24"/>
          <w:szCs w:val="24"/>
        </w:rPr>
      </w:pPr>
    </w:p>
    <w:p w14:paraId="3213AF55" w14:textId="77777777" w:rsidR="008F6C87" w:rsidRPr="00DC1ECF" w:rsidRDefault="008F6C87" w:rsidP="008F6C87">
      <w:pPr>
        <w:spacing w:line="480" w:lineRule="auto"/>
        <w:rPr>
          <w:rFonts w:ascii="Arial" w:hAnsi="Arial" w:cs="Arial"/>
          <w:i/>
          <w:iCs/>
          <w:sz w:val="24"/>
          <w:szCs w:val="24"/>
        </w:rPr>
      </w:pPr>
      <w:r w:rsidRPr="00DC1ECF">
        <w:rPr>
          <w:rFonts w:ascii="Arial" w:hAnsi="Arial" w:cs="Arial"/>
          <w:i/>
          <w:iCs/>
          <w:sz w:val="24"/>
          <w:szCs w:val="24"/>
        </w:rPr>
        <w:t>Street v Mountford (</w:t>
      </w:r>
      <w:r w:rsidRPr="00DC1ECF">
        <w:rPr>
          <w:rFonts w:ascii="Arial" w:hAnsi="Arial" w:cs="Arial"/>
          <w:sz w:val="24"/>
          <w:szCs w:val="24"/>
        </w:rPr>
        <w:t>1985), Appeal Court, 809</w:t>
      </w:r>
    </w:p>
    <w:p w14:paraId="383A0B4C" w14:textId="77777777" w:rsidR="008F6C87" w:rsidRPr="00DC1ECF" w:rsidRDefault="008F6C87" w:rsidP="008F6C87">
      <w:pPr>
        <w:spacing w:line="480" w:lineRule="auto"/>
        <w:rPr>
          <w:rFonts w:ascii="Arial" w:hAnsi="Arial" w:cs="Arial"/>
          <w:sz w:val="24"/>
          <w:szCs w:val="24"/>
        </w:rPr>
      </w:pPr>
    </w:p>
    <w:p w14:paraId="25D03E06"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Storer v Manchester City Council</w:t>
      </w:r>
      <w:r w:rsidRPr="00DC1ECF">
        <w:rPr>
          <w:rFonts w:ascii="Arial" w:hAnsi="Arial" w:cs="Arial"/>
          <w:sz w:val="24"/>
          <w:szCs w:val="24"/>
        </w:rPr>
        <w:t xml:space="preserve"> (1974) 1, Weekly Law Reports, 1403.</w:t>
      </w:r>
    </w:p>
    <w:p w14:paraId="40E836BC" w14:textId="77777777" w:rsidR="008F6C87" w:rsidRPr="00DC1ECF" w:rsidRDefault="008F6C87" w:rsidP="008F6C87">
      <w:pPr>
        <w:spacing w:line="480" w:lineRule="auto"/>
        <w:rPr>
          <w:rFonts w:ascii="Arial" w:hAnsi="Arial" w:cs="Arial"/>
          <w:sz w:val="24"/>
          <w:szCs w:val="24"/>
        </w:rPr>
      </w:pPr>
    </w:p>
    <w:p w14:paraId="278899DF" w14:textId="77777777" w:rsidR="008F6C87" w:rsidRDefault="008F6C87" w:rsidP="008F6C87">
      <w:pPr>
        <w:spacing w:line="480" w:lineRule="auto"/>
        <w:rPr>
          <w:rFonts w:ascii="Arial" w:hAnsi="Arial" w:cs="Arial"/>
          <w:sz w:val="24"/>
          <w:szCs w:val="24"/>
        </w:rPr>
      </w:pPr>
      <w:r w:rsidRPr="00DC1ECF">
        <w:rPr>
          <w:rFonts w:ascii="Arial" w:hAnsi="Arial" w:cs="Arial"/>
          <w:sz w:val="24"/>
          <w:szCs w:val="24"/>
        </w:rPr>
        <w:t>Tettenborn, A.M, Wilby, D &amp; Bennet, D. (2003) </w:t>
      </w:r>
      <w:r w:rsidRPr="00DC1ECF">
        <w:rPr>
          <w:rFonts w:ascii="Arial" w:hAnsi="Arial" w:cs="Arial"/>
          <w:i/>
          <w:iCs/>
          <w:sz w:val="24"/>
          <w:szCs w:val="24"/>
        </w:rPr>
        <w:t>Damages: The Law of Damages (Common Law Series)</w:t>
      </w:r>
      <w:r w:rsidRPr="00DC1ECF">
        <w:rPr>
          <w:rFonts w:ascii="Arial" w:hAnsi="Arial" w:cs="Arial"/>
          <w:sz w:val="24"/>
          <w:szCs w:val="24"/>
        </w:rPr>
        <w:t xml:space="preserve"> London: LexisNexis Butterworth. </w:t>
      </w:r>
    </w:p>
    <w:p w14:paraId="3E83D61B"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Available at:</w:t>
      </w:r>
      <w:hyperlink r:id="rId19" w:history="1">
        <w:r w:rsidRPr="00697D45">
          <w:rPr>
            <w:rStyle w:val="Hyperlink"/>
            <w:rFonts w:ascii="Arial" w:hAnsi="Arial" w:cs="Arial"/>
            <w:sz w:val="24"/>
            <w:szCs w:val="24"/>
          </w:rPr>
          <w:t>https://plus-lexis-com.ezproxy.uwtsd.ac.uk/uk/document/?pdmfid=1001073&amp;crid=a00dd970-84b4-423e-aa51-62d0ad871aad&amp;pddocfullpath=%2Fshared%2Fdocument%2Fanalytical-materials-uk%2Furn:contentItem:55YY-VGV1-F0C5-</w:t>
        </w:r>
        <w:r w:rsidRPr="00697D45">
          <w:rPr>
            <w:rStyle w:val="Hyperlink"/>
            <w:rFonts w:ascii="Arial" w:hAnsi="Arial" w:cs="Arial"/>
            <w:sz w:val="24"/>
            <w:szCs w:val="24"/>
          </w:rPr>
          <w:t>H</w:t>
        </w:r>
        <w:r w:rsidRPr="00697D45">
          <w:rPr>
            <w:rStyle w:val="Hyperlink"/>
            <w:rFonts w:ascii="Arial" w:hAnsi="Arial" w:cs="Arial"/>
            <w:sz w:val="24"/>
            <w:szCs w:val="24"/>
          </w:rPr>
          <w:t>308-00000-00&amp;pdcontentcomponentid=312678&amp;pdteaserkey=&amp;pdislpamode=false&amp;pddocumentnumber=1&amp;ecomp=5t5k&amp;earg=sr0&amp;prid=e589cade-7d4f-49c9-b74f-728aa9b613d4</w:t>
        </w:r>
      </w:hyperlink>
    </w:p>
    <w:p w14:paraId="62B99855" w14:textId="77777777" w:rsidR="008F6C87" w:rsidRPr="00DC1ECF" w:rsidRDefault="008F6C87" w:rsidP="008F6C87">
      <w:pPr>
        <w:spacing w:line="480" w:lineRule="auto"/>
        <w:rPr>
          <w:rFonts w:ascii="Arial" w:hAnsi="Arial" w:cs="Arial"/>
          <w:sz w:val="24"/>
          <w:szCs w:val="24"/>
        </w:rPr>
      </w:pPr>
      <w:r w:rsidRPr="00DC1ECF">
        <w:rPr>
          <w:rFonts w:ascii="Arial" w:hAnsi="Arial" w:cs="Arial"/>
          <w:sz w:val="24"/>
          <w:szCs w:val="24"/>
        </w:rPr>
        <w:t>Accessed:07/03/2025</w:t>
      </w:r>
    </w:p>
    <w:p w14:paraId="0515DC82" w14:textId="77777777" w:rsidR="008F6C87" w:rsidRPr="00DC1ECF" w:rsidRDefault="008F6C87" w:rsidP="008F6C87">
      <w:pPr>
        <w:spacing w:line="480" w:lineRule="auto"/>
        <w:rPr>
          <w:rFonts w:ascii="Arial" w:hAnsi="Arial" w:cs="Arial"/>
          <w:sz w:val="24"/>
          <w:szCs w:val="24"/>
        </w:rPr>
      </w:pPr>
    </w:p>
    <w:p w14:paraId="32B922B9" w14:textId="77777777" w:rsidR="008F6C87" w:rsidRPr="00DC1ECF" w:rsidRDefault="008F6C87" w:rsidP="008F6C87">
      <w:pPr>
        <w:spacing w:line="480" w:lineRule="auto"/>
        <w:rPr>
          <w:rFonts w:ascii="Arial" w:hAnsi="Arial" w:cs="Arial"/>
          <w:sz w:val="24"/>
          <w:szCs w:val="24"/>
        </w:rPr>
      </w:pPr>
      <w:r w:rsidRPr="00DC1ECF">
        <w:rPr>
          <w:rFonts w:ascii="Arial" w:hAnsi="Arial" w:cs="Arial"/>
          <w:i/>
          <w:iCs/>
          <w:sz w:val="24"/>
          <w:szCs w:val="24"/>
        </w:rPr>
        <w:t>Verrell v Great Yarmouth Borough Council (</w:t>
      </w:r>
      <w:r w:rsidRPr="00DC1ECF">
        <w:rPr>
          <w:rFonts w:ascii="Arial" w:hAnsi="Arial" w:cs="Arial"/>
          <w:sz w:val="24"/>
          <w:szCs w:val="24"/>
        </w:rPr>
        <w:t>1981), Queens Bench, 202.</w:t>
      </w:r>
    </w:p>
    <w:p w14:paraId="0375CF3B" w14:textId="77777777" w:rsidR="008F6C87" w:rsidRPr="00DC1ECF" w:rsidRDefault="008F6C87" w:rsidP="008F6C87">
      <w:pPr>
        <w:spacing w:line="480" w:lineRule="auto"/>
        <w:rPr>
          <w:rFonts w:ascii="Arial" w:hAnsi="Arial" w:cs="Arial"/>
          <w:sz w:val="24"/>
          <w:szCs w:val="24"/>
        </w:rPr>
      </w:pPr>
    </w:p>
    <w:p w14:paraId="599BAA80" w14:textId="77777777" w:rsidR="008F6C87" w:rsidRPr="00DC1ECF" w:rsidRDefault="008F6C87" w:rsidP="008F6C87">
      <w:pPr>
        <w:spacing w:line="480" w:lineRule="auto"/>
        <w:rPr>
          <w:rFonts w:ascii="Arial" w:hAnsi="Arial" w:cs="Arial"/>
          <w:i/>
          <w:iCs/>
          <w:sz w:val="24"/>
          <w:szCs w:val="24"/>
        </w:rPr>
      </w:pPr>
      <w:r w:rsidRPr="00DC1ECF">
        <w:rPr>
          <w:rFonts w:ascii="Arial" w:hAnsi="Arial" w:cs="Arial"/>
          <w:i/>
          <w:iCs/>
          <w:sz w:val="24"/>
          <w:szCs w:val="24"/>
        </w:rPr>
        <w:t xml:space="preserve">Victoria Laundry Ltd v Newman Industries Ltd </w:t>
      </w:r>
      <w:r w:rsidRPr="00DC1ECF">
        <w:rPr>
          <w:rFonts w:ascii="Arial" w:hAnsi="Arial" w:cs="Arial"/>
          <w:sz w:val="24"/>
          <w:szCs w:val="24"/>
        </w:rPr>
        <w:t>(1949), 2, Kings Bench, 528.</w:t>
      </w:r>
    </w:p>
    <w:p w14:paraId="195FEC29" w14:textId="77777777" w:rsidR="00421860" w:rsidRDefault="00421860"/>
    <w:sectPr w:rsidR="00421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87"/>
    <w:rsid w:val="00421860"/>
    <w:rsid w:val="005C29E7"/>
    <w:rsid w:val="00700534"/>
    <w:rsid w:val="008F6C87"/>
    <w:rsid w:val="009D39F3"/>
    <w:rsid w:val="00D550B7"/>
    <w:rsid w:val="00F54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130F1"/>
  <w15:chartTrackingRefBased/>
  <w15:docId w15:val="{2356FB80-C896-4457-B4D3-84C3B2E73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C87"/>
  </w:style>
  <w:style w:type="paragraph" w:styleId="Heading1">
    <w:name w:val="heading 1"/>
    <w:basedOn w:val="Normal"/>
    <w:next w:val="Normal"/>
    <w:link w:val="Heading1Char"/>
    <w:uiPriority w:val="9"/>
    <w:qFormat/>
    <w:rsid w:val="008F6C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6C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6C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6C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6C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6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C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6C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6C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6C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6C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6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C87"/>
    <w:rPr>
      <w:rFonts w:eastAsiaTheme="majorEastAsia" w:cstheme="majorBidi"/>
      <w:color w:val="272727" w:themeColor="text1" w:themeTint="D8"/>
    </w:rPr>
  </w:style>
  <w:style w:type="paragraph" w:styleId="Title">
    <w:name w:val="Title"/>
    <w:basedOn w:val="Normal"/>
    <w:next w:val="Normal"/>
    <w:link w:val="TitleChar"/>
    <w:uiPriority w:val="10"/>
    <w:qFormat/>
    <w:rsid w:val="008F6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C87"/>
    <w:pPr>
      <w:spacing w:before="160"/>
      <w:jc w:val="center"/>
    </w:pPr>
    <w:rPr>
      <w:i/>
      <w:iCs/>
      <w:color w:val="404040" w:themeColor="text1" w:themeTint="BF"/>
    </w:rPr>
  </w:style>
  <w:style w:type="character" w:customStyle="1" w:styleId="QuoteChar">
    <w:name w:val="Quote Char"/>
    <w:basedOn w:val="DefaultParagraphFont"/>
    <w:link w:val="Quote"/>
    <w:uiPriority w:val="29"/>
    <w:rsid w:val="008F6C87"/>
    <w:rPr>
      <w:i/>
      <w:iCs/>
      <w:color w:val="404040" w:themeColor="text1" w:themeTint="BF"/>
    </w:rPr>
  </w:style>
  <w:style w:type="paragraph" w:styleId="ListParagraph">
    <w:name w:val="List Paragraph"/>
    <w:basedOn w:val="Normal"/>
    <w:uiPriority w:val="34"/>
    <w:qFormat/>
    <w:rsid w:val="008F6C87"/>
    <w:pPr>
      <w:ind w:left="720"/>
      <w:contextualSpacing/>
    </w:pPr>
  </w:style>
  <w:style w:type="character" w:styleId="IntenseEmphasis">
    <w:name w:val="Intense Emphasis"/>
    <w:basedOn w:val="DefaultParagraphFont"/>
    <w:uiPriority w:val="21"/>
    <w:qFormat/>
    <w:rsid w:val="008F6C87"/>
    <w:rPr>
      <w:i/>
      <w:iCs/>
      <w:color w:val="2F5496" w:themeColor="accent1" w:themeShade="BF"/>
    </w:rPr>
  </w:style>
  <w:style w:type="paragraph" w:styleId="IntenseQuote">
    <w:name w:val="Intense Quote"/>
    <w:basedOn w:val="Normal"/>
    <w:next w:val="Normal"/>
    <w:link w:val="IntenseQuoteChar"/>
    <w:uiPriority w:val="30"/>
    <w:qFormat/>
    <w:rsid w:val="008F6C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6C87"/>
    <w:rPr>
      <w:i/>
      <w:iCs/>
      <w:color w:val="2F5496" w:themeColor="accent1" w:themeShade="BF"/>
    </w:rPr>
  </w:style>
  <w:style w:type="character" w:styleId="IntenseReference">
    <w:name w:val="Intense Reference"/>
    <w:basedOn w:val="DefaultParagraphFont"/>
    <w:uiPriority w:val="32"/>
    <w:qFormat/>
    <w:rsid w:val="008F6C87"/>
    <w:rPr>
      <w:b/>
      <w:bCs/>
      <w:smallCaps/>
      <w:color w:val="2F5496" w:themeColor="accent1" w:themeShade="BF"/>
      <w:spacing w:val="5"/>
    </w:rPr>
  </w:style>
  <w:style w:type="character" w:styleId="Hyperlink">
    <w:name w:val="Hyperlink"/>
    <w:basedOn w:val="DefaultParagraphFont"/>
    <w:uiPriority w:val="99"/>
    <w:unhideWhenUsed/>
    <w:rsid w:val="008F6C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5/15/contents" TargetMode="External"/><Relationship Id="rId13" Type="http://schemas.openxmlformats.org/officeDocument/2006/relationships/hyperlink" Target="https://www.legislation.gov.uk/ukpga/1988/50/contents" TargetMode="External"/><Relationship Id="rId18" Type="http://schemas.openxmlformats.org/officeDocument/2006/relationships/hyperlink" Target="https://plus-lexis-com.ezproxy.uwtsd.ac.uk/uk/document/?pdmfid=1001073&amp;crid=16983a67-58a9-4151-8616-0001b1cd2409&amp;pddocfullpath=%2Fshared%2Fdocument%2Fanalytical-materials-uk%2Furn:contentItem:6367-GRS3-GXFD-8271-00000-00&amp;pdcontentcomponentid=362736&amp;pdteaserkey=&amp;pdislpamode=false&amp;pddocumentnumber=6&amp;ecomp=5t5k&amp;earg=sr5&amp;prid=9b80f49f-b4de-4ad6-900e-93aae6ab4a3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hyperlink" Target="https://www.casemine.com/judgement/uk/5a8ff7a960d03e7f57eb0f75" TargetMode="External"/><Relationship Id="rId12" Type="http://schemas.openxmlformats.org/officeDocument/2006/relationships/hyperlink" Target="https://plus-lexis-com.ezproxy.uwtsd.ac.uk/uk/analytical-materials-uk/5-intention-to-create-legal-relations/?crid=532dc4b4-d7a4-4caa-9cbe-c1d526ea6cf9&amp;pddocumentnumber=6" TargetMode="External"/><Relationship Id="rId17" Type="http://schemas.openxmlformats.org/officeDocument/2006/relationships/hyperlink" Target="https://www.legislation.gov.uk/ukpga/1987/13" TargetMode="External"/><Relationship Id="rId2" Type="http://schemas.openxmlformats.org/officeDocument/2006/relationships/customXml" Target="../customXml/item2.xml"/><Relationship Id="rId16" Type="http://schemas.openxmlformats.org/officeDocument/2006/relationships/hyperlink" Target="https://www.legislation.gov.uk/ukpga/2005/9/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lexis-com.ezproxy.uwtsd.ac.uk/uk/analytical-materials-uk/case-summaries-damages-2010-construction-ne/?crid=39a6ef82-4bef-4607-90e9-bb2c51f31586&amp;pddocumentnumber=53" TargetMode="External"/><Relationship Id="rId5" Type="http://schemas.openxmlformats.org/officeDocument/2006/relationships/settings" Target="settings.xml"/><Relationship Id="rId15" Type="http://schemas.openxmlformats.org/officeDocument/2006/relationships/hyperlink" Target="https://www.legislation.gov.uk/ukpga/Geo5/15-16/20/contents" TargetMode="External"/><Relationship Id="rId10" Type="http://schemas.openxmlformats.org/officeDocument/2006/relationships/hyperlink" Target="https://ebookcentral.proquest.com/lib/trinity/reader.action?docID=31734120&amp;ppg=32" TargetMode="External"/><Relationship Id="rId19" Type="http://schemas.openxmlformats.org/officeDocument/2006/relationships/hyperlink" Target="https://plus-lexis-com.ezproxy.uwtsd.ac.uk/uk/document/?pdmfid=1001073&amp;crid=a00dd970-84b4-423e-aa51-62d0ad871aad&amp;pddocfullpath=%2Fshared%2Fdocument%2Fanalytical-materials-uk%2Furn:contentItem:55YY-VGV1-F0C5-H308-00000-00&amp;pdcontentcomponentid=312678&amp;pdteaserkey=&amp;pdislpamode=false&amp;pddocumentnumber=1&amp;ecomp=5t5k&amp;earg=sr0&amp;prid=e589cade-7d4f-49c9-b74f-728aa9b613d4" TargetMode="External"/><Relationship Id="rId4" Type="http://schemas.openxmlformats.org/officeDocument/2006/relationships/styles" Target="styles.xml"/><Relationship Id="rId9" Type="http://schemas.openxmlformats.org/officeDocument/2006/relationships/hyperlink" Target="https://www.casemine.com/judgement/uk/5a8ff73a60d03e7f57eaa09a" TargetMode="External"/><Relationship Id="rId14" Type="http://schemas.openxmlformats.org/officeDocument/2006/relationships/hyperlink" Target="https://www.legislation.gov.uk/ukpga/1985/7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6B354981-542E-4DA4-B71B-85C4345BD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9A89CC-B11E-4311-95E4-5C025FC0077F}">
  <ds:schemaRefs>
    <ds:schemaRef ds:uri="http://schemas.microsoft.com/sharepoint/v3/contenttype/forms"/>
  </ds:schemaRefs>
</ds:datastoreItem>
</file>

<file path=customXml/itemProps3.xml><?xml version="1.0" encoding="utf-8"?>
<ds:datastoreItem xmlns:ds="http://schemas.openxmlformats.org/officeDocument/2006/customXml" ds:itemID="{E20D3C36-D1ED-4665-9678-225998722A24}">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2283</Words>
  <Characters>13128</Characters>
  <Application>Microsoft Office Word</Application>
  <DocSecurity>0</DocSecurity>
  <Lines>275</Lines>
  <Paragraphs>73</Paragraphs>
  <ScaleCrop>false</ScaleCrop>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2</cp:revision>
  <dcterms:created xsi:type="dcterms:W3CDTF">2025-03-20T22:11:00Z</dcterms:created>
  <dcterms:modified xsi:type="dcterms:W3CDTF">2025-03-20T22:15:00Z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ef71f914-52df-4972-8a4d-5c1a4bcf760c</vt:lpwstr>
  </property>
  <property fmtid="{D5CDD505-2E9C-101B-9397-08002B2CF9AE}" pid="3" name="ContentTypeId">
    <vt:lpwstr>0x01010096C48B67E562FF45ADD1FE43E2BC7706</vt:lpwstr>
  </property>
</Properties>
</file>