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tabs>
          <w:tab w:val="left" w:pos="9354"/>
        </w:tabs>
        <w:bidi w:val="0"/>
        <w:spacing w:line="280" w:lineRule="atLeast"/>
        <w:ind w:left="0" w:right="0" w:firstLine="0"/>
        <w:jc w:val="center"/>
        <w:rPr>
          <w:rFonts w:ascii="Times New Roman" w:cs="Times New Roman" w:hAnsi="Times New Roman" w:eastAsia="Times New Roman"/>
          <w:sz w:val="28"/>
          <w:szCs w:val="28"/>
          <w:u w:val="single"/>
          <w:rtl w:val="0"/>
        </w:rPr>
      </w:pPr>
      <w:r>
        <w:rPr>
          <w:rFonts w:ascii="Times New Roman" w:hAnsi="Times New Roman"/>
          <w:sz w:val="28"/>
          <w:szCs w:val="28"/>
          <w:u w:val="single"/>
          <w:rtl w:val="0"/>
          <w:lang w:val="en-US"/>
        </w:rPr>
        <w:t>Using a theme or traditional tale as a stimulus, consider how you might embed the six areas of learning and experience and the four purposes (Donaldson) in an integrated, cross</w:t>
      </w:r>
      <w:r>
        <w:rPr>
          <w:rFonts w:ascii="Times New Roman" w:hAnsi="Times New Roman"/>
          <w:sz w:val="28"/>
          <w:szCs w:val="28"/>
          <w:u w:val="single"/>
          <w:rtl w:val="0"/>
          <w:lang w:val="en-US"/>
        </w:rPr>
        <w:t>-</w:t>
      </w:r>
      <w:r>
        <w:rPr>
          <w:rFonts w:ascii="Times New Roman" w:hAnsi="Times New Roman"/>
          <w:sz w:val="28"/>
          <w:szCs w:val="28"/>
          <w:u w:val="single"/>
          <w:rtl w:val="0"/>
          <w:lang w:val="en-US"/>
        </w:rPr>
        <w:t xml:space="preserve">curricular approach. </w:t>
      </w:r>
    </w:p>
    <w:p>
      <w:pPr>
        <w:pStyle w:val="Default"/>
        <w:bidi w:val="0"/>
        <w:spacing w:line="360" w:lineRule="auto"/>
        <w:ind w:left="283"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 xml:space="preserve">The curriculum for every learner should aim to provide real understanding and relevant life skills not just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coverage</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of subject content.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 xml:space="preserve">(Welsh Assembly Government, 2010. </w:t>
      </w:r>
      <w:r>
        <w:rPr>
          <w:rFonts w:ascii="Times New Roman" w:hAnsi="Times New Roman"/>
          <w:sz w:val="24"/>
          <w:szCs w:val="24"/>
          <w:shd w:val="clear" w:color="auto" w:fill="ffffff"/>
          <w:rtl w:val="0"/>
          <w:lang w:val="en-US"/>
        </w:rPr>
        <w:t>p</w:t>
      </w:r>
      <w:r>
        <w:rPr>
          <w:rFonts w:ascii="Times New Roman" w:hAnsi="Times New Roman"/>
          <w:sz w:val="24"/>
          <w:szCs w:val="24"/>
          <w:shd w:val="clear" w:color="auto" w:fill="ffffff"/>
          <w:rtl w:val="0"/>
        </w:rPr>
        <w:t>p</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en-US"/>
        </w:rPr>
        <w:t xml:space="preserve"> 7) therefore it is important that children get a wide range of teaching across all areas of learning based on Education for Sustainable Development and Global Citizenship (ESDGC) because this will give the children a sound understanding of the global issues and ways, we can save our world. This is supported by Barnes who suggests that we do not learn about anything through one curriculum subject, it takes a couple to build our knowledge (Barnes, 2015). The theme I have chosen is Amazing Africa. It is a cross-curricular theme which allows the children to explore a range of the six areas of learning. I chose this theme because the children can make comparisons between Wales and other countries in Africa to see the difference in wealth and ways of living. This will focus on the cross curricular areas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and the digital competence framework.</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It is important that children can explore their culture and understand how other people live in other countries but, also to develop skills and knowledge that will be transferable in later life. Additionally, digital skills are the way life is moving, it will not be long until almost everything is done electronically or digitally therefore the children are going to need an in-depth knowledge. I will base my lessons around the six areas of learning and experiences from Professor Donaldson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Successful Futures report because it is the way our new curriculum is going so it will be important for the children to get used to.</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The first activity will be a lesson on Africa and the population. A PowerPoint presentation will be delivered to the children informing them about the different countries in Africa and the population of the countries. Within the PowerPoint it will show the children how they can round the populations to the nearest million. For the main activity the children will complete a work sheet with different countries in Africa and their populations and the children will have chance to work out the answers to the nearest million; there will be a differentiation of three work sheets to suit the 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 xml:space="preserve">s abilities. The children will be using their Geographical skills to enhance their mathematics skills, therefore using their hierarchical learning. Hierarchical learning is one of the taxonomies of cross curricular approaches and Barnes states that dominant subjects should be enhanced by subsidiary subjects, this will be successful if there is measurable learning in both subjects (Barnes, 2015). Through using the stronger subject you could improve the skills in the weaker subject and as Barnes said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Effective and lasting learning in one subject is often provoked by calling upon another</w:t>
      </w:r>
      <w:r>
        <w:rPr>
          <w:rFonts w:ascii="Times New Roman" w:hAnsi="Times New Roman"/>
          <w:sz w:val="24"/>
          <w:szCs w:val="24"/>
          <w:shd w:val="clear" w:color="auto" w:fill="ffffff"/>
          <w:rtl w:val="0"/>
          <w:lang w:val="en-US"/>
        </w:rPr>
        <w:t xml:space="preserve">, </w:t>
      </w:r>
      <w:r>
        <w:rPr>
          <w:rFonts w:ascii="Times New Roman" w:hAnsi="Times New Roman" w:hint="default"/>
          <w:sz w:val="24"/>
          <w:szCs w:val="24"/>
          <w:shd w:val="clear" w:color="auto" w:fill="ffffff"/>
          <w:rtl w:val="0"/>
          <w:lang w:val="en-US"/>
        </w:rPr>
        <w: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fr-FR"/>
        </w:rPr>
        <w:t xml:space="preserve">(Barnes, 2015. </w:t>
      </w:r>
      <w:r>
        <w:rPr>
          <w:rFonts w:ascii="Times New Roman" w:hAnsi="Times New Roman"/>
          <w:sz w:val="24"/>
          <w:szCs w:val="24"/>
          <w:shd w:val="clear" w:color="auto" w:fill="ffffff"/>
          <w:rtl w:val="0"/>
          <w:lang w:val="en-US"/>
        </w:rPr>
        <w:t>p</w:t>
      </w:r>
      <w:r>
        <w:rPr>
          <w:rFonts w:ascii="Times New Roman" w:hAnsi="Times New Roman"/>
          <w:sz w:val="24"/>
          <w:szCs w:val="24"/>
          <w:shd w:val="clear" w:color="auto" w:fill="ffffff"/>
          <w:rtl w:val="0"/>
        </w:rPr>
        <w:t>p</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en-US"/>
        </w:rPr>
        <w:t xml:space="preserve"> 66). This activity will come under the areas of learning mathematics and numeracy and humanities. As said by Donalson, this can contribute to all four purposes of the curriculum especially</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ambitious capable learners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because when they complete their work correctly, they will feel a sense of achievement and pleasure (Donaldson, 2015). It is important that children build their self-esteem and as Maslow suggests in his Hierarchy of needs, esteem is one of the five motivational needs of a child. They are motivated to achieve a need of which once they have completed that need they move onto the next one. Maslow believes that this theory will push children to become the best of their ability and achieve successful outcomes (McLeod, 2013). Through completing activities with mathematics and numeracy, the children will be getting the experience to help them progress financially with number and apply it to real life situations. By including humanities into the lesson, it will give the children an idea of how they will be able to transfer these life skills in an engaging way whilst testing their abilities. The humanities side will also give children an insight into the history and geography of our world and will show the children how the humanities area of learning can take them far outside the school and open new chapters for them to follow (Donaldson, 2015). The activity will include aspects of the Literacy Numeracy Framework (LNF) because I will be using numeracy as a base for my activities. It is essential to include the LNF within the activities because it will help children understand how you can use mathematics in a cross curricular approach. As much as cross curricular is a good approach, it can also have downfalls including confusing, miss leading and overcomplicating the activities and combining too many areas of learning into one lesson (Barnes, 2015). The activity will also include some aspects of the Digital Competence Framework (DCF) through interacting with the white board and completing examples of sums on there. The way the curriculum is moving forward is digitally, therefore it is important to make sure that technology is being included in most of the lessons.</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Within the next activity the children will come up with their own questions about the health and living style in countries in Africa compared to Wales.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Through the children comparing life in Wales to other countries, they will be developing their knowledge of the culture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historic</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of Wales through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They will be given the opportunity to research their questions on an iPad and collect their findings in a fact file. At the end of the topic the children can share their fact files with the rest of the class. The children will be researching the information they want to know, this will allow the teacher to see what the children enjoy and will be able to plan their lessons around this. The children will be more engaged by controlling their own learning because they will be enjoying their work and it will be tailored to themselves. This approach is another part of the taxonomy of cross curricular approaches called opportunist and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the aim of opportunistic cross-curricular methods is to use 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natural curiosity and enthusiasm to motivate learning. The adult role is to add challenge, new skills and new knowledge to existing interest.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fr-FR"/>
        </w:rPr>
        <w:t>(Barnes, 2015</w:t>
      </w:r>
      <w:r>
        <w:rPr>
          <w:rFonts w:ascii="Times New Roman" w:hAnsi="Times New Roman"/>
          <w:sz w:val="24"/>
          <w:szCs w:val="24"/>
          <w:shd w:val="clear" w:color="auto" w:fill="ffffff"/>
          <w:rtl w:val="0"/>
          <w:lang w:val="en-US"/>
        </w:rPr>
        <w:t>. pp. 273-274</w:t>
      </w:r>
      <w:r>
        <w:rPr>
          <w:rFonts w:ascii="Times New Roman" w:hAnsi="Times New Roman"/>
          <w:sz w:val="24"/>
          <w:szCs w:val="24"/>
          <w:shd w:val="clear" w:color="auto" w:fill="ffffff"/>
          <w:rtl w:val="0"/>
          <w:lang w:val="en-US"/>
        </w:rPr>
        <w:t>). Through allowing the children to control their learning you will see a change in their behaviour, some children will be engaged and continue with the task, but some children will want the task to be set for them. This is supported by Skinner</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 xml:space="preserve">s theory of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learning being a function of change in overt behaviour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because he believes that when a child</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behaviour changes it will have an impact on the response to the event. There will be cross curricular teaching because when the geography is being taught, there will also be aspects of literacy taking place. The literacy will come in place when the children are using the internet to decide what articles to use and at the end of the lesson when the children are delivering and listening to fact file presentations (Welsh Government, 2013). Through doing Internet and Technology (IT) in the activity, they will be developing their thinking skills because they will be using appropriate software to plan and prepare their fact file and create it accordingly. Additionally, they will be developing their wider communication through reading a range of contexts and presenting the information using graphs, sound, text etc. (Welsh Assembly Government, 2008). This lesson will be cross curricular because it will be giving the children different skills over multiple subject and enhancing their knowledge in the six areas of learning. Health and Well-being is one of the areas of learning that this activity covers, it is giving the chance to let children explore the health and well-being of people in other countries and realise how lucky they are to be under a roof with food and drink.</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also</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ties in with 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ethically informed citizens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because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the children will be finding out how their actions can affect other citizens of the world. They will also be learning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how to keep safe in different circumstances and where to get help</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which comes under</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another</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Healthy confident individuals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rPr>
        <w:t>(Donaldson,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p</w:t>
      </w:r>
      <w:r>
        <w:rPr>
          <w:rFonts w:ascii="Times New Roman" w:hAnsi="Times New Roman"/>
          <w:sz w:val="24"/>
          <w:szCs w:val="24"/>
          <w:shd w:val="clear" w:color="auto" w:fill="ffffff"/>
          <w:rtl w:val="0"/>
        </w:rPr>
        <w:t>p</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en-US"/>
        </w:rPr>
        <w:t xml:space="preserve"> 46). Another area of learning used is technology because the children will be using scientific</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knowledge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find solutions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e.g.,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they will know that climate change a growing global issue so they will use research to find ways to prevent global warming. This area of learning will combine with 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enterprising, creative contributors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because they will be looking to find new solutions that will have a positive impact on the world (Donaldson, 2015).</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For the third activity the teacher will play two pieces of music, one Welsh and one African.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children will listen to the different pieces of music and fill out the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listening and comparison</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work sheet.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Through making comparisons between their own country and other countries, it develops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skills from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including,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exploring the creative and expressive arts in Wales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making links between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Wales and the wider world (Welsh Assembly Government, no date</w:t>
      </w:r>
      <w:r>
        <w:rPr>
          <w:rFonts w:ascii="Times New Roman" w:hAnsi="Times New Roman"/>
          <w:sz w:val="24"/>
          <w:szCs w:val="24"/>
          <w:shd w:val="clear" w:color="auto" w:fill="ffffff"/>
          <w:rtl w:val="0"/>
          <w:lang w:val="en-US"/>
        </w:rPr>
        <w:t xml:space="preserve">. pp. 4 </w:t>
      </w:r>
      <w:r>
        <w:rPr>
          <w:rFonts w:ascii="Times New Roman" w:hAnsi="Times New Roman"/>
          <w:sz w:val="24"/>
          <w:szCs w:val="24"/>
          <w:shd w:val="clear" w:color="auto" w:fill="ffffff"/>
          <w:rtl w:val="0"/>
          <w:lang w:val="en-US"/>
        </w:rPr>
        <w:t>). Additionally, when the children are listening to the music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analysing,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they will be developing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their communication and literacy skills part of the LNF. Within the framework it states how the children should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fr-FR"/>
        </w:rPr>
        <w:t>listen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carefully to a presentation and express their own opinion whilst</w:t>
      </w:r>
      <w:r>
        <w:rPr>
          <w:rFonts w:ascii="Times New Roman" w:hAnsi="Times New Roman" w:hint="default"/>
          <w:sz w:val="24"/>
          <w:szCs w:val="24"/>
          <w:shd w:val="clear" w:color="auto" w:fill="ffffff"/>
          <w:rtl w:val="0"/>
        </w:rPr>
        <w:t> “</w:t>
      </w:r>
      <w:r>
        <w:rPr>
          <w:rFonts w:ascii="Times New Roman" w:hAnsi="Times New Roman"/>
          <w:color w:val="2d2d2d"/>
          <w:sz w:val="24"/>
          <w:szCs w:val="24"/>
          <w:shd w:val="clear" w:color="auto" w:fill="ffffff"/>
          <w:rtl w:val="0"/>
          <w:lang w:val="en-US"/>
        </w:rPr>
        <w:t>using varied and appropriate vocabulary, including subject-specific words and phrases.</w:t>
      </w:r>
      <w:r>
        <w:rPr>
          <w:rFonts w:ascii="Times New Roman" w:hAnsi="Times New Roman" w:hint="default"/>
          <w:color w:val="2d2d2d"/>
          <w:sz w:val="24"/>
          <w:szCs w:val="24"/>
          <w:shd w:val="clear" w:color="auto" w:fill="ffffff"/>
          <w:rtl w:val="0"/>
        </w:rPr>
        <w:t xml:space="preserve">” </w:t>
      </w:r>
      <w:r>
        <w:rPr>
          <w:rFonts w:ascii="Times New Roman" w:hAnsi="Times New Roman"/>
          <w:color w:val="2d2d2d"/>
          <w:sz w:val="24"/>
          <w:szCs w:val="24"/>
          <w:shd w:val="clear" w:color="auto" w:fill="ffffff"/>
          <w:rtl w:val="0"/>
          <w:lang w:val="de-DE"/>
        </w:rPr>
        <w:t>(Welsh</w:t>
      </w:r>
      <w:r>
        <w:rPr>
          <w:rFonts w:ascii="Times New Roman" w:hAnsi="Times New Roman" w:hint="default"/>
          <w:color w:val="2d2d2d"/>
          <w:sz w:val="24"/>
          <w:szCs w:val="24"/>
          <w:shd w:val="clear" w:color="auto" w:fill="ffffff"/>
          <w:rtl w:val="0"/>
        </w:rPr>
        <w:t> </w:t>
      </w:r>
      <w:r>
        <w:rPr>
          <w:rFonts w:ascii="Times New Roman" w:hAnsi="Times New Roman"/>
          <w:color w:val="2d2d2d"/>
          <w:sz w:val="24"/>
          <w:szCs w:val="24"/>
          <w:shd w:val="clear" w:color="auto" w:fill="ffffff"/>
          <w:rtl w:val="0"/>
          <w:lang w:val="en-US"/>
        </w:rPr>
        <w:t>Government, 2013).</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At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 end of the lesson the children will have a chance to create their own piece of African music using the instruments in the classroom. The children will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get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perform their piece in front of the class at the end. The children would have previously learnt about the history and culture of Africa and Wales in their history lessons, also, they would have learnt about the different musical instruments and elements. This previous knowledge will help them describe the music and compare the instruments used. This is called interdisciplinary from the taxonomy of cross curricular approaches.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In this kind of cross-curricular approach the intertwining of the disciplines deepens the response to a single experience and adds an important element of unpredictability and imagination to the results.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fr-FR"/>
        </w:rPr>
        <w:t>(Barnes, 2015</w:t>
      </w:r>
      <w:r>
        <w:rPr>
          <w:rFonts w:ascii="Times New Roman" w:hAnsi="Times New Roman"/>
          <w:sz w:val="24"/>
          <w:szCs w:val="24"/>
          <w:shd w:val="clear" w:color="auto" w:fill="ffffff"/>
          <w:rtl w:val="0"/>
          <w:lang w:val="en-US"/>
        </w:rPr>
        <w:t>. pp. 273</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be able to use this teaching style, the teacher must be confident with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both subjects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they are using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and a flexible and strong teaching style (Barnes, 2015). Within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s-ES_tradnl"/>
        </w:rPr>
        <w:t>curriculum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document for music, it talks about how children should listen to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perform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music from Wales, exploring their culture and the history behind Welsh music. They will also be developing their communication through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performing and composing</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and sharing opinions (Welsh Assembly Government, no date). This activity will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develop</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skills in the area of learning, expressive arts. Expressive arts will give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chance to develop their creative side and it will allow</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to combine lots of different areas of learning together which will encourage the children to improvise with the creative aspects. This area of learning can also promote 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enterprising, creative contributor</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rPr>
        <w:t xml:space="preserve">by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developing their creativity in a range of forms of expression; providing rich contexts and challenges within which they can work collaboratively, learning from critical appraisal of their work</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da-DK"/>
        </w:rPr>
        <w:t>(Donaldson, 2015</w:t>
      </w:r>
      <w:r>
        <w:rPr>
          <w:rFonts w:ascii="Times New Roman" w:hAnsi="Times New Roman"/>
          <w:sz w:val="24"/>
          <w:szCs w:val="24"/>
          <w:shd w:val="clear" w:color="auto" w:fill="ffffff"/>
          <w:rtl w:val="0"/>
          <w:lang w:val="en-US"/>
        </w:rPr>
        <w:t>. pp. 44</w:t>
      </w:r>
      <w:r>
        <w:rPr>
          <w:rFonts w:ascii="Times New Roman" w:hAnsi="Times New Roman"/>
          <w:sz w:val="24"/>
          <w:szCs w:val="24"/>
          <w:shd w:val="clear" w:color="auto" w:fill="ffffff"/>
          <w:rtl w:val="0"/>
          <w:lang w:val="en-US"/>
        </w:rPr>
        <w:t>). Through combining the areas of learning together and the different skill areas it gives the lesson a cross curricular approach.</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Overall,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it is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it-IT"/>
        </w:rPr>
        <w:t>important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that you make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all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 lessons as cross curricular as possible.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will enhance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knowledge in a wide range of areas of learning and develop the essential life skills. However, you must ensure that the lessons are not too overcomplicated and overwhelming because the children will then only be able to focus on certain areas instead of having a wider understanding (Barnes, 2015). The lessons should include a range of the LNF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make sure that the curriculum is being followed and to develop the 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knowledge of culture and the linguistic side. It is also</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essential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that the lessons include the Digital Competence Framework because the way our education and society is moving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forward, we need to prepare the children for future education and life.</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righ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Word Count - 2,046</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none"/>
          <w:shd w:val="clear" w:color="auto" w:fill="ffffff"/>
          <w:rtl w:val="0"/>
        </w:rPr>
      </w:pPr>
      <w:r>
        <w:rPr>
          <w:rFonts w:ascii="Times New Roman" w:hAnsi="Times New Roman"/>
          <w:sz w:val="28"/>
          <w:szCs w:val="28"/>
          <w:u w:val="single"/>
          <w:shd w:val="clear" w:color="auto" w:fill="ffffff"/>
          <w:rtl w:val="0"/>
          <w:lang w:val="en-US"/>
        </w:rPr>
        <w:t>Reference</w:t>
      </w:r>
      <w:r>
        <w:rPr>
          <w:rFonts w:ascii="Times New Roman" w:hAnsi="Times New Roman" w:hint="default"/>
          <w:sz w:val="28"/>
          <w:szCs w:val="28"/>
          <w:u w:val="none"/>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rPr>
        <w:t>Barnes, J.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Cross-curricular learning 3-14.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edn. London: Sage Publications.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rPr>
        <w:t>Donaldson, G.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Successful Futures;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Independent Review of Curriculum and Assessment Arrangements in Wales in Wales. OGL: Crown Copyright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color w:val="000000"/>
          <w:sz w:val="24"/>
          <w:szCs w:val="24"/>
          <w:u w:val="none"/>
          <w:shd w:val="clear" w:color="auto" w:fill="ffffff"/>
          <w:rtl w:val="0"/>
        </w:rPr>
      </w:pPr>
      <w:r>
        <w:rPr>
          <w:rFonts w:ascii="Times New Roman" w:hAnsi="Times New Roman"/>
          <w:color w:val="000000"/>
          <w:sz w:val="24"/>
          <w:szCs w:val="24"/>
          <w:u w:val="none"/>
          <w:shd w:val="clear" w:color="auto" w:fill="ffffff"/>
          <w:rtl w:val="0"/>
          <w:lang w:val="en-US"/>
        </w:rPr>
        <w:t>McLeod, S. A. (2007). Maslow's Hierarchy of Needs</w:t>
      </w:r>
      <w:r>
        <w:rPr>
          <w:rFonts w:ascii="Times New Roman" w:hAnsi="Times New Roman"/>
          <w:color w:val="000000"/>
          <w:sz w:val="24"/>
          <w:szCs w:val="24"/>
          <w:u w:val="none"/>
          <w:shd w:val="clear" w:color="auto" w:fill="ffffff"/>
          <w:rtl w:val="0"/>
          <w:lang w:val="en-US"/>
        </w:rPr>
        <w:t>:</w:t>
      </w:r>
      <w:r>
        <w:rPr>
          <w:rFonts w:ascii="Times New Roman" w:hAnsi="Times New Roman" w:hint="default"/>
          <w:color w:val="000000"/>
          <w:sz w:val="24"/>
          <w:szCs w:val="24"/>
          <w:u w:val="none"/>
          <w:shd w:val="clear" w:color="auto" w:fill="ffffff"/>
          <w:rtl w:val="0"/>
        </w:rPr>
        <w:t xml:space="preserve">  </w:t>
      </w:r>
      <w:r>
        <w:rPr>
          <w:rStyle w:val="Hyperlink.0"/>
          <w:rFonts w:ascii="Times New Roman" w:cs="Times New Roman" w:hAnsi="Times New Roman" w:eastAsia="Times New Roman"/>
          <w:color w:val="0563c1"/>
          <w:sz w:val="24"/>
          <w:szCs w:val="24"/>
          <w:u w:val="single"/>
          <w:shd w:val="clear" w:color="auto" w:fill="ffffff"/>
          <w:rtl w:val="0"/>
        </w:rPr>
        <w:fldChar w:fldCharType="begin" w:fldLock="0"/>
      </w:r>
      <w:r>
        <w:rPr>
          <w:rStyle w:val="Hyperlink.0"/>
          <w:rFonts w:ascii="Times New Roman" w:cs="Times New Roman" w:hAnsi="Times New Roman" w:eastAsia="Times New Roman"/>
          <w:color w:val="0563c1"/>
          <w:sz w:val="24"/>
          <w:szCs w:val="24"/>
          <w:u w:val="single"/>
          <w:shd w:val="clear" w:color="auto" w:fill="ffffff"/>
          <w:rtl w:val="0"/>
        </w:rPr>
        <w:instrText xml:space="preserve"> HYPERLINK "http://highgatecounselling.org.uk/members/certificate/CT2%20Paper%201.pdf"</w:instrText>
      </w:r>
      <w:r>
        <w:rPr>
          <w:rStyle w:val="Hyperlink.0"/>
          <w:rFonts w:ascii="Times New Roman" w:cs="Times New Roman" w:hAnsi="Times New Roman" w:eastAsia="Times New Roman"/>
          <w:color w:val="0563c1"/>
          <w:sz w:val="24"/>
          <w:szCs w:val="24"/>
          <w:u w:val="single"/>
          <w:shd w:val="clear" w:color="auto" w:fill="ffffff"/>
          <w:rtl w:val="0"/>
        </w:rPr>
        <w:fldChar w:fldCharType="separate" w:fldLock="0"/>
      </w:r>
      <w:r>
        <w:rPr>
          <w:rStyle w:val="Hyperlink.0"/>
          <w:rFonts w:ascii="Times New Roman" w:hAnsi="Times New Roman"/>
          <w:color w:val="0563c1"/>
          <w:sz w:val="24"/>
          <w:szCs w:val="24"/>
          <w:u w:val="single"/>
          <w:shd w:val="clear" w:color="auto" w:fill="ffffff"/>
          <w:rtl w:val="0"/>
          <w:lang w:val="en-US"/>
        </w:rPr>
        <w:t>http://highgatecounselling.org.uk/members/certificate/CT2%20Paper%201.pdf</w:t>
      </w:r>
      <w:r>
        <w:rPr>
          <w:rFonts w:ascii="Times New Roman" w:cs="Times New Roman" w:hAnsi="Times New Roman" w:eastAsia="Times New Roman"/>
          <w:color w:val="0563c1"/>
          <w:sz w:val="24"/>
          <w:szCs w:val="24"/>
          <w:u w:val="single"/>
          <w:shd w:val="clear" w:color="auto" w:fill="ffffff"/>
          <w:rtl w:val="0"/>
        </w:rPr>
        <w:fldChar w:fldCharType="end" w:fldLock="0"/>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lang w:val="en-US"/>
        </w:rPr>
        <w:t>(Accessed: 6th January 2019)</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(2008) Information and communication technology in the National Curriculum for Wales. Cardiff: Welsh Assembly Government.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(2008) Music in the National Curriculum for Wales, Cardiff: Welsh Assembly Government.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6</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(2010)</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 curriculum for all learners,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Cardiff: Welsh Assembly Government. (Accessed: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4</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(no date) Developing the Curriculum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Cymreig, Cardiff: Welsh Assembly Government. (Accessed: 6</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Government (2013)</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Literacy and Numeracy Framework. Cardiff: Welsh Assembly Government.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5</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Government (2016) Digital Competence Framework. Cardiff: Welsh Assembly Government.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6</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tl w:val="0"/>
        </w:rPr>
      </w:pPr>
      <w:r>
        <w:rPr>
          <w:rFonts w:ascii="Times New Roman" w:hAnsi="Times New Roman"/>
          <w:color w:val="000000"/>
          <w:sz w:val="24"/>
          <w:szCs w:val="24"/>
          <w:u w:val="none"/>
          <w:shd w:val="clear" w:color="auto" w:fill="ffffff"/>
          <w:rtl w:val="0"/>
          <w:lang w:val="en-US"/>
        </w:rPr>
        <w:t>Welsh Government Foundation Phase and National Curriculum Documentation: Key Stage 2:</w:t>
      </w:r>
      <w:r>
        <w:rPr>
          <w:rFonts w:ascii="Times New Roman" w:hAnsi="Times New Roman" w:hint="default"/>
          <w:color w:val="000000"/>
          <w:sz w:val="24"/>
          <w:szCs w:val="24"/>
          <w:u w:val="none"/>
          <w:shd w:val="clear" w:color="auto" w:fill="ffffff"/>
          <w:rtl w:val="0"/>
        </w:rPr>
        <w:t> </w:t>
      </w:r>
      <w:r>
        <w:rPr>
          <w:rStyle w:val="Hyperlink.0"/>
          <w:rFonts w:ascii="Times New Roman" w:cs="Times New Roman" w:hAnsi="Times New Roman" w:eastAsia="Times New Roman"/>
          <w:color w:val="0563c1"/>
          <w:sz w:val="24"/>
          <w:szCs w:val="24"/>
          <w:u w:val="single"/>
          <w:shd w:val="clear" w:color="auto" w:fill="ffffff"/>
          <w:rtl w:val="0"/>
        </w:rPr>
        <w:fldChar w:fldCharType="begin" w:fldLock="0"/>
      </w:r>
      <w:r>
        <w:rPr>
          <w:rStyle w:val="Hyperlink.0"/>
          <w:rFonts w:ascii="Times New Roman" w:cs="Times New Roman" w:hAnsi="Times New Roman" w:eastAsia="Times New Roman"/>
          <w:color w:val="0563c1"/>
          <w:sz w:val="24"/>
          <w:szCs w:val="24"/>
          <w:u w:val="single"/>
          <w:shd w:val="clear" w:color="auto" w:fill="ffffff"/>
          <w:rtl w:val="0"/>
        </w:rPr>
        <w:instrText xml:space="preserve"> HYPERLINK "http://learning.gov.wales/resources/improvementareas/curriculum/programmes-of-study/?lang=en"</w:instrText>
      </w:r>
      <w:r>
        <w:rPr>
          <w:rStyle w:val="Hyperlink.0"/>
          <w:rFonts w:ascii="Times New Roman" w:cs="Times New Roman" w:hAnsi="Times New Roman" w:eastAsia="Times New Roman"/>
          <w:color w:val="0563c1"/>
          <w:sz w:val="24"/>
          <w:szCs w:val="24"/>
          <w:u w:val="single"/>
          <w:shd w:val="clear" w:color="auto" w:fill="ffffff"/>
          <w:rtl w:val="0"/>
        </w:rPr>
        <w:fldChar w:fldCharType="separate" w:fldLock="0"/>
      </w:r>
      <w:r>
        <w:rPr>
          <w:rStyle w:val="Hyperlink.0"/>
          <w:rFonts w:ascii="Times New Roman" w:hAnsi="Times New Roman"/>
          <w:color w:val="0563c1"/>
          <w:sz w:val="24"/>
          <w:szCs w:val="24"/>
          <w:u w:val="single"/>
          <w:shd w:val="clear" w:color="auto" w:fill="ffffff"/>
          <w:rtl w:val="0"/>
          <w:lang w:val="en-US"/>
        </w:rPr>
        <w:t>http://learning.gov.wales/resources/improvementareas/curriculum/programmes-of-study/?lang=en</w:t>
      </w:r>
      <w:r>
        <w:rPr>
          <w:rFonts w:ascii="Times New Roman" w:cs="Times New Roman" w:hAnsi="Times New Roman" w:eastAsia="Times New Roman"/>
          <w:color w:val="0563c1"/>
          <w:sz w:val="24"/>
          <w:szCs w:val="24"/>
          <w:u w:val="single"/>
          <w:shd w:val="clear" w:color="auto" w:fill="ffffff"/>
          <w:rtl w:val="0"/>
        </w:rPr>
        <w:fldChar w:fldCharType="end" w:fldLock="0"/>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lang w:val="en-US"/>
        </w:rPr>
        <w:t>(Accessed:</w:t>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rPr>
        <w:t>6</w:t>
      </w:r>
      <w:r>
        <w:rPr>
          <w:rFonts w:ascii="Times New Roman" w:hAnsi="Times New Roman"/>
          <w:color w:val="000000"/>
          <w:sz w:val="24"/>
          <w:szCs w:val="24"/>
          <w:u w:val="none"/>
          <w:shd w:val="clear" w:color="auto" w:fill="ffffff"/>
          <w:vertAlign w:val="superscript"/>
          <w:rtl w:val="0"/>
          <w:lang w:val="en-US"/>
        </w:rPr>
        <w:t>th</w:t>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lang w:val="en-US"/>
        </w:rPr>
        <w:t>January 201</w:t>
      </w:r>
      <w:r>
        <w:rPr>
          <w:rFonts w:ascii="Times New Roman" w:hAnsi="Times New Roman"/>
          <w:color w:val="000000"/>
          <w:sz w:val="24"/>
          <w:szCs w:val="24"/>
          <w:u w:val="none"/>
          <w:shd w:val="clear" w:color="auto" w:fill="ffffff"/>
          <w:rtl w:val="0"/>
          <w:lang w:val="en-US"/>
        </w:rPr>
        <w:t>9</w:t>
      </w:r>
      <w:r>
        <w:rPr>
          <w:rFonts w:ascii="Times New Roman" w:hAnsi="Times New Roman"/>
          <w:color w:val="000000"/>
          <w:sz w:val="24"/>
          <w:szCs w:val="24"/>
          <w:u w:val="none"/>
          <w:shd w:val="clear" w:color="auto" w:fill="ffffff"/>
          <w:rtl w:val="0"/>
        </w:rPr>
        <w:t>)</w:t>
      </w:r>
      <w:r>
        <w:rPr>
          <w:rFonts w:ascii="Times New Roman" w:hAnsi="Times New Roman" w:hint="default"/>
          <w:color w:val="000000"/>
          <w:sz w:val="24"/>
          <w:szCs w:val="24"/>
          <w:u w:val="none"/>
          <w:shd w:val="clear" w:color="auto" w:fill="ffffff"/>
          <w:rtl w:val="0"/>
        </w:rPr>
        <w:t>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t>6</w:t>
    </w:r>
    <w:r>
      <w:rPr/>
      <w:fldChar w:fldCharType="end" w:fldLock="0"/>
    </w:r>
    <w:r>
      <w:rPr>
        <w:rtl w:val="0"/>
        <w:lang w:val="en-US"/>
      </w:rPr>
      <w:t xml:space="preserve"> of </w:t>
    </w:r>
    <w:r>
      <w:rPr/>
      <w:fldChar w:fldCharType="begin" w:fldLock="0"/>
    </w:r>
    <w:r>
      <w:instrText xml:space="preserve"> NUMPAGES </w:instrText>
    </w:r>
    <w:r>
      <w:rPr/>
      <w:fldChar w:fldCharType="separate" w:fldLock="0"/>
    </w:r>
    <w:r>
      <w:t>6</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