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2334292"/>
    <w:p w14:paraId="4DA80C77" w14:textId="5150EBCB" w:rsidR="00BE5988" w:rsidRDefault="00F83F90">
      <w:r>
        <w:rPr>
          <w:noProof/>
        </w:rPr>
        <mc:AlternateContent>
          <mc:Choice Requires="wpg">
            <w:drawing>
              <wp:anchor distT="0" distB="0" distL="114300" distR="114300" simplePos="0" relativeHeight="251662335" behindDoc="0" locked="0" layoutInCell="1" allowOverlap="1" wp14:anchorId="31AF555A" wp14:editId="460C20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91A555" id="Group 157" o:spid="_x0000_s1026" style="position:absolute;margin-left:0;margin-top:0;width:8in;height:95.7pt;z-index:251662335;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BQABgAIAAAAIQD1ompa2QAAAAYBAAAPAAAAZHJz&#10;L2Rvd25yZXYueG1sTI9Bb8IwDIXvk/YfIk/abaRlG9u6pgihcUYULtxC4zXVEqdqApR/P7PLuFh+&#10;etZ7n8v56J044RC7QArySQYCqQmmo1bBbrt6egcRkyajXSBUcMEI8+r+rtSFCWfa4KlOreAQioVW&#10;YFPqCyljY9HrOAk9EnvfYfA6sRxaaQZ95nDv5DTLZtLrjrjB6h6XFpuf+ui5N67fvpz068u4ssvF&#10;c+j2uKmVenwYF58gEo7p/xiu+IwOFTMdwpFMFE4BP5L+5tXLX6esD7x95C8gq1Le4le/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3F08134" w14:textId="77777777" w:rsidR="00BE5988" w:rsidRDefault="00BE5988"/>
    <w:p w14:paraId="60CEE847" w14:textId="07FE95D9" w:rsidR="00BE5988" w:rsidRDefault="009F46EA">
      <w:r>
        <w:rPr>
          <w:noProof/>
        </w:rPr>
        <mc:AlternateContent>
          <mc:Choice Requires="wps">
            <w:drawing>
              <wp:anchor distT="0" distB="0" distL="114300" distR="114300" simplePos="0" relativeHeight="251663360" behindDoc="0" locked="0" layoutInCell="1" allowOverlap="1" wp14:anchorId="0C3D80E3" wp14:editId="03C4BD24">
                <wp:simplePos x="0" y="0"/>
                <wp:positionH relativeFrom="page">
                  <wp:posOffset>220980</wp:posOffset>
                </wp:positionH>
                <wp:positionV relativeFrom="page">
                  <wp:posOffset>1767840</wp:posOffset>
                </wp:positionV>
                <wp:extent cx="7315200" cy="41148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411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86B8F5" w14:textId="339F5B91" w:rsidR="00B70D61" w:rsidRPr="009F46EA" w:rsidRDefault="00000000">
                            <w:pPr>
                              <w:jc w:val="right"/>
                              <w:rPr>
                                <w:color w:val="156082" w:themeColor="accent1"/>
                                <w:sz w:val="52"/>
                                <w:szCs w:val="52"/>
                              </w:rPr>
                            </w:pPr>
                            <w:sdt>
                              <w:sdtPr>
                                <w:rPr>
                                  <w:caps/>
                                  <w:color w:val="156082"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46EA" w:rsidRPr="002C066E">
                                  <w:rPr>
                                    <w:caps/>
                                    <w:color w:val="156082" w:themeColor="accent1"/>
                                    <w:sz w:val="72"/>
                                    <w:szCs w:val="72"/>
                                  </w:rPr>
                                  <w:t xml:space="preserve">Component </w:t>
                                </w:r>
                                <w:r w:rsidR="005863C0">
                                  <w:rPr>
                                    <w:caps/>
                                    <w:color w:val="156082" w:themeColor="accent1"/>
                                    <w:sz w:val="72"/>
                                    <w:szCs w:val="72"/>
                                  </w:rPr>
                                  <w:t>2</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725A88" w14:textId="61A3F2E2" w:rsidR="00B70D61" w:rsidRDefault="00B70D61">
                                <w:pPr>
                                  <w:jc w:val="right"/>
                                  <w:rPr>
                                    <w:smallCaps/>
                                    <w:color w:val="404040" w:themeColor="text1" w:themeTint="BF"/>
                                    <w:sz w:val="36"/>
                                    <w:szCs w:val="36"/>
                                  </w:rPr>
                                </w:pPr>
                                <w:r w:rsidRPr="00A30509">
                                  <w:rPr>
                                    <w:sz w:val="36"/>
                                    <w:szCs w:val="36"/>
                                  </w:rPr>
                                  <w:t>Principles of Health and Social Care Practice (BMHP5016)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C3D80E3" id="_x0000_t202" coordsize="21600,21600" o:spt="202" path="m,l,21600r21600,l21600,xe">
                <v:stroke joinstyle="miter"/>
                <v:path gradientshapeok="t" o:connecttype="rect"/>
              </v:shapetype>
              <v:shape id="Text Box 163" o:spid="_x0000_s1026" type="#_x0000_t202" style="position:absolute;margin-left:17.4pt;margin-top:139.2pt;width:8in;height:324pt;z-index:25166336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" filled="f" stroked="f" strokeweight=".5pt">
                <v:textbox inset="126pt,0,54pt,0">
                  <w:txbxContent>
                    <w:p w14:paraId="1986B8F5" w14:textId="339F5B91" w:rsidR="00B70D61" w:rsidRPr="009F46EA" w:rsidRDefault="00000000">
                      <w:pPr>
                        <w:jc w:val="right"/>
                        <w:rPr>
                          <w:color w:val="156082" w:themeColor="accent1"/>
                          <w:sz w:val="52"/>
                          <w:szCs w:val="52"/>
                        </w:rPr>
                      </w:pPr>
                      <w:sdt>
                        <w:sdtPr>
                          <w:rPr>
                            <w:caps/>
                            <w:color w:val="156082"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46EA" w:rsidRPr="002C066E">
                            <w:rPr>
                              <w:caps/>
                              <w:color w:val="156082" w:themeColor="accent1"/>
                              <w:sz w:val="72"/>
                              <w:szCs w:val="72"/>
                            </w:rPr>
                            <w:t xml:space="preserve">Component </w:t>
                          </w:r>
                          <w:r w:rsidR="005863C0">
                            <w:rPr>
                              <w:caps/>
                              <w:color w:val="156082" w:themeColor="accent1"/>
                              <w:sz w:val="72"/>
                              <w:szCs w:val="72"/>
                            </w:rPr>
                            <w:t>2</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725A88" w14:textId="61A3F2E2" w:rsidR="00B70D61" w:rsidRDefault="00B70D61">
                          <w:pPr>
                            <w:jc w:val="right"/>
                            <w:rPr>
                              <w:smallCaps/>
                              <w:color w:val="404040" w:themeColor="text1" w:themeTint="BF"/>
                              <w:sz w:val="36"/>
                              <w:szCs w:val="36"/>
                            </w:rPr>
                          </w:pPr>
                          <w:r w:rsidRPr="00A30509">
                            <w:rPr>
                              <w:sz w:val="36"/>
                              <w:szCs w:val="36"/>
                            </w:rPr>
                            <w:t>Principles of Health and Social Care Practice (BMHP5016)</w:t>
                          </w:r>
                        </w:p>
                      </w:sdtContent>
                    </w:sdt>
                  </w:txbxContent>
                </v:textbox>
                <w10:wrap type="square" anchorx="page" anchory="page"/>
              </v:shape>
            </w:pict>
          </mc:Fallback>
        </mc:AlternateContent>
      </w:r>
    </w:p>
    <w:sdt>
      <w:sdtPr>
        <w:id w:val="1952891226"/>
        <w:docPartObj>
          <w:docPartGallery w:val="Cover Pages"/>
          <w:docPartUnique/>
        </w:docPartObj>
      </w:sdtPr>
      <w:sdtContent>
        <w:p w14:paraId="1E07F0D8" w14:textId="1773D221" w:rsidR="00B70D61" w:rsidRDefault="00B70D61">
          <w:r>
            <w:rPr>
              <w:noProof/>
            </w:rPr>
            <mc:AlternateContent>
              <mc:Choice Requires="wps">
                <w:drawing>
                  <wp:anchor distT="0" distB="0" distL="114300" distR="114300" simplePos="0" relativeHeight="251665408" behindDoc="0" locked="0" layoutInCell="1" allowOverlap="1" wp14:anchorId="4FEB67D6" wp14:editId="5BFF2F2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25C5C" w14:textId="49048153" w:rsidR="00B70D61" w:rsidRDefault="00B70D61" w:rsidP="00B70D61">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2E412A" w14:textId="73743FA7" w:rsidR="00B70D61" w:rsidRDefault="00B70D6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FEB67D6" id="Text Box 161" o:spid="_x0000_s1027" type="#_x0000_t202" style="position:absolute;margin-left:0;margin-top:0;width:8in;height:79.5pt;z-index:2516654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BD25C5C" w14:textId="49048153" w:rsidR="00B70D61" w:rsidRDefault="00B70D61" w:rsidP="00B70D61">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2E412A" w14:textId="73743FA7" w:rsidR="00B70D61" w:rsidRDefault="00B70D6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D9F94BD" w14:textId="60B7D8A2" w:rsidR="00B70D61" w:rsidRDefault="005E495A">
          <w:pPr>
            <w:rPr>
              <w:lang w:val="en-US"/>
            </w:rPr>
          </w:pPr>
          <w:r>
            <w:rPr>
              <w:noProof/>
            </w:rPr>
            <mc:AlternateContent>
              <mc:Choice Requires="wps">
                <w:drawing>
                  <wp:anchor distT="45720" distB="45720" distL="114300" distR="114300" simplePos="0" relativeHeight="251668480" behindDoc="0" locked="0" layoutInCell="1" allowOverlap="1" wp14:anchorId="6A5633E5" wp14:editId="0E1499FB">
                    <wp:simplePos x="0" y="0"/>
                    <wp:positionH relativeFrom="column">
                      <wp:posOffset>1890395</wp:posOffset>
                    </wp:positionH>
                    <wp:positionV relativeFrom="paragraph">
                      <wp:posOffset>1877060</wp:posOffset>
                    </wp:positionV>
                    <wp:extent cx="3876675" cy="1899920"/>
                    <wp:effectExtent l="0" t="0" r="9525" b="5080"/>
                    <wp:wrapSquare wrapText="bothSides"/>
                    <wp:docPr id="1756799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1899920"/>
                            </a:xfrm>
                            <a:prstGeom prst="rect">
                              <a:avLst/>
                            </a:prstGeom>
                            <a:solidFill>
                              <a:srgbClr val="FFFFFF"/>
                            </a:solidFill>
                            <a:ln w="9525">
                              <a:noFill/>
                              <a:miter lim="800000"/>
                              <a:headEnd/>
                              <a:tailEnd/>
                            </a:ln>
                          </wps:spPr>
                          <wps:txbx>
                            <w:txbxContent>
                              <w:p w14:paraId="70977D02" w14:textId="21FCCA17" w:rsidR="005E495A" w:rsidRPr="005E495A" w:rsidRDefault="005E495A">
                                <w:pPr>
                                  <w:rPr>
                                    <w:sz w:val="36"/>
                                    <w:szCs w:val="36"/>
                                  </w:rPr>
                                </w:pPr>
                                <w:r w:rsidRPr="005E495A">
                                  <w:rPr>
                                    <w:sz w:val="36"/>
                                    <w:szCs w:val="36"/>
                                  </w:rPr>
                                  <w:t>Tutor Name: Junaid</w:t>
                                </w:r>
                                <w:r w:rsidR="00115012">
                                  <w:rPr>
                                    <w:sz w:val="36"/>
                                    <w:szCs w:val="36"/>
                                  </w:rPr>
                                  <w:t xml:space="preserve"> Shaikh</w:t>
                                </w:r>
                              </w:p>
                              <w:p w14:paraId="111FDBC9" w14:textId="62F3D092" w:rsidR="005E495A" w:rsidRDefault="005E495A">
                                <w:pPr>
                                  <w:rPr>
                                    <w:sz w:val="36"/>
                                    <w:szCs w:val="36"/>
                                  </w:rPr>
                                </w:pPr>
                                <w:r w:rsidRPr="005E495A">
                                  <w:rPr>
                                    <w:sz w:val="36"/>
                                    <w:szCs w:val="36"/>
                                  </w:rPr>
                                  <w:t>Syed Mudassar Hussain (2407258)</w:t>
                                </w:r>
                              </w:p>
                              <w:p w14:paraId="2F5C1E60" w14:textId="04AF83CA" w:rsidR="00AE742F" w:rsidRDefault="005863C0">
                                <w:pPr>
                                  <w:rPr>
                                    <w:sz w:val="36"/>
                                    <w:szCs w:val="36"/>
                                  </w:rPr>
                                </w:pPr>
                                <w:r>
                                  <w:rPr>
                                    <w:sz w:val="36"/>
                                    <w:szCs w:val="36"/>
                                  </w:rPr>
                                  <w:t>1</w:t>
                                </w:r>
                                <w:r w:rsidR="00F83F90">
                                  <w:rPr>
                                    <w:sz w:val="36"/>
                                    <w:szCs w:val="36"/>
                                  </w:rPr>
                                  <w:t>6</w:t>
                                </w:r>
                                <w:r w:rsidR="00AE742F" w:rsidRPr="00AE742F">
                                  <w:rPr>
                                    <w:sz w:val="36"/>
                                    <w:szCs w:val="36"/>
                                    <w:vertAlign w:val="superscript"/>
                                  </w:rPr>
                                  <w:t>th</w:t>
                                </w:r>
                                <w:r w:rsidR="00AE742F">
                                  <w:rPr>
                                    <w:sz w:val="36"/>
                                    <w:szCs w:val="36"/>
                                  </w:rPr>
                                  <w:t xml:space="preserve"> </w:t>
                                </w:r>
                                <w:r>
                                  <w:rPr>
                                    <w:sz w:val="36"/>
                                    <w:szCs w:val="36"/>
                                  </w:rPr>
                                  <w:t>November</w:t>
                                </w:r>
                                <w:r w:rsidR="00AE742F">
                                  <w:rPr>
                                    <w:sz w:val="36"/>
                                    <w:szCs w:val="36"/>
                                  </w:rPr>
                                  <w:t xml:space="preserve"> 2025</w:t>
                                </w:r>
                              </w:p>
                              <w:p w14:paraId="072F0422" w14:textId="3E651BC5" w:rsidR="00F83F90" w:rsidRDefault="00F83F90">
                                <w:pPr>
                                  <w:rPr>
                                    <w:sz w:val="36"/>
                                    <w:szCs w:val="36"/>
                                  </w:rPr>
                                </w:pPr>
                                <w:r>
                                  <w:rPr>
                                    <w:sz w:val="36"/>
                                    <w:szCs w:val="36"/>
                                  </w:rPr>
                                  <w:t>Word Count:</w:t>
                                </w:r>
                                <w:r w:rsidR="008D7A88">
                                  <w:rPr>
                                    <w:sz w:val="36"/>
                                    <w:szCs w:val="36"/>
                                  </w:rPr>
                                  <w:t xml:space="preserve"> 2194</w:t>
                                </w:r>
                                <w:r w:rsidR="00DC2795">
                                  <w:rPr>
                                    <w:sz w:val="36"/>
                                    <w:szCs w:val="36"/>
                                  </w:rPr>
                                  <w:t xml:space="preserve"> </w:t>
                                </w:r>
                              </w:p>
                              <w:p w14:paraId="5E35F738" w14:textId="77777777" w:rsidR="00F83F90" w:rsidRPr="005E495A" w:rsidRDefault="00F83F90">
                                <w:pP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633E5" id="Text Box 2" o:spid="_x0000_s1028" type="#_x0000_t202" style="position:absolute;margin-left:148.85pt;margin-top:147.8pt;width:305.25pt;height:149.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" stroked="f">
                    <v:textbox>
                      <w:txbxContent>
                        <w:p w14:paraId="70977D02" w14:textId="21FCCA17" w:rsidR="005E495A" w:rsidRPr="005E495A" w:rsidRDefault="005E495A">
                          <w:pPr>
                            <w:rPr>
                              <w:sz w:val="36"/>
                              <w:szCs w:val="36"/>
                            </w:rPr>
                          </w:pPr>
                          <w:r w:rsidRPr="005E495A">
                            <w:rPr>
                              <w:sz w:val="36"/>
                              <w:szCs w:val="36"/>
                            </w:rPr>
                            <w:t>Tutor Name: Junaid</w:t>
                          </w:r>
                          <w:r w:rsidR="00115012">
                            <w:rPr>
                              <w:sz w:val="36"/>
                              <w:szCs w:val="36"/>
                            </w:rPr>
                            <w:t xml:space="preserve"> Shaikh</w:t>
                          </w:r>
                        </w:p>
                        <w:p w14:paraId="111FDBC9" w14:textId="62F3D092" w:rsidR="005E495A" w:rsidRDefault="005E495A">
                          <w:pPr>
                            <w:rPr>
                              <w:sz w:val="36"/>
                              <w:szCs w:val="36"/>
                            </w:rPr>
                          </w:pPr>
                          <w:r w:rsidRPr="005E495A">
                            <w:rPr>
                              <w:sz w:val="36"/>
                              <w:szCs w:val="36"/>
                            </w:rPr>
                            <w:t>Syed Mudassar Hussain (2407258)</w:t>
                          </w:r>
                        </w:p>
                        <w:p w14:paraId="2F5C1E60" w14:textId="04AF83CA" w:rsidR="00AE742F" w:rsidRDefault="005863C0">
                          <w:pPr>
                            <w:rPr>
                              <w:sz w:val="36"/>
                              <w:szCs w:val="36"/>
                            </w:rPr>
                          </w:pPr>
                          <w:r>
                            <w:rPr>
                              <w:sz w:val="36"/>
                              <w:szCs w:val="36"/>
                            </w:rPr>
                            <w:t>1</w:t>
                          </w:r>
                          <w:r w:rsidR="00F83F90">
                            <w:rPr>
                              <w:sz w:val="36"/>
                              <w:szCs w:val="36"/>
                            </w:rPr>
                            <w:t>6</w:t>
                          </w:r>
                          <w:r w:rsidR="00AE742F" w:rsidRPr="00AE742F">
                            <w:rPr>
                              <w:sz w:val="36"/>
                              <w:szCs w:val="36"/>
                              <w:vertAlign w:val="superscript"/>
                            </w:rPr>
                            <w:t>th</w:t>
                          </w:r>
                          <w:r w:rsidR="00AE742F">
                            <w:rPr>
                              <w:sz w:val="36"/>
                              <w:szCs w:val="36"/>
                            </w:rPr>
                            <w:t xml:space="preserve"> </w:t>
                          </w:r>
                          <w:r>
                            <w:rPr>
                              <w:sz w:val="36"/>
                              <w:szCs w:val="36"/>
                            </w:rPr>
                            <w:t>November</w:t>
                          </w:r>
                          <w:r w:rsidR="00AE742F">
                            <w:rPr>
                              <w:sz w:val="36"/>
                              <w:szCs w:val="36"/>
                            </w:rPr>
                            <w:t xml:space="preserve"> 2025</w:t>
                          </w:r>
                        </w:p>
                        <w:p w14:paraId="072F0422" w14:textId="3E651BC5" w:rsidR="00F83F90" w:rsidRDefault="00F83F90">
                          <w:pPr>
                            <w:rPr>
                              <w:sz w:val="36"/>
                              <w:szCs w:val="36"/>
                            </w:rPr>
                          </w:pPr>
                          <w:r>
                            <w:rPr>
                              <w:sz w:val="36"/>
                              <w:szCs w:val="36"/>
                            </w:rPr>
                            <w:t>Word Count:</w:t>
                          </w:r>
                          <w:r w:rsidR="008D7A88">
                            <w:rPr>
                              <w:sz w:val="36"/>
                              <w:szCs w:val="36"/>
                            </w:rPr>
                            <w:t xml:space="preserve"> 2194</w:t>
                          </w:r>
                          <w:r w:rsidR="00DC2795">
                            <w:rPr>
                              <w:sz w:val="36"/>
                              <w:szCs w:val="36"/>
                            </w:rPr>
                            <w:t xml:space="preserve"> </w:t>
                          </w:r>
                        </w:p>
                        <w:p w14:paraId="5E35F738" w14:textId="77777777" w:rsidR="00F83F90" w:rsidRPr="005E495A" w:rsidRDefault="00F83F90">
                          <w:pPr>
                            <w:rPr>
                              <w:sz w:val="36"/>
                              <w:szCs w:val="36"/>
                            </w:rPr>
                          </w:pPr>
                        </w:p>
                      </w:txbxContent>
                    </v:textbox>
                    <w10:wrap type="square"/>
                  </v:shape>
                </w:pict>
              </mc:Fallback>
            </mc:AlternateContent>
          </w:r>
          <w:r w:rsidR="00B70D61">
            <w:br w:type="page"/>
          </w:r>
        </w:p>
      </w:sdtContent>
    </w:sdt>
    <w:sdt>
      <w:sdtPr>
        <w:rPr>
          <w:rFonts w:ascii="Arial" w:eastAsiaTheme="minorHAnsi" w:hAnsi="Arial" w:cs="Arial"/>
          <w:b w:val="0"/>
          <w:color w:val="auto"/>
          <w:kern w:val="2"/>
          <w:sz w:val="22"/>
          <w:szCs w:val="24"/>
          <w:lang w:val="en-GB"/>
          <w14:ligatures w14:val="standardContextual"/>
        </w:rPr>
        <w:id w:val="-1089455995"/>
        <w:docPartObj>
          <w:docPartGallery w:val="Table of Contents"/>
          <w:docPartUnique/>
        </w:docPartObj>
      </w:sdtPr>
      <w:sdtEndPr>
        <w:rPr>
          <w:rFonts w:cstheme="minorBidi"/>
          <w:bCs/>
          <w:noProof/>
        </w:rPr>
      </w:sdtEndPr>
      <w:sdtContent>
        <w:p w14:paraId="405EBDAB" w14:textId="35D5FEE0" w:rsidR="007F6584" w:rsidRPr="007F6584" w:rsidRDefault="007F6584">
          <w:pPr>
            <w:pStyle w:val="TOCHeading"/>
            <w:rPr>
              <w:rFonts w:ascii="Arial" w:hAnsi="Arial" w:cs="Arial"/>
              <w:color w:val="auto"/>
            </w:rPr>
          </w:pPr>
          <w:r w:rsidRPr="007F6584">
            <w:rPr>
              <w:rFonts w:ascii="Arial" w:hAnsi="Arial" w:cs="Arial"/>
              <w:color w:val="auto"/>
            </w:rPr>
            <w:t>Contents</w:t>
          </w:r>
        </w:p>
        <w:p w14:paraId="0D83CC6F" w14:textId="48A15BCA" w:rsidR="008D7A88" w:rsidRDefault="007F6584">
          <w:pPr>
            <w:pStyle w:val="TOC2"/>
            <w:tabs>
              <w:tab w:val="right" w:leader="dot" w:pos="9016"/>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14142174" w:history="1">
            <w:r w:rsidR="008D7A88" w:rsidRPr="00662C6F">
              <w:rPr>
                <w:rStyle w:val="Hyperlink"/>
                <w:noProof/>
              </w:rPr>
              <w:t>1. Abstract</w:t>
            </w:r>
            <w:r w:rsidR="008D7A88">
              <w:rPr>
                <w:noProof/>
                <w:webHidden/>
              </w:rPr>
              <w:tab/>
            </w:r>
            <w:r w:rsidR="008D7A88">
              <w:rPr>
                <w:noProof/>
                <w:webHidden/>
              </w:rPr>
              <w:fldChar w:fldCharType="begin"/>
            </w:r>
            <w:r w:rsidR="008D7A88">
              <w:rPr>
                <w:noProof/>
                <w:webHidden/>
              </w:rPr>
              <w:instrText xml:space="preserve"> PAGEREF _Toc214142174 \h </w:instrText>
            </w:r>
            <w:r w:rsidR="008D7A88">
              <w:rPr>
                <w:noProof/>
                <w:webHidden/>
              </w:rPr>
            </w:r>
            <w:r w:rsidR="008D7A88">
              <w:rPr>
                <w:noProof/>
                <w:webHidden/>
              </w:rPr>
              <w:fldChar w:fldCharType="separate"/>
            </w:r>
            <w:r w:rsidR="008D7A88">
              <w:rPr>
                <w:noProof/>
                <w:webHidden/>
              </w:rPr>
              <w:t>2</w:t>
            </w:r>
            <w:r w:rsidR="008D7A88">
              <w:rPr>
                <w:noProof/>
                <w:webHidden/>
              </w:rPr>
              <w:fldChar w:fldCharType="end"/>
            </w:r>
          </w:hyperlink>
        </w:p>
        <w:p w14:paraId="14467D58" w14:textId="6B531CB9" w:rsidR="008D7A88" w:rsidRDefault="008D7A88">
          <w:pPr>
            <w:pStyle w:val="TOC2"/>
            <w:tabs>
              <w:tab w:val="right" w:leader="dot" w:pos="9016"/>
            </w:tabs>
            <w:rPr>
              <w:rFonts w:asciiTheme="minorHAnsi" w:eastAsiaTheme="minorEastAsia" w:hAnsiTheme="minorHAnsi"/>
              <w:noProof/>
              <w:sz w:val="24"/>
              <w:lang w:eastAsia="en-GB"/>
            </w:rPr>
          </w:pPr>
          <w:hyperlink w:anchor="_Toc214142175" w:history="1">
            <w:r w:rsidRPr="00662C6F">
              <w:rPr>
                <w:rStyle w:val="Hyperlink"/>
                <w:noProof/>
              </w:rPr>
              <w:t>2. Introduction</w:t>
            </w:r>
            <w:r>
              <w:rPr>
                <w:noProof/>
                <w:webHidden/>
              </w:rPr>
              <w:tab/>
            </w:r>
            <w:r>
              <w:rPr>
                <w:noProof/>
                <w:webHidden/>
              </w:rPr>
              <w:fldChar w:fldCharType="begin"/>
            </w:r>
            <w:r>
              <w:rPr>
                <w:noProof/>
                <w:webHidden/>
              </w:rPr>
              <w:instrText xml:space="preserve"> PAGEREF _Toc214142175 \h </w:instrText>
            </w:r>
            <w:r>
              <w:rPr>
                <w:noProof/>
                <w:webHidden/>
              </w:rPr>
            </w:r>
            <w:r>
              <w:rPr>
                <w:noProof/>
                <w:webHidden/>
              </w:rPr>
              <w:fldChar w:fldCharType="separate"/>
            </w:r>
            <w:r>
              <w:rPr>
                <w:noProof/>
                <w:webHidden/>
              </w:rPr>
              <w:t>3</w:t>
            </w:r>
            <w:r>
              <w:rPr>
                <w:noProof/>
                <w:webHidden/>
              </w:rPr>
              <w:fldChar w:fldCharType="end"/>
            </w:r>
          </w:hyperlink>
        </w:p>
        <w:p w14:paraId="6F43433A" w14:textId="05E95A50" w:rsidR="008D7A88" w:rsidRDefault="008D7A88">
          <w:pPr>
            <w:pStyle w:val="TOC2"/>
            <w:tabs>
              <w:tab w:val="right" w:leader="dot" w:pos="9016"/>
            </w:tabs>
            <w:rPr>
              <w:rFonts w:asciiTheme="minorHAnsi" w:eastAsiaTheme="minorEastAsia" w:hAnsiTheme="minorHAnsi"/>
              <w:noProof/>
              <w:sz w:val="24"/>
              <w:lang w:eastAsia="en-GB"/>
            </w:rPr>
          </w:pPr>
          <w:hyperlink w:anchor="_Toc214142176" w:history="1">
            <w:r w:rsidRPr="00662C6F">
              <w:rPr>
                <w:rStyle w:val="Hyperlink"/>
                <w:noProof/>
              </w:rPr>
              <w:t>3. Person-Centred Care</w:t>
            </w:r>
            <w:r>
              <w:rPr>
                <w:noProof/>
                <w:webHidden/>
              </w:rPr>
              <w:tab/>
            </w:r>
            <w:r>
              <w:rPr>
                <w:noProof/>
                <w:webHidden/>
              </w:rPr>
              <w:fldChar w:fldCharType="begin"/>
            </w:r>
            <w:r>
              <w:rPr>
                <w:noProof/>
                <w:webHidden/>
              </w:rPr>
              <w:instrText xml:space="preserve"> PAGEREF _Toc214142176 \h </w:instrText>
            </w:r>
            <w:r>
              <w:rPr>
                <w:noProof/>
                <w:webHidden/>
              </w:rPr>
            </w:r>
            <w:r>
              <w:rPr>
                <w:noProof/>
                <w:webHidden/>
              </w:rPr>
              <w:fldChar w:fldCharType="separate"/>
            </w:r>
            <w:r>
              <w:rPr>
                <w:noProof/>
                <w:webHidden/>
              </w:rPr>
              <w:t>4</w:t>
            </w:r>
            <w:r>
              <w:rPr>
                <w:noProof/>
                <w:webHidden/>
              </w:rPr>
              <w:fldChar w:fldCharType="end"/>
            </w:r>
          </w:hyperlink>
        </w:p>
        <w:p w14:paraId="0276F2FF" w14:textId="2E929D6D" w:rsidR="008D7A88" w:rsidRDefault="008D7A88">
          <w:pPr>
            <w:pStyle w:val="TOC3"/>
            <w:tabs>
              <w:tab w:val="right" w:leader="dot" w:pos="9016"/>
            </w:tabs>
            <w:rPr>
              <w:rFonts w:asciiTheme="minorHAnsi" w:eastAsiaTheme="minorEastAsia" w:hAnsiTheme="minorHAnsi"/>
              <w:noProof/>
              <w:sz w:val="24"/>
              <w:lang w:eastAsia="en-GB"/>
            </w:rPr>
          </w:pPr>
          <w:hyperlink w:anchor="_Toc214142177" w:history="1">
            <w:r w:rsidRPr="00662C6F">
              <w:rPr>
                <w:rStyle w:val="Hyperlink"/>
                <w:noProof/>
              </w:rPr>
              <w:t>3.1 Benefits and Limitations in EDs</w:t>
            </w:r>
            <w:r>
              <w:rPr>
                <w:noProof/>
                <w:webHidden/>
              </w:rPr>
              <w:tab/>
            </w:r>
            <w:r>
              <w:rPr>
                <w:noProof/>
                <w:webHidden/>
              </w:rPr>
              <w:fldChar w:fldCharType="begin"/>
            </w:r>
            <w:r>
              <w:rPr>
                <w:noProof/>
                <w:webHidden/>
              </w:rPr>
              <w:instrText xml:space="preserve"> PAGEREF _Toc214142177 \h </w:instrText>
            </w:r>
            <w:r>
              <w:rPr>
                <w:noProof/>
                <w:webHidden/>
              </w:rPr>
            </w:r>
            <w:r>
              <w:rPr>
                <w:noProof/>
                <w:webHidden/>
              </w:rPr>
              <w:fldChar w:fldCharType="separate"/>
            </w:r>
            <w:r>
              <w:rPr>
                <w:noProof/>
                <w:webHidden/>
              </w:rPr>
              <w:t>4</w:t>
            </w:r>
            <w:r>
              <w:rPr>
                <w:noProof/>
                <w:webHidden/>
              </w:rPr>
              <w:fldChar w:fldCharType="end"/>
            </w:r>
          </w:hyperlink>
        </w:p>
        <w:p w14:paraId="2854DBE8" w14:textId="3BB2329E" w:rsidR="008D7A88" w:rsidRDefault="008D7A88">
          <w:pPr>
            <w:pStyle w:val="TOC2"/>
            <w:tabs>
              <w:tab w:val="right" w:leader="dot" w:pos="9016"/>
            </w:tabs>
            <w:rPr>
              <w:rFonts w:asciiTheme="minorHAnsi" w:eastAsiaTheme="minorEastAsia" w:hAnsiTheme="minorHAnsi"/>
              <w:noProof/>
              <w:sz w:val="24"/>
              <w:lang w:eastAsia="en-GB"/>
            </w:rPr>
          </w:pPr>
          <w:hyperlink w:anchor="_Toc214142178" w:history="1">
            <w:r w:rsidRPr="00662C6F">
              <w:rPr>
                <w:rStyle w:val="Hyperlink"/>
                <w:noProof/>
              </w:rPr>
              <w:t>4. Relevant Theories</w:t>
            </w:r>
            <w:r>
              <w:rPr>
                <w:noProof/>
                <w:webHidden/>
              </w:rPr>
              <w:tab/>
            </w:r>
            <w:r>
              <w:rPr>
                <w:noProof/>
                <w:webHidden/>
              </w:rPr>
              <w:fldChar w:fldCharType="begin"/>
            </w:r>
            <w:r>
              <w:rPr>
                <w:noProof/>
                <w:webHidden/>
              </w:rPr>
              <w:instrText xml:space="preserve"> PAGEREF _Toc214142178 \h </w:instrText>
            </w:r>
            <w:r>
              <w:rPr>
                <w:noProof/>
                <w:webHidden/>
              </w:rPr>
            </w:r>
            <w:r>
              <w:rPr>
                <w:noProof/>
                <w:webHidden/>
              </w:rPr>
              <w:fldChar w:fldCharType="separate"/>
            </w:r>
            <w:r>
              <w:rPr>
                <w:noProof/>
                <w:webHidden/>
              </w:rPr>
              <w:t>5</w:t>
            </w:r>
            <w:r>
              <w:rPr>
                <w:noProof/>
                <w:webHidden/>
              </w:rPr>
              <w:fldChar w:fldCharType="end"/>
            </w:r>
          </w:hyperlink>
        </w:p>
        <w:p w14:paraId="5A8520C2" w14:textId="20633562" w:rsidR="008D7A88" w:rsidRDefault="008D7A88">
          <w:pPr>
            <w:pStyle w:val="TOC2"/>
            <w:tabs>
              <w:tab w:val="right" w:leader="dot" w:pos="9016"/>
            </w:tabs>
            <w:rPr>
              <w:rFonts w:asciiTheme="minorHAnsi" w:eastAsiaTheme="minorEastAsia" w:hAnsiTheme="minorHAnsi"/>
              <w:noProof/>
              <w:sz w:val="24"/>
              <w:lang w:eastAsia="en-GB"/>
            </w:rPr>
          </w:pPr>
          <w:hyperlink w:anchor="_Toc214142179" w:history="1">
            <w:r w:rsidRPr="00662C6F">
              <w:rPr>
                <w:rStyle w:val="Hyperlink"/>
                <w:noProof/>
              </w:rPr>
              <w:t>5. Ethical Fundamentals</w:t>
            </w:r>
            <w:r>
              <w:rPr>
                <w:noProof/>
                <w:webHidden/>
              </w:rPr>
              <w:tab/>
            </w:r>
            <w:r>
              <w:rPr>
                <w:noProof/>
                <w:webHidden/>
              </w:rPr>
              <w:fldChar w:fldCharType="begin"/>
            </w:r>
            <w:r>
              <w:rPr>
                <w:noProof/>
                <w:webHidden/>
              </w:rPr>
              <w:instrText xml:space="preserve"> PAGEREF _Toc214142179 \h </w:instrText>
            </w:r>
            <w:r>
              <w:rPr>
                <w:noProof/>
                <w:webHidden/>
              </w:rPr>
            </w:r>
            <w:r>
              <w:rPr>
                <w:noProof/>
                <w:webHidden/>
              </w:rPr>
              <w:fldChar w:fldCharType="separate"/>
            </w:r>
            <w:r>
              <w:rPr>
                <w:noProof/>
                <w:webHidden/>
              </w:rPr>
              <w:t>6</w:t>
            </w:r>
            <w:r>
              <w:rPr>
                <w:noProof/>
                <w:webHidden/>
              </w:rPr>
              <w:fldChar w:fldCharType="end"/>
            </w:r>
          </w:hyperlink>
        </w:p>
        <w:p w14:paraId="40469C47" w14:textId="406BEEE1" w:rsidR="008D7A88" w:rsidRDefault="008D7A88">
          <w:pPr>
            <w:pStyle w:val="TOC3"/>
            <w:tabs>
              <w:tab w:val="right" w:leader="dot" w:pos="9016"/>
            </w:tabs>
            <w:rPr>
              <w:rFonts w:asciiTheme="minorHAnsi" w:eastAsiaTheme="minorEastAsia" w:hAnsiTheme="minorHAnsi"/>
              <w:noProof/>
              <w:sz w:val="24"/>
              <w:lang w:eastAsia="en-GB"/>
            </w:rPr>
          </w:pPr>
          <w:hyperlink w:anchor="_Toc214142180" w:history="1">
            <w:r w:rsidRPr="00662C6F">
              <w:rPr>
                <w:rStyle w:val="Hyperlink"/>
                <w:noProof/>
              </w:rPr>
              <w:t>5.2 Ethical Dilemmas and Resolutions in EDs</w:t>
            </w:r>
            <w:r>
              <w:rPr>
                <w:noProof/>
                <w:webHidden/>
              </w:rPr>
              <w:tab/>
            </w:r>
            <w:r>
              <w:rPr>
                <w:noProof/>
                <w:webHidden/>
              </w:rPr>
              <w:fldChar w:fldCharType="begin"/>
            </w:r>
            <w:r>
              <w:rPr>
                <w:noProof/>
                <w:webHidden/>
              </w:rPr>
              <w:instrText xml:space="preserve"> PAGEREF _Toc214142180 \h </w:instrText>
            </w:r>
            <w:r>
              <w:rPr>
                <w:noProof/>
                <w:webHidden/>
              </w:rPr>
            </w:r>
            <w:r>
              <w:rPr>
                <w:noProof/>
                <w:webHidden/>
              </w:rPr>
              <w:fldChar w:fldCharType="separate"/>
            </w:r>
            <w:r>
              <w:rPr>
                <w:noProof/>
                <w:webHidden/>
              </w:rPr>
              <w:t>6</w:t>
            </w:r>
            <w:r>
              <w:rPr>
                <w:noProof/>
                <w:webHidden/>
              </w:rPr>
              <w:fldChar w:fldCharType="end"/>
            </w:r>
          </w:hyperlink>
        </w:p>
        <w:p w14:paraId="6FE6158C" w14:textId="3A8604BF" w:rsidR="008D7A88" w:rsidRDefault="008D7A88">
          <w:pPr>
            <w:pStyle w:val="TOC2"/>
            <w:tabs>
              <w:tab w:val="right" w:leader="dot" w:pos="9016"/>
            </w:tabs>
            <w:rPr>
              <w:rFonts w:asciiTheme="minorHAnsi" w:eastAsiaTheme="minorEastAsia" w:hAnsiTheme="minorHAnsi"/>
              <w:noProof/>
              <w:sz w:val="24"/>
              <w:lang w:eastAsia="en-GB"/>
            </w:rPr>
          </w:pPr>
          <w:hyperlink w:anchor="_Toc214142181" w:history="1">
            <w:r w:rsidRPr="00662C6F">
              <w:rPr>
                <w:rStyle w:val="Hyperlink"/>
                <w:noProof/>
              </w:rPr>
              <w:t>6. Evaluation of PW</w:t>
            </w:r>
            <w:r>
              <w:rPr>
                <w:noProof/>
                <w:webHidden/>
              </w:rPr>
              <w:tab/>
            </w:r>
            <w:r>
              <w:rPr>
                <w:noProof/>
                <w:webHidden/>
              </w:rPr>
              <w:fldChar w:fldCharType="begin"/>
            </w:r>
            <w:r>
              <w:rPr>
                <w:noProof/>
                <w:webHidden/>
              </w:rPr>
              <w:instrText xml:space="preserve"> PAGEREF _Toc214142181 \h </w:instrText>
            </w:r>
            <w:r>
              <w:rPr>
                <w:noProof/>
                <w:webHidden/>
              </w:rPr>
            </w:r>
            <w:r>
              <w:rPr>
                <w:noProof/>
                <w:webHidden/>
              </w:rPr>
              <w:fldChar w:fldCharType="separate"/>
            </w:r>
            <w:r>
              <w:rPr>
                <w:noProof/>
                <w:webHidden/>
              </w:rPr>
              <w:t>7</w:t>
            </w:r>
            <w:r>
              <w:rPr>
                <w:noProof/>
                <w:webHidden/>
              </w:rPr>
              <w:fldChar w:fldCharType="end"/>
            </w:r>
          </w:hyperlink>
        </w:p>
        <w:p w14:paraId="68D5A02E" w14:textId="02CACA6B" w:rsidR="008D7A88" w:rsidRDefault="008D7A88">
          <w:pPr>
            <w:pStyle w:val="TOC2"/>
            <w:tabs>
              <w:tab w:val="right" w:leader="dot" w:pos="9016"/>
            </w:tabs>
            <w:rPr>
              <w:rFonts w:asciiTheme="minorHAnsi" w:eastAsiaTheme="minorEastAsia" w:hAnsiTheme="minorHAnsi"/>
              <w:noProof/>
              <w:sz w:val="24"/>
              <w:lang w:eastAsia="en-GB"/>
            </w:rPr>
          </w:pPr>
          <w:hyperlink w:anchor="_Toc214142182" w:history="1">
            <w:r w:rsidRPr="00662C6F">
              <w:rPr>
                <w:rStyle w:val="Hyperlink"/>
                <w:noProof/>
              </w:rPr>
              <w:t>7. Policy and Legislation</w:t>
            </w:r>
            <w:r>
              <w:rPr>
                <w:noProof/>
                <w:webHidden/>
              </w:rPr>
              <w:tab/>
            </w:r>
            <w:r>
              <w:rPr>
                <w:noProof/>
                <w:webHidden/>
              </w:rPr>
              <w:fldChar w:fldCharType="begin"/>
            </w:r>
            <w:r>
              <w:rPr>
                <w:noProof/>
                <w:webHidden/>
              </w:rPr>
              <w:instrText xml:space="preserve"> PAGEREF _Toc214142182 \h </w:instrText>
            </w:r>
            <w:r>
              <w:rPr>
                <w:noProof/>
                <w:webHidden/>
              </w:rPr>
            </w:r>
            <w:r>
              <w:rPr>
                <w:noProof/>
                <w:webHidden/>
              </w:rPr>
              <w:fldChar w:fldCharType="separate"/>
            </w:r>
            <w:r>
              <w:rPr>
                <w:noProof/>
                <w:webHidden/>
              </w:rPr>
              <w:t>8</w:t>
            </w:r>
            <w:r>
              <w:rPr>
                <w:noProof/>
                <w:webHidden/>
              </w:rPr>
              <w:fldChar w:fldCharType="end"/>
            </w:r>
          </w:hyperlink>
        </w:p>
        <w:p w14:paraId="666EFC85" w14:textId="547728E8" w:rsidR="008D7A88" w:rsidRDefault="008D7A88">
          <w:pPr>
            <w:pStyle w:val="TOC3"/>
            <w:tabs>
              <w:tab w:val="right" w:leader="dot" w:pos="9016"/>
            </w:tabs>
            <w:rPr>
              <w:rFonts w:asciiTheme="minorHAnsi" w:eastAsiaTheme="minorEastAsia" w:hAnsiTheme="minorHAnsi"/>
              <w:noProof/>
              <w:sz w:val="24"/>
              <w:lang w:eastAsia="en-GB"/>
            </w:rPr>
          </w:pPr>
          <w:hyperlink w:anchor="_Toc214142183" w:history="1">
            <w:r w:rsidRPr="00662C6F">
              <w:rPr>
                <w:rStyle w:val="Hyperlink"/>
                <w:noProof/>
              </w:rPr>
              <w:t>7.1 The Health and Care Act (2022)</w:t>
            </w:r>
            <w:r>
              <w:rPr>
                <w:noProof/>
                <w:webHidden/>
              </w:rPr>
              <w:tab/>
            </w:r>
            <w:r>
              <w:rPr>
                <w:noProof/>
                <w:webHidden/>
              </w:rPr>
              <w:fldChar w:fldCharType="begin"/>
            </w:r>
            <w:r>
              <w:rPr>
                <w:noProof/>
                <w:webHidden/>
              </w:rPr>
              <w:instrText xml:space="preserve"> PAGEREF _Toc214142183 \h </w:instrText>
            </w:r>
            <w:r>
              <w:rPr>
                <w:noProof/>
                <w:webHidden/>
              </w:rPr>
            </w:r>
            <w:r>
              <w:rPr>
                <w:noProof/>
                <w:webHidden/>
              </w:rPr>
              <w:fldChar w:fldCharType="separate"/>
            </w:r>
            <w:r>
              <w:rPr>
                <w:noProof/>
                <w:webHidden/>
              </w:rPr>
              <w:t>8</w:t>
            </w:r>
            <w:r>
              <w:rPr>
                <w:noProof/>
                <w:webHidden/>
              </w:rPr>
              <w:fldChar w:fldCharType="end"/>
            </w:r>
          </w:hyperlink>
        </w:p>
        <w:p w14:paraId="4ADA652A" w14:textId="2E83A976" w:rsidR="008D7A88" w:rsidRDefault="008D7A88">
          <w:pPr>
            <w:pStyle w:val="TOC3"/>
            <w:tabs>
              <w:tab w:val="right" w:leader="dot" w:pos="9016"/>
            </w:tabs>
            <w:rPr>
              <w:rFonts w:asciiTheme="minorHAnsi" w:eastAsiaTheme="minorEastAsia" w:hAnsiTheme="minorHAnsi"/>
              <w:noProof/>
              <w:sz w:val="24"/>
              <w:lang w:eastAsia="en-GB"/>
            </w:rPr>
          </w:pPr>
          <w:hyperlink w:anchor="_Toc214142184" w:history="1">
            <w:r w:rsidRPr="00662C6F">
              <w:rPr>
                <w:rStyle w:val="Hyperlink"/>
                <w:noProof/>
              </w:rPr>
              <w:t>7.2 Care Act (2014)</w:t>
            </w:r>
            <w:r>
              <w:rPr>
                <w:noProof/>
                <w:webHidden/>
              </w:rPr>
              <w:tab/>
            </w:r>
            <w:r>
              <w:rPr>
                <w:noProof/>
                <w:webHidden/>
              </w:rPr>
              <w:fldChar w:fldCharType="begin"/>
            </w:r>
            <w:r>
              <w:rPr>
                <w:noProof/>
                <w:webHidden/>
              </w:rPr>
              <w:instrText xml:space="preserve"> PAGEREF _Toc214142184 \h </w:instrText>
            </w:r>
            <w:r>
              <w:rPr>
                <w:noProof/>
                <w:webHidden/>
              </w:rPr>
            </w:r>
            <w:r>
              <w:rPr>
                <w:noProof/>
                <w:webHidden/>
              </w:rPr>
              <w:fldChar w:fldCharType="separate"/>
            </w:r>
            <w:r>
              <w:rPr>
                <w:noProof/>
                <w:webHidden/>
              </w:rPr>
              <w:t>8</w:t>
            </w:r>
            <w:r>
              <w:rPr>
                <w:noProof/>
                <w:webHidden/>
              </w:rPr>
              <w:fldChar w:fldCharType="end"/>
            </w:r>
          </w:hyperlink>
        </w:p>
        <w:p w14:paraId="3767D6D9" w14:textId="4C241AFB" w:rsidR="008D7A88" w:rsidRDefault="008D7A88">
          <w:pPr>
            <w:pStyle w:val="TOC3"/>
            <w:tabs>
              <w:tab w:val="right" w:leader="dot" w:pos="9016"/>
            </w:tabs>
            <w:rPr>
              <w:rFonts w:asciiTheme="minorHAnsi" w:eastAsiaTheme="minorEastAsia" w:hAnsiTheme="minorHAnsi"/>
              <w:noProof/>
              <w:sz w:val="24"/>
              <w:lang w:eastAsia="en-GB"/>
            </w:rPr>
          </w:pPr>
          <w:hyperlink w:anchor="_Toc214142185" w:history="1">
            <w:r w:rsidRPr="00662C6F">
              <w:rPr>
                <w:rStyle w:val="Hyperlink"/>
                <w:noProof/>
              </w:rPr>
              <w:t>7.3 Equality Act (2010)</w:t>
            </w:r>
            <w:r>
              <w:rPr>
                <w:noProof/>
                <w:webHidden/>
              </w:rPr>
              <w:tab/>
            </w:r>
            <w:r>
              <w:rPr>
                <w:noProof/>
                <w:webHidden/>
              </w:rPr>
              <w:fldChar w:fldCharType="begin"/>
            </w:r>
            <w:r>
              <w:rPr>
                <w:noProof/>
                <w:webHidden/>
              </w:rPr>
              <w:instrText xml:space="preserve"> PAGEREF _Toc214142185 \h </w:instrText>
            </w:r>
            <w:r>
              <w:rPr>
                <w:noProof/>
                <w:webHidden/>
              </w:rPr>
            </w:r>
            <w:r>
              <w:rPr>
                <w:noProof/>
                <w:webHidden/>
              </w:rPr>
              <w:fldChar w:fldCharType="separate"/>
            </w:r>
            <w:r>
              <w:rPr>
                <w:noProof/>
                <w:webHidden/>
              </w:rPr>
              <w:t>9</w:t>
            </w:r>
            <w:r>
              <w:rPr>
                <w:noProof/>
                <w:webHidden/>
              </w:rPr>
              <w:fldChar w:fldCharType="end"/>
            </w:r>
          </w:hyperlink>
        </w:p>
        <w:p w14:paraId="25AA0D76" w14:textId="4E162E2E" w:rsidR="008D7A88" w:rsidRDefault="008D7A88">
          <w:pPr>
            <w:pStyle w:val="TOC2"/>
            <w:tabs>
              <w:tab w:val="right" w:leader="dot" w:pos="9016"/>
            </w:tabs>
            <w:rPr>
              <w:rFonts w:asciiTheme="minorHAnsi" w:eastAsiaTheme="minorEastAsia" w:hAnsiTheme="minorHAnsi"/>
              <w:noProof/>
              <w:sz w:val="24"/>
              <w:lang w:eastAsia="en-GB"/>
            </w:rPr>
          </w:pPr>
          <w:hyperlink w:anchor="_Toc214142186" w:history="1">
            <w:r w:rsidRPr="00662C6F">
              <w:rPr>
                <w:rStyle w:val="Hyperlink"/>
                <w:noProof/>
              </w:rPr>
              <w:t>8. Recommendations</w:t>
            </w:r>
            <w:r>
              <w:rPr>
                <w:noProof/>
                <w:webHidden/>
              </w:rPr>
              <w:tab/>
            </w:r>
            <w:r>
              <w:rPr>
                <w:noProof/>
                <w:webHidden/>
              </w:rPr>
              <w:fldChar w:fldCharType="begin"/>
            </w:r>
            <w:r>
              <w:rPr>
                <w:noProof/>
                <w:webHidden/>
              </w:rPr>
              <w:instrText xml:space="preserve"> PAGEREF _Toc214142186 \h </w:instrText>
            </w:r>
            <w:r>
              <w:rPr>
                <w:noProof/>
                <w:webHidden/>
              </w:rPr>
            </w:r>
            <w:r>
              <w:rPr>
                <w:noProof/>
                <w:webHidden/>
              </w:rPr>
              <w:fldChar w:fldCharType="separate"/>
            </w:r>
            <w:r>
              <w:rPr>
                <w:noProof/>
                <w:webHidden/>
              </w:rPr>
              <w:t>10</w:t>
            </w:r>
            <w:r>
              <w:rPr>
                <w:noProof/>
                <w:webHidden/>
              </w:rPr>
              <w:fldChar w:fldCharType="end"/>
            </w:r>
          </w:hyperlink>
        </w:p>
        <w:p w14:paraId="07D33E6A" w14:textId="63157D8B" w:rsidR="008D7A88" w:rsidRDefault="008D7A88">
          <w:pPr>
            <w:pStyle w:val="TOC3"/>
            <w:tabs>
              <w:tab w:val="right" w:leader="dot" w:pos="9016"/>
            </w:tabs>
            <w:rPr>
              <w:rFonts w:asciiTheme="minorHAnsi" w:eastAsiaTheme="minorEastAsia" w:hAnsiTheme="minorHAnsi"/>
              <w:noProof/>
              <w:sz w:val="24"/>
              <w:lang w:eastAsia="en-GB"/>
            </w:rPr>
          </w:pPr>
          <w:hyperlink w:anchor="_Toc214142187" w:history="1">
            <w:r w:rsidRPr="00662C6F">
              <w:rPr>
                <w:rStyle w:val="Hyperlink"/>
                <w:noProof/>
              </w:rPr>
              <w:t xml:space="preserve">8.1 </w:t>
            </w:r>
            <w:r w:rsidRPr="00662C6F">
              <w:rPr>
                <w:rStyle w:val="Hyperlink"/>
                <w:bCs/>
                <w:noProof/>
              </w:rPr>
              <w:t>Technology and Data Use</w:t>
            </w:r>
            <w:r>
              <w:rPr>
                <w:noProof/>
                <w:webHidden/>
              </w:rPr>
              <w:tab/>
            </w:r>
            <w:r>
              <w:rPr>
                <w:noProof/>
                <w:webHidden/>
              </w:rPr>
              <w:fldChar w:fldCharType="begin"/>
            </w:r>
            <w:r>
              <w:rPr>
                <w:noProof/>
                <w:webHidden/>
              </w:rPr>
              <w:instrText xml:space="preserve"> PAGEREF _Toc214142187 \h </w:instrText>
            </w:r>
            <w:r>
              <w:rPr>
                <w:noProof/>
                <w:webHidden/>
              </w:rPr>
            </w:r>
            <w:r>
              <w:rPr>
                <w:noProof/>
                <w:webHidden/>
              </w:rPr>
              <w:fldChar w:fldCharType="separate"/>
            </w:r>
            <w:r>
              <w:rPr>
                <w:noProof/>
                <w:webHidden/>
              </w:rPr>
              <w:t>10</w:t>
            </w:r>
            <w:r>
              <w:rPr>
                <w:noProof/>
                <w:webHidden/>
              </w:rPr>
              <w:fldChar w:fldCharType="end"/>
            </w:r>
          </w:hyperlink>
        </w:p>
        <w:p w14:paraId="4E0E141E" w14:textId="67B01218" w:rsidR="008D7A88" w:rsidRDefault="008D7A88">
          <w:pPr>
            <w:pStyle w:val="TOC3"/>
            <w:tabs>
              <w:tab w:val="right" w:leader="dot" w:pos="9016"/>
            </w:tabs>
            <w:rPr>
              <w:rFonts w:asciiTheme="minorHAnsi" w:eastAsiaTheme="minorEastAsia" w:hAnsiTheme="minorHAnsi"/>
              <w:noProof/>
              <w:sz w:val="24"/>
              <w:lang w:eastAsia="en-GB"/>
            </w:rPr>
          </w:pPr>
          <w:hyperlink w:anchor="_Toc214142188" w:history="1">
            <w:r w:rsidRPr="00662C6F">
              <w:rPr>
                <w:rStyle w:val="Hyperlink"/>
                <w:noProof/>
              </w:rPr>
              <w:t>8.2 Collaborative Partnerships</w:t>
            </w:r>
            <w:r>
              <w:rPr>
                <w:noProof/>
                <w:webHidden/>
              </w:rPr>
              <w:tab/>
            </w:r>
            <w:r>
              <w:rPr>
                <w:noProof/>
                <w:webHidden/>
              </w:rPr>
              <w:fldChar w:fldCharType="begin"/>
            </w:r>
            <w:r>
              <w:rPr>
                <w:noProof/>
                <w:webHidden/>
              </w:rPr>
              <w:instrText xml:space="preserve"> PAGEREF _Toc214142188 \h </w:instrText>
            </w:r>
            <w:r>
              <w:rPr>
                <w:noProof/>
                <w:webHidden/>
              </w:rPr>
            </w:r>
            <w:r>
              <w:rPr>
                <w:noProof/>
                <w:webHidden/>
              </w:rPr>
              <w:fldChar w:fldCharType="separate"/>
            </w:r>
            <w:r>
              <w:rPr>
                <w:noProof/>
                <w:webHidden/>
              </w:rPr>
              <w:t>10</w:t>
            </w:r>
            <w:r>
              <w:rPr>
                <w:noProof/>
                <w:webHidden/>
              </w:rPr>
              <w:fldChar w:fldCharType="end"/>
            </w:r>
          </w:hyperlink>
        </w:p>
        <w:p w14:paraId="0D2691CD" w14:textId="393EA134" w:rsidR="008D7A88" w:rsidRDefault="008D7A88">
          <w:pPr>
            <w:pStyle w:val="TOC3"/>
            <w:tabs>
              <w:tab w:val="right" w:leader="dot" w:pos="9016"/>
            </w:tabs>
            <w:rPr>
              <w:rFonts w:asciiTheme="minorHAnsi" w:eastAsiaTheme="minorEastAsia" w:hAnsiTheme="minorHAnsi"/>
              <w:noProof/>
              <w:sz w:val="24"/>
              <w:lang w:eastAsia="en-GB"/>
            </w:rPr>
          </w:pPr>
          <w:hyperlink w:anchor="_Toc214142189" w:history="1">
            <w:r w:rsidRPr="00662C6F">
              <w:rPr>
                <w:rStyle w:val="Hyperlink"/>
                <w:noProof/>
              </w:rPr>
              <w:t>8.3 Enhanced Training</w:t>
            </w:r>
            <w:r>
              <w:rPr>
                <w:noProof/>
                <w:webHidden/>
              </w:rPr>
              <w:tab/>
            </w:r>
            <w:r>
              <w:rPr>
                <w:noProof/>
                <w:webHidden/>
              </w:rPr>
              <w:fldChar w:fldCharType="begin"/>
            </w:r>
            <w:r>
              <w:rPr>
                <w:noProof/>
                <w:webHidden/>
              </w:rPr>
              <w:instrText xml:space="preserve"> PAGEREF _Toc214142189 \h </w:instrText>
            </w:r>
            <w:r>
              <w:rPr>
                <w:noProof/>
                <w:webHidden/>
              </w:rPr>
            </w:r>
            <w:r>
              <w:rPr>
                <w:noProof/>
                <w:webHidden/>
              </w:rPr>
              <w:fldChar w:fldCharType="separate"/>
            </w:r>
            <w:r>
              <w:rPr>
                <w:noProof/>
                <w:webHidden/>
              </w:rPr>
              <w:t>10</w:t>
            </w:r>
            <w:r>
              <w:rPr>
                <w:noProof/>
                <w:webHidden/>
              </w:rPr>
              <w:fldChar w:fldCharType="end"/>
            </w:r>
          </w:hyperlink>
        </w:p>
        <w:p w14:paraId="1BB42337" w14:textId="4E9FA4E6" w:rsidR="008D7A88" w:rsidRDefault="008D7A88">
          <w:pPr>
            <w:pStyle w:val="TOC2"/>
            <w:tabs>
              <w:tab w:val="right" w:leader="dot" w:pos="9016"/>
            </w:tabs>
            <w:rPr>
              <w:rFonts w:asciiTheme="minorHAnsi" w:eastAsiaTheme="minorEastAsia" w:hAnsiTheme="minorHAnsi"/>
              <w:noProof/>
              <w:sz w:val="24"/>
              <w:lang w:eastAsia="en-GB"/>
            </w:rPr>
          </w:pPr>
          <w:hyperlink w:anchor="_Toc214142190" w:history="1">
            <w:r w:rsidRPr="00662C6F">
              <w:rPr>
                <w:rStyle w:val="Hyperlink"/>
                <w:noProof/>
              </w:rPr>
              <w:t>9. Summary</w:t>
            </w:r>
            <w:r>
              <w:rPr>
                <w:noProof/>
                <w:webHidden/>
              </w:rPr>
              <w:tab/>
            </w:r>
            <w:r>
              <w:rPr>
                <w:noProof/>
                <w:webHidden/>
              </w:rPr>
              <w:fldChar w:fldCharType="begin"/>
            </w:r>
            <w:r>
              <w:rPr>
                <w:noProof/>
                <w:webHidden/>
              </w:rPr>
              <w:instrText xml:space="preserve"> PAGEREF _Toc214142190 \h </w:instrText>
            </w:r>
            <w:r>
              <w:rPr>
                <w:noProof/>
                <w:webHidden/>
              </w:rPr>
            </w:r>
            <w:r>
              <w:rPr>
                <w:noProof/>
                <w:webHidden/>
              </w:rPr>
              <w:fldChar w:fldCharType="separate"/>
            </w:r>
            <w:r>
              <w:rPr>
                <w:noProof/>
                <w:webHidden/>
              </w:rPr>
              <w:t>12</w:t>
            </w:r>
            <w:r>
              <w:rPr>
                <w:noProof/>
                <w:webHidden/>
              </w:rPr>
              <w:fldChar w:fldCharType="end"/>
            </w:r>
          </w:hyperlink>
        </w:p>
        <w:p w14:paraId="68B7C23B" w14:textId="77C082B3" w:rsidR="008D7A88" w:rsidRDefault="008D7A88">
          <w:pPr>
            <w:pStyle w:val="TOC2"/>
            <w:tabs>
              <w:tab w:val="right" w:leader="dot" w:pos="9016"/>
            </w:tabs>
            <w:rPr>
              <w:rFonts w:asciiTheme="minorHAnsi" w:eastAsiaTheme="minorEastAsia" w:hAnsiTheme="minorHAnsi"/>
              <w:noProof/>
              <w:sz w:val="24"/>
              <w:lang w:eastAsia="en-GB"/>
            </w:rPr>
          </w:pPr>
          <w:hyperlink w:anchor="_Toc214142191" w:history="1">
            <w:r w:rsidRPr="00662C6F">
              <w:rPr>
                <w:rStyle w:val="Hyperlink"/>
                <w:noProof/>
              </w:rPr>
              <w:t>10. References</w:t>
            </w:r>
            <w:r>
              <w:rPr>
                <w:noProof/>
                <w:webHidden/>
              </w:rPr>
              <w:tab/>
            </w:r>
            <w:r>
              <w:rPr>
                <w:noProof/>
                <w:webHidden/>
              </w:rPr>
              <w:fldChar w:fldCharType="begin"/>
            </w:r>
            <w:r>
              <w:rPr>
                <w:noProof/>
                <w:webHidden/>
              </w:rPr>
              <w:instrText xml:space="preserve"> PAGEREF _Toc214142191 \h </w:instrText>
            </w:r>
            <w:r>
              <w:rPr>
                <w:noProof/>
                <w:webHidden/>
              </w:rPr>
            </w:r>
            <w:r>
              <w:rPr>
                <w:noProof/>
                <w:webHidden/>
              </w:rPr>
              <w:fldChar w:fldCharType="separate"/>
            </w:r>
            <w:r>
              <w:rPr>
                <w:noProof/>
                <w:webHidden/>
              </w:rPr>
              <w:t>13</w:t>
            </w:r>
            <w:r>
              <w:rPr>
                <w:noProof/>
                <w:webHidden/>
              </w:rPr>
              <w:fldChar w:fldCharType="end"/>
            </w:r>
          </w:hyperlink>
        </w:p>
        <w:p w14:paraId="6EDA2A45" w14:textId="6CA335AF" w:rsidR="007F6584" w:rsidRPr="007F6584" w:rsidRDefault="007F6584" w:rsidP="007F6584">
          <w:r>
            <w:rPr>
              <w:b/>
              <w:bCs/>
              <w:noProof/>
            </w:rPr>
            <w:fldChar w:fldCharType="end"/>
          </w:r>
        </w:p>
      </w:sdtContent>
    </w:sdt>
    <w:p w14:paraId="46934CC0" w14:textId="77777777" w:rsidR="00BE797D" w:rsidRDefault="00BE797D" w:rsidP="002106A5">
      <w:pPr>
        <w:pStyle w:val="Heading2"/>
      </w:pPr>
    </w:p>
    <w:p w14:paraId="7247B5E6" w14:textId="77777777" w:rsidR="00BE797D" w:rsidRDefault="00BE797D" w:rsidP="002106A5">
      <w:pPr>
        <w:pStyle w:val="Heading2"/>
      </w:pPr>
    </w:p>
    <w:p w14:paraId="09EB27A5" w14:textId="77777777" w:rsidR="00655728" w:rsidRPr="00655728" w:rsidRDefault="00655728" w:rsidP="00655728"/>
    <w:p w14:paraId="395A0654" w14:textId="77777777" w:rsidR="00BE797D" w:rsidRDefault="00BE797D" w:rsidP="00BE797D"/>
    <w:p w14:paraId="0C3956ED" w14:textId="77777777" w:rsidR="00655728" w:rsidRPr="00BE797D" w:rsidRDefault="00655728" w:rsidP="00BE797D"/>
    <w:p w14:paraId="25DDAB9F" w14:textId="28422B39" w:rsidR="00BE797D" w:rsidRDefault="002106A5" w:rsidP="00655728">
      <w:pPr>
        <w:pStyle w:val="Heading2"/>
      </w:pPr>
      <w:bookmarkStart w:id="1" w:name="_Toc214142174"/>
      <w:r>
        <w:lastRenderedPageBreak/>
        <w:t>1</w:t>
      </w:r>
      <w:r w:rsidR="00FD3CCD">
        <w:t>.</w:t>
      </w:r>
      <w:r>
        <w:t xml:space="preserve"> </w:t>
      </w:r>
      <w:r w:rsidR="003F03EB">
        <w:t>Abstract</w:t>
      </w:r>
      <w:bookmarkEnd w:id="1"/>
    </w:p>
    <w:p w14:paraId="5F24707D" w14:textId="472B1906" w:rsidR="00BE797D" w:rsidRDefault="00267B30" w:rsidP="00655728">
      <w:r w:rsidRPr="00613786">
        <w:t xml:space="preserve">Person-centred care (PCC) and partnership working (PW) are essential for improving health and social care in UK emergency departments (EDs). While PCC boosts patient satisfaction, its implementation is hindered by funding challenges. PW enhances service coordination but faces issues like inefficient triage. Integrating PCC and PW is crucial for addressing patients' complex needs in emergencies. Recommendations include </w:t>
      </w:r>
      <w:r w:rsidR="00BE4FA2">
        <w:t>leveraging technology and data, fostering collaboration, and enhancing training to support</w:t>
      </w:r>
      <w:r w:rsidRPr="00613786">
        <w:t xml:space="preserve"> a more person-centred approach.</w:t>
      </w:r>
    </w:p>
    <w:p w14:paraId="227C6999" w14:textId="77777777" w:rsidR="00655728" w:rsidRPr="00655728" w:rsidRDefault="00655728" w:rsidP="00655728"/>
    <w:p w14:paraId="7DB0BE48" w14:textId="73BCEDC4" w:rsidR="00071304" w:rsidRPr="00071304" w:rsidRDefault="00071304" w:rsidP="00071304">
      <w:pPr>
        <w:pStyle w:val="Heading2"/>
      </w:pPr>
    </w:p>
    <w:p w14:paraId="51F0834A" w14:textId="77777777" w:rsidR="00BE797D" w:rsidRDefault="00BE797D" w:rsidP="00607210">
      <w:pPr>
        <w:pStyle w:val="Heading2"/>
      </w:pPr>
    </w:p>
    <w:p w14:paraId="251F6956" w14:textId="77777777" w:rsidR="00BE797D" w:rsidRDefault="00BE797D" w:rsidP="00607210">
      <w:pPr>
        <w:pStyle w:val="Heading2"/>
      </w:pPr>
    </w:p>
    <w:p w14:paraId="702ACDE1" w14:textId="77777777" w:rsidR="00BE797D" w:rsidRDefault="00BE797D" w:rsidP="00607210">
      <w:pPr>
        <w:pStyle w:val="Heading2"/>
      </w:pPr>
    </w:p>
    <w:p w14:paraId="06B7D134" w14:textId="77777777" w:rsidR="00BE797D" w:rsidRDefault="00BE797D" w:rsidP="00607210">
      <w:pPr>
        <w:pStyle w:val="Heading2"/>
      </w:pPr>
    </w:p>
    <w:p w14:paraId="666AEC1F" w14:textId="77777777" w:rsidR="00BE797D" w:rsidRDefault="00BE797D" w:rsidP="00607210">
      <w:pPr>
        <w:pStyle w:val="Heading2"/>
      </w:pPr>
    </w:p>
    <w:p w14:paraId="79B6EC1F" w14:textId="77777777" w:rsidR="00BE797D" w:rsidRDefault="00BE797D" w:rsidP="00607210">
      <w:pPr>
        <w:pStyle w:val="Heading2"/>
      </w:pPr>
    </w:p>
    <w:p w14:paraId="4B897E62" w14:textId="77777777" w:rsidR="00BE797D" w:rsidRDefault="00BE797D" w:rsidP="00607210">
      <w:pPr>
        <w:pStyle w:val="Heading2"/>
      </w:pPr>
    </w:p>
    <w:p w14:paraId="5CC91006" w14:textId="77777777" w:rsidR="001163DC" w:rsidRDefault="001163DC" w:rsidP="001163DC"/>
    <w:p w14:paraId="174443B5" w14:textId="77777777" w:rsidR="005C2353" w:rsidRDefault="005C2353" w:rsidP="001163DC"/>
    <w:p w14:paraId="4CC2AE3F" w14:textId="77777777" w:rsidR="005C2353" w:rsidRDefault="005C2353" w:rsidP="001163DC"/>
    <w:p w14:paraId="15992E33" w14:textId="77777777" w:rsidR="005C2353" w:rsidRDefault="005C2353" w:rsidP="001163DC"/>
    <w:p w14:paraId="5406F62F" w14:textId="77777777" w:rsidR="005C2353" w:rsidRDefault="005C2353" w:rsidP="001163DC"/>
    <w:p w14:paraId="36958655" w14:textId="77777777" w:rsidR="001163DC" w:rsidRPr="001163DC" w:rsidRDefault="001163DC" w:rsidP="001163DC"/>
    <w:p w14:paraId="237D20CE" w14:textId="1CCBA519" w:rsidR="003F03EB" w:rsidRDefault="002106A5" w:rsidP="00607210">
      <w:pPr>
        <w:pStyle w:val="Heading2"/>
      </w:pPr>
      <w:bookmarkStart w:id="2" w:name="_Toc214142175"/>
      <w:r>
        <w:lastRenderedPageBreak/>
        <w:t xml:space="preserve">2. </w:t>
      </w:r>
      <w:r w:rsidR="003F03EB" w:rsidRPr="00EA7FD0">
        <w:t>Introduction</w:t>
      </w:r>
      <w:bookmarkEnd w:id="2"/>
    </w:p>
    <w:p w14:paraId="6614BA06" w14:textId="4E93720A" w:rsidR="00136750" w:rsidRPr="00136750" w:rsidRDefault="00BA09CA" w:rsidP="00136750">
      <w:bookmarkStart w:id="3" w:name="_Hlk213942560"/>
      <w:r w:rsidRPr="00BA09CA">
        <w:t>The UK health and social care system is shifting from a paternalistic approach to one that prioritises individual needs through PCC and efficient P</w:t>
      </w:r>
      <w:r w:rsidR="006C5F30">
        <w:t>W</w:t>
      </w:r>
      <w:r w:rsidRPr="00BA09CA">
        <w:t>.</w:t>
      </w:r>
      <w:r w:rsidR="0074693F">
        <w:t xml:space="preserve"> </w:t>
      </w:r>
      <w:r w:rsidR="0074693F" w:rsidRPr="0074693F">
        <w:t xml:space="preserve">These approaches are crucial in complex care settings like </w:t>
      </w:r>
      <w:r w:rsidR="0074693F" w:rsidRPr="00262391">
        <w:t>EDs</w:t>
      </w:r>
      <w:r w:rsidR="0074693F" w:rsidRPr="0074693F">
        <w:t>, where fragmented care can harm patient welfare and satisfaction</w:t>
      </w:r>
      <w:r w:rsidR="004D048F">
        <w:t xml:space="preserve"> (</w:t>
      </w:r>
      <w:r w:rsidR="004D048F" w:rsidRPr="00087C27">
        <w:t>Walsh</w:t>
      </w:r>
      <w:r w:rsidR="004D048F">
        <w:t xml:space="preserve"> </w:t>
      </w:r>
      <w:r w:rsidR="004D048F">
        <w:rPr>
          <w:i/>
          <w:iCs/>
        </w:rPr>
        <w:t>et al.,</w:t>
      </w:r>
      <w:r w:rsidR="004D048F">
        <w:t>22).</w:t>
      </w:r>
      <w:r w:rsidR="00CD1BC1">
        <w:t xml:space="preserve"> </w:t>
      </w:r>
      <w:r w:rsidR="00652846" w:rsidRPr="00652846">
        <w:t>The aim is to comprehensively evaluate how PCC and PW collaborate to improve care quality, while pinpointing enduring challenges and avenues for improvement.</w:t>
      </w:r>
      <w:r w:rsidR="00136750">
        <w:t xml:space="preserve"> </w:t>
      </w:r>
      <w:r w:rsidR="00136750" w:rsidRPr="00136750">
        <w:t>The report will define PCC, discuss its advantages and drawbacks, and outline the Biopsychosocial</w:t>
      </w:r>
      <w:r w:rsidR="00E9060D">
        <w:t xml:space="preserve"> </w:t>
      </w:r>
      <w:r w:rsidR="00E9060D" w:rsidRPr="00E9060D">
        <w:t>(BPS)</w:t>
      </w:r>
      <w:r w:rsidR="00653CF5">
        <w:t xml:space="preserve"> </w:t>
      </w:r>
      <w:r w:rsidR="000E1C06">
        <w:t>model (1977) and the Gothenburg Person-Centred Care (GPCC) model (2011)</w:t>
      </w:r>
      <w:r w:rsidR="00136750" w:rsidRPr="00136750">
        <w:t xml:space="preserve">. It will critically analyse the ethical and policy frameworks governing PCC and PW, offering recommendations for future development in the UK. </w:t>
      </w:r>
      <w:r w:rsidR="00136750" w:rsidRPr="00AB1E34">
        <w:t>The focus will be on ED</w:t>
      </w:r>
      <w:r w:rsidR="00306442" w:rsidRPr="00AB1E34">
        <w:t>s</w:t>
      </w:r>
      <w:r w:rsidR="00136750" w:rsidRPr="00AB1E34">
        <w:t>, highlighting the challenges and importance of integrating PCC a</w:t>
      </w:r>
      <w:r w:rsidR="00136750" w:rsidRPr="00136750">
        <w:t>nd PW in this fast-paced care environment.</w:t>
      </w:r>
    </w:p>
    <w:bookmarkEnd w:id="3"/>
    <w:p w14:paraId="74615057" w14:textId="44316B45" w:rsidR="00CD1BC1" w:rsidRPr="00CD1BC1" w:rsidRDefault="00CD1BC1" w:rsidP="00CD1BC1">
      <w:r>
        <w:t xml:space="preserve"> </w:t>
      </w:r>
    </w:p>
    <w:p w14:paraId="1FC28E57" w14:textId="54540AE5" w:rsidR="0074693F" w:rsidRPr="0074693F" w:rsidRDefault="0074693F" w:rsidP="0074693F"/>
    <w:p w14:paraId="7974CE5F" w14:textId="05DB62AC" w:rsidR="00BE797D" w:rsidRPr="00BE797D" w:rsidRDefault="00BE797D" w:rsidP="00BE797D"/>
    <w:p w14:paraId="0318DCDD" w14:textId="77777777" w:rsidR="003F03EB" w:rsidRDefault="003F03EB" w:rsidP="003F03EB">
      <w:pPr>
        <w:rPr>
          <w:lang w:val="en-US"/>
        </w:rPr>
      </w:pPr>
    </w:p>
    <w:p w14:paraId="14F2A4F1" w14:textId="77777777" w:rsidR="00D473A3" w:rsidRDefault="00D473A3" w:rsidP="003F03EB">
      <w:pPr>
        <w:rPr>
          <w:lang w:val="en-US"/>
        </w:rPr>
      </w:pPr>
    </w:p>
    <w:p w14:paraId="78AE55EF" w14:textId="77777777" w:rsidR="001032BF" w:rsidRDefault="001032BF" w:rsidP="003F03EB">
      <w:pPr>
        <w:rPr>
          <w:lang w:val="en-US"/>
        </w:rPr>
      </w:pPr>
    </w:p>
    <w:p w14:paraId="17D6D1E2" w14:textId="77777777" w:rsidR="001032BF" w:rsidRDefault="001032BF" w:rsidP="003F03EB">
      <w:pPr>
        <w:rPr>
          <w:lang w:val="en-US"/>
        </w:rPr>
      </w:pPr>
    </w:p>
    <w:p w14:paraId="2296706F" w14:textId="77777777" w:rsidR="001032BF" w:rsidRDefault="001032BF" w:rsidP="003F03EB">
      <w:pPr>
        <w:rPr>
          <w:lang w:val="en-US"/>
        </w:rPr>
      </w:pPr>
    </w:p>
    <w:p w14:paraId="18EEB342" w14:textId="77777777" w:rsidR="001032BF" w:rsidRDefault="001032BF" w:rsidP="003F03EB">
      <w:pPr>
        <w:rPr>
          <w:lang w:val="en-US"/>
        </w:rPr>
      </w:pPr>
    </w:p>
    <w:p w14:paraId="2F57AD55" w14:textId="77777777" w:rsidR="00D473A3" w:rsidRDefault="00D473A3" w:rsidP="003F03EB">
      <w:pPr>
        <w:rPr>
          <w:lang w:val="en-US"/>
        </w:rPr>
      </w:pPr>
    </w:p>
    <w:p w14:paraId="29CFAB58" w14:textId="77777777" w:rsidR="001032BF" w:rsidRDefault="001032BF" w:rsidP="003F03EB">
      <w:pPr>
        <w:rPr>
          <w:lang w:val="en-US"/>
        </w:rPr>
      </w:pPr>
    </w:p>
    <w:p w14:paraId="0629A1A4" w14:textId="77777777" w:rsidR="001032BF" w:rsidRDefault="001032BF" w:rsidP="003F03EB">
      <w:pPr>
        <w:rPr>
          <w:lang w:val="en-US"/>
        </w:rPr>
      </w:pPr>
    </w:p>
    <w:p w14:paraId="356C6C04" w14:textId="77777777" w:rsidR="003F03EB" w:rsidRDefault="003F03EB" w:rsidP="003F03EB">
      <w:pPr>
        <w:rPr>
          <w:lang w:val="en-US"/>
        </w:rPr>
      </w:pPr>
    </w:p>
    <w:p w14:paraId="30B60A03" w14:textId="77777777" w:rsidR="001032BF" w:rsidRDefault="001032BF" w:rsidP="003F03EB">
      <w:pPr>
        <w:rPr>
          <w:lang w:val="en-US"/>
        </w:rPr>
      </w:pPr>
    </w:p>
    <w:p w14:paraId="7EC8BE3B" w14:textId="77777777" w:rsidR="001032BF" w:rsidRDefault="001032BF" w:rsidP="003F03EB">
      <w:pPr>
        <w:rPr>
          <w:lang w:val="en-US"/>
        </w:rPr>
      </w:pPr>
    </w:p>
    <w:p w14:paraId="02CB33C2" w14:textId="77777777" w:rsidR="001032BF" w:rsidRDefault="001032BF" w:rsidP="003F03EB">
      <w:pPr>
        <w:rPr>
          <w:lang w:val="en-US"/>
        </w:rPr>
      </w:pPr>
    </w:p>
    <w:p w14:paraId="325AA3D6" w14:textId="77777777" w:rsidR="001032BF" w:rsidRPr="003F03EB" w:rsidRDefault="001032BF" w:rsidP="003F03EB">
      <w:pPr>
        <w:rPr>
          <w:lang w:val="en-US"/>
        </w:rPr>
      </w:pPr>
    </w:p>
    <w:p w14:paraId="7832287A" w14:textId="737F4F34" w:rsidR="00CA5EDF" w:rsidRDefault="00C26728" w:rsidP="00CA5EDF">
      <w:pPr>
        <w:pStyle w:val="Heading2"/>
      </w:pPr>
      <w:bookmarkStart w:id="4" w:name="_Toc214142176"/>
      <w:r>
        <w:lastRenderedPageBreak/>
        <w:t>3</w:t>
      </w:r>
      <w:r w:rsidR="002106A5">
        <w:t>.</w:t>
      </w:r>
      <w:r>
        <w:t xml:space="preserve"> </w:t>
      </w:r>
      <w:bookmarkStart w:id="5" w:name="_Hlk213679927"/>
      <w:r w:rsidR="00CA5EDF" w:rsidRPr="00CA5EDF">
        <w:t>Person-Centred Care</w:t>
      </w:r>
      <w:bookmarkEnd w:id="4"/>
      <w:r w:rsidR="00CA5EDF" w:rsidRPr="00CA5EDF">
        <w:t xml:space="preserve"> </w:t>
      </w:r>
      <w:bookmarkEnd w:id="5"/>
    </w:p>
    <w:p w14:paraId="07E46F34" w14:textId="6E1D3D1E" w:rsidR="001C00C0" w:rsidRDefault="00EB1A85" w:rsidP="001C00C0">
      <w:r>
        <w:t>PCC</w:t>
      </w:r>
      <w:r w:rsidRPr="00EB1A85">
        <w:t xml:space="preserve"> has been defined in many ways in the literature</w:t>
      </w:r>
      <w:r w:rsidR="00982217">
        <w:t xml:space="preserve">. </w:t>
      </w:r>
      <w:r w:rsidR="00C635C6" w:rsidRPr="005E494A">
        <w:t>PCC is a methodical approach that focuses on an individual's priorities, involving the collaborative development of goals, plans, and evaluations; one person, one plan; proactive care; and ongoing review and adjustment</w:t>
      </w:r>
      <w:r w:rsidR="00C635C6">
        <w:t xml:space="preserve"> </w:t>
      </w:r>
      <w:r w:rsidR="00C635C6" w:rsidRPr="00393506">
        <w:rPr>
          <w:color w:val="000000" w:themeColor="text1"/>
        </w:rPr>
        <w:t xml:space="preserve">(Berntsen </w:t>
      </w:r>
      <w:r w:rsidR="00C635C6" w:rsidRPr="00393506">
        <w:rPr>
          <w:i/>
          <w:iCs/>
          <w:color w:val="000000" w:themeColor="text1"/>
        </w:rPr>
        <w:t xml:space="preserve">et al., </w:t>
      </w:r>
      <w:r w:rsidR="00C635C6" w:rsidRPr="00393506">
        <w:rPr>
          <w:color w:val="000000" w:themeColor="text1"/>
        </w:rPr>
        <w:t>2021)</w:t>
      </w:r>
      <w:r w:rsidR="00C635C6">
        <w:t xml:space="preserve">. </w:t>
      </w:r>
      <w:r w:rsidR="00BA2F88" w:rsidRPr="00BA2F88">
        <w:rPr>
          <w:rFonts w:cs="Arial"/>
          <w:lang w:val="en-US"/>
        </w:rPr>
        <w:t xml:space="preserve">This perspective has evolved since the 1950s and 1960s, influenced by theorists like </w:t>
      </w:r>
      <w:r w:rsidR="00BA2F88" w:rsidRPr="007D6C84">
        <w:rPr>
          <w:rFonts w:cs="Arial"/>
          <w:color w:val="000000" w:themeColor="text1"/>
          <w:lang w:val="en-US"/>
        </w:rPr>
        <w:t>Rogers and Balint</w:t>
      </w:r>
      <w:r w:rsidR="00C82367" w:rsidRPr="007D6C84">
        <w:rPr>
          <w:rFonts w:cs="Arial"/>
          <w:color w:val="000000" w:themeColor="text1"/>
          <w:lang w:val="en-US"/>
        </w:rPr>
        <w:t xml:space="preserve"> (</w:t>
      </w:r>
      <w:r w:rsidR="004F26DE" w:rsidRPr="007D6C84">
        <w:rPr>
          <w:rFonts w:cs="Arial"/>
          <w:color w:val="000000" w:themeColor="text1"/>
          <w:lang w:val="en-US"/>
        </w:rPr>
        <w:t>2005</w:t>
      </w:r>
      <w:r w:rsidR="00C82367" w:rsidRPr="007D6C84">
        <w:rPr>
          <w:rFonts w:cs="Arial"/>
          <w:color w:val="000000" w:themeColor="text1"/>
          <w:lang w:val="en-US"/>
        </w:rPr>
        <w:t>)</w:t>
      </w:r>
      <w:r w:rsidR="00BA2F88" w:rsidRPr="00BA2F88">
        <w:rPr>
          <w:rFonts w:cs="Arial"/>
          <w:lang w:val="en-US"/>
        </w:rPr>
        <w:t xml:space="preserve">, who </w:t>
      </w:r>
      <w:r w:rsidR="00BA2F88">
        <w:rPr>
          <w:rFonts w:cs="Arial"/>
          <w:lang w:val="en-US"/>
        </w:rPr>
        <w:t>emphasised</w:t>
      </w:r>
      <w:r w:rsidR="00BA2F88" w:rsidRPr="00BA2F88">
        <w:rPr>
          <w:rFonts w:cs="Arial"/>
          <w:lang w:val="en-US"/>
        </w:rPr>
        <w:t xml:space="preserve"> the uniqueness of each patient</w:t>
      </w:r>
      <w:r w:rsidR="00BA2F88">
        <w:rPr>
          <w:rFonts w:cs="Arial"/>
          <w:lang w:val="en-US"/>
        </w:rPr>
        <w:t xml:space="preserve"> </w:t>
      </w:r>
      <w:r w:rsidR="00BA2F88" w:rsidRPr="00AF0B17">
        <w:rPr>
          <w:color w:val="000000" w:themeColor="text1"/>
        </w:rPr>
        <w:t>(Byrne, Baldwin, and Harvey, 2020)</w:t>
      </w:r>
      <w:r w:rsidR="00BE293F">
        <w:t>.</w:t>
      </w:r>
      <w:r w:rsidR="00982217">
        <w:t xml:space="preserve"> </w:t>
      </w:r>
      <w:r w:rsidR="00BE293F" w:rsidRPr="00BE293F">
        <w:t>PCC is a significant topic in healthcare conversations</w:t>
      </w:r>
      <w:r w:rsidR="00BE293F">
        <w:t>. Yet, it</w:t>
      </w:r>
      <w:r w:rsidR="00BE293F" w:rsidRPr="00BE293F">
        <w:t xml:space="preserve"> lacks a </w:t>
      </w:r>
      <w:r w:rsidR="00BE293F">
        <w:t>standard</w:t>
      </w:r>
      <w:r w:rsidR="00BE293F" w:rsidRPr="00BE293F">
        <w:t xml:space="preserve"> definition across the nursing field and the broader healthcare community, which poses a serious challenge to uniform implementation. Current frameworks often identify three key themes vital to understanding PCC: People (acknowledging the individual behind the patient), Practice (the approaches and methods used), and Power (confronting inequalities in care relationships)</w:t>
      </w:r>
      <w:r w:rsidR="001C00C0">
        <w:t xml:space="preserve"> </w:t>
      </w:r>
      <w:r w:rsidR="001C00C0" w:rsidRPr="00AF0B17">
        <w:rPr>
          <w:color w:val="000000" w:themeColor="text1"/>
        </w:rPr>
        <w:t>(Byrne, Baldwin and Harvey, 2020).</w:t>
      </w:r>
      <w:r w:rsidR="009532F8">
        <w:t xml:space="preserve"> </w:t>
      </w:r>
    </w:p>
    <w:p w14:paraId="45B88030" w14:textId="325E4673" w:rsidR="00893AB6" w:rsidRDefault="00C26728" w:rsidP="00C26728">
      <w:pPr>
        <w:pStyle w:val="Heading3"/>
      </w:pPr>
      <w:bookmarkStart w:id="6" w:name="_Toc214142177"/>
      <w:r>
        <w:t xml:space="preserve">3.1 </w:t>
      </w:r>
      <w:r w:rsidRPr="00C26728">
        <w:t xml:space="preserve">Benefits and Limitations in </w:t>
      </w:r>
      <w:r w:rsidR="00E9060D">
        <w:t>EDs</w:t>
      </w:r>
      <w:bookmarkEnd w:id="6"/>
    </w:p>
    <w:p w14:paraId="15BB41FD" w14:textId="7488C5C5" w:rsidR="00CF30AA" w:rsidRDefault="005C2353" w:rsidP="001C00C0">
      <w:bookmarkStart w:id="7" w:name="_Hlk214127943"/>
      <w:r w:rsidRPr="00403E42">
        <w:t xml:space="preserve">The benefits of effective PCC implementation are </w:t>
      </w:r>
      <w:r>
        <w:t>well documented, including boosting patient satisfaction, improving treatment adherence, and enhancing</w:t>
      </w:r>
      <w:r w:rsidRPr="00403E42">
        <w:t xml:space="preserve"> health outcomes by aligning care with patients' values and preferences</w:t>
      </w:r>
      <w:r w:rsidR="009148F3">
        <w:t xml:space="preserve"> </w:t>
      </w:r>
      <w:bookmarkEnd w:id="7"/>
      <w:r w:rsidR="009148F3">
        <w:t>(</w:t>
      </w:r>
      <w:r w:rsidR="009148F3" w:rsidRPr="00087C27">
        <w:t>Walsh</w:t>
      </w:r>
      <w:r w:rsidR="009148F3">
        <w:t xml:space="preserve"> </w:t>
      </w:r>
      <w:r w:rsidR="009148F3">
        <w:rPr>
          <w:i/>
          <w:iCs/>
        </w:rPr>
        <w:t>et al.,</w:t>
      </w:r>
      <w:r w:rsidR="009148F3">
        <w:t>22).</w:t>
      </w:r>
      <w:r w:rsidR="00AE3D24">
        <w:t xml:space="preserve"> </w:t>
      </w:r>
      <w:r w:rsidR="00AE3D24" w:rsidRPr="00AE3D24">
        <w:t xml:space="preserve">Key elements of PCC in EDs </w:t>
      </w:r>
      <w:r w:rsidR="00141E60">
        <w:t xml:space="preserve">include emotional support, effective communication, patient education, family involvement in decision-making, respectful interactions, and continuity of care (Walsh </w:t>
      </w:r>
      <w:r w:rsidR="00141E60" w:rsidRPr="00141E60">
        <w:rPr>
          <w:i/>
          <w:iCs/>
        </w:rPr>
        <w:t xml:space="preserve">et al., </w:t>
      </w:r>
      <w:r w:rsidR="00AE3D24">
        <w:t>22).</w:t>
      </w:r>
      <w:r w:rsidR="00116910">
        <w:t xml:space="preserve"> </w:t>
      </w:r>
      <w:r w:rsidR="00116910" w:rsidRPr="00116910">
        <w:t>These components are vital in EDs, where patients often experience vulnerability, anxiety, and disempowerment.</w:t>
      </w:r>
      <w:r w:rsidR="00D13FF3">
        <w:t xml:space="preserve"> </w:t>
      </w:r>
      <w:r w:rsidR="00D13FF3" w:rsidRPr="00D13FF3">
        <w:t xml:space="preserve">A </w:t>
      </w:r>
      <w:r w:rsidR="00994487">
        <w:t xml:space="preserve">case in an </w:t>
      </w:r>
      <w:r w:rsidR="00E9060D">
        <w:t>ED</w:t>
      </w:r>
      <w:r w:rsidR="00994487">
        <w:t xml:space="preserve"> showed that honouring a patient's decision</w:t>
      </w:r>
      <w:r w:rsidR="00D13FF3" w:rsidRPr="00D13FF3">
        <w:t xml:space="preserve"> to discharge against medical advice helped build trust, leading the patient to return for care when their condition worsened</w:t>
      </w:r>
      <w:r w:rsidR="00465852">
        <w:t xml:space="preserve"> </w:t>
      </w:r>
      <w:r w:rsidR="00465852" w:rsidRPr="00465852">
        <w:t>(Dancour, 2024)</w:t>
      </w:r>
      <w:r w:rsidR="00465852">
        <w:t>.</w:t>
      </w:r>
    </w:p>
    <w:p w14:paraId="3B9E261F" w14:textId="7E680632" w:rsidR="005C2353" w:rsidRDefault="006C19F8" w:rsidP="004F3302">
      <w:r w:rsidRPr="006C19F8">
        <w:t>However, PCC also faces limitations, especially in fast-paced ED settings. Common resource barriers include financial cuts, which reduce coordination, workforce capacity, and the quality of care</w:t>
      </w:r>
      <w:r w:rsidR="008C3DF6">
        <w:t xml:space="preserve"> </w:t>
      </w:r>
      <w:r w:rsidR="008C3DF6" w:rsidRPr="008C3DF6">
        <w:t>(Barnard, Calabria and Griffiths, 2023)</w:t>
      </w:r>
      <w:r w:rsidR="008C3DF6">
        <w:t xml:space="preserve">. </w:t>
      </w:r>
      <w:r w:rsidR="004C47C2" w:rsidRPr="004A299E">
        <w:t xml:space="preserve">Many </w:t>
      </w:r>
      <w:r w:rsidR="005A584C" w:rsidRPr="004A299E">
        <w:t>ED</w:t>
      </w:r>
      <w:r w:rsidR="004C47C2" w:rsidRPr="004A299E">
        <w:t>s prioritise efficiency, often at the expense of communication and comfort, thereby</w:t>
      </w:r>
      <w:r w:rsidR="004C47C2" w:rsidRPr="004F26DE">
        <w:t xml:space="preserve"> </w:t>
      </w:r>
      <w:r w:rsidR="004C47C2" w:rsidRPr="004C47C2">
        <w:t>complicating PCC</w:t>
      </w:r>
      <w:r w:rsidR="004C47C2">
        <w:t xml:space="preserve"> (</w:t>
      </w:r>
      <w:r w:rsidR="004C47C2" w:rsidRPr="00087C27">
        <w:t>Walsh</w:t>
      </w:r>
      <w:r w:rsidR="004C47C2">
        <w:t xml:space="preserve"> </w:t>
      </w:r>
      <w:r w:rsidR="004C47C2">
        <w:rPr>
          <w:i/>
          <w:iCs/>
        </w:rPr>
        <w:t>et al.,</w:t>
      </w:r>
      <w:r w:rsidR="00663228">
        <w:rPr>
          <w:i/>
          <w:iCs/>
        </w:rPr>
        <w:t xml:space="preserve"> </w:t>
      </w:r>
      <w:r w:rsidR="004C47C2">
        <w:t>22).</w:t>
      </w:r>
      <w:r w:rsidR="00C23A08">
        <w:t xml:space="preserve"> </w:t>
      </w:r>
      <w:r w:rsidR="00C23A08" w:rsidRPr="00C23A08">
        <w:t>PCC enhances patient experience and outcomes by focusing on individual needs. To summarise, PCC enhances patient experience and outcomes by focusing on individual needs</w:t>
      </w:r>
      <w:r w:rsidR="00C23A08">
        <w:t xml:space="preserve"> (</w:t>
      </w:r>
      <w:r w:rsidR="00C23A08" w:rsidRPr="00087C27">
        <w:t>Walsh</w:t>
      </w:r>
      <w:r w:rsidR="00C23A08">
        <w:t xml:space="preserve"> </w:t>
      </w:r>
      <w:r w:rsidR="00C23A08">
        <w:rPr>
          <w:i/>
          <w:iCs/>
        </w:rPr>
        <w:t>et al.,</w:t>
      </w:r>
      <w:r w:rsidR="00C23A08">
        <w:t>22)</w:t>
      </w:r>
      <w:r w:rsidR="00C23A08" w:rsidRPr="00C23A08">
        <w:t>. In EDs, it involves balancing urgent care with effective communication, patient involvement in decisions, and ensuring comfort.</w:t>
      </w:r>
    </w:p>
    <w:p w14:paraId="0013DE14" w14:textId="77777777" w:rsidR="004F3302" w:rsidRDefault="004F3302" w:rsidP="004F3302"/>
    <w:p w14:paraId="0920F227" w14:textId="652445FF" w:rsidR="009D5516" w:rsidRDefault="009D5516" w:rsidP="009D5516">
      <w:pPr>
        <w:pStyle w:val="Heading2"/>
      </w:pPr>
      <w:bookmarkStart w:id="8" w:name="_Toc214142178"/>
      <w:r w:rsidRPr="009D5516">
        <w:lastRenderedPageBreak/>
        <w:t>4</w:t>
      </w:r>
      <w:r w:rsidR="005C1CB3">
        <w:t>.</w:t>
      </w:r>
      <w:r w:rsidRPr="009D5516">
        <w:t xml:space="preserve"> Relevant Theories</w:t>
      </w:r>
      <w:bookmarkEnd w:id="8"/>
    </w:p>
    <w:p w14:paraId="1E9C854B" w14:textId="7DEC613E" w:rsidR="002A201F" w:rsidRDefault="006E70BB" w:rsidP="009357F5">
      <w:pPr>
        <w:rPr>
          <w:color w:val="000000" w:themeColor="text1"/>
        </w:rPr>
      </w:pPr>
      <w:r w:rsidRPr="006E70BB">
        <w:t>P</w:t>
      </w:r>
      <w:r w:rsidR="009E15FB">
        <w:t>C</w:t>
      </w:r>
      <w:r w:rsidRPr="006E70BB">
        <w:t xml:space="preserve">C is </w:t>
      </w:r>
      <w:r w:rsidR="008D7A88">
        <w:t>grounded in various theoretical frameworks that challenge biomedical reductionism and promote</w:t>
      </w:r>
      <w:r w:rsidRPr="006E70BB">
        <w:t xml:space="preserve"> holistic, collaborative approaches to health and wellbeing.</w:t>
      </w:r>
      <w:r w:rsidR="009357F5">
        <w:t xml:space="preserve"> </w:t>
      </w:r>
      <w:bookmarkStart w:id="9" w:name="_Hlk214128118"/>
      <w:r w:rsidR="009357F5" w:rsidRPr="009357F5">
        <w:t xml:space="preserve">The </w:t>
      </w:r>
      <w:r w:rsidR="00373F90">
        <w:t>BPS</w:t>
      </w:r>
      <w:r w:rsidR="00373F90" w:rsidRPr="001163DC">
        <w:t xml:space="preserve"> </w:t>
      </w:r>
      <w:r w:rsidR="009357F5" w:rsidRPr="001163DC">
        <w:t>model</w:t>
      </w:r>
      <w:r w:rsidR="009357F5" w:rsidRPr="009357F5">
        <w:t xml:space="preserve">, introduced by </w:t>
      </w:r>
      <w:r w:rsidR="009357F5" w:rsidRPr="003D6673">
        <w:t xml:space="preserve">Engel </w:t>
      </w:r>
      <w:r w:rsidR="004F26DE" w:rsidRPr="003D6673">
        <w:t>(</w:t>
      </w:r>
      <w:r w:rsidR="009357F5" w:rsidRPr="003D6673">
        <w:t>1977</w:t>
      </w:r>
      <w:r w:rsidR="004F26DE" w:rsidRPr="003D6673">
        <w:t>)</w:t>
      </w:r>
      <w:r w:rsidR="009357F5" w:rsidRPr="009357F5">
        <w:t>, emphasises that diseases cannot be fully understood through biological factors alone</w:t>
      </w:r>
      <w:r w:rsidR="009357F5">
        <w:t xml:space="preserve"> and incorporates</w:t>
      </w:r>
      <w:r w:rsidR="009357F5" w:rsidRPr="009357F5">
        <w:t xml:space="preserve"> social, psychological, and behavioural aspects of illness</w:t>
      </w:r>
      <w:bookmarkEnd w:id="9"/>
      <w:r w:rsidR="00A95316">
        <w:t xml:space="preserve"> </w:t>
      </w:r>
      <w:r w:rsidR="00A95316" w:rsidRPr="00A95316">
        <w:rPr>
          <w:color w:val="000000" w:themeColor="text1"/>
        </w:rPr>
        <w:t>(Byrne, Baldwin and Harvey, 2020).</w:t>
      </w:r>
      <w:r w:rsidR="00A335D3">
        <w:rPr>
          <w:color w:val="156082" w:themeColor="accent1"/>
        </w:rPr>
        <w:t xml:space="preserve"> </w:t>
      </w:r>
      <w:r w:rsidR="00155E11" w:rsidRPr="00403E42">
        <w:t xml:space="preserve">The BPS (1977) model </w:t>
      </w:r>
      <w:r w:rsidR="00155E11" w:rsidRPr="00A335D3">
        <w:rPr>
          <w:color w:val="000000" w:themeColor="text1"/>
        </w:rPr>
        <w:t>supports</w:t>
      </w:r>
      <w:r w:rsidR="00155E11" w:rsidRPr="00403E42">
        <w:t xml:space="preserve"> PCC by helping practitioners understand the patient's illness experience, crucial for collaboratively setting care objectives</w:t>
      </w:r>
      <w:r w:rsidR="00320047">
        <w:rPr>
          <w:color w:val="000000" w:themeColor="text1"/>
        </w:rPr>
        <w:t xml:space="preserve"> (</w:t>
      </w:r>
      <w:r w:rsidR="00320047" w:rsidRPr="00320047">
        <w:t>Wade</w:t>
      </w:r>
      <w:r w:rsidR="00320047">
        <w:t xml:space="preserve"> </w:t>
      </w:r>
      <w:r w:rsidR="00320047" w:rsidRPr="00320047">
        <w:t>and Halligan,</w:t>
      </w:r>
      <w:r w:rsidR="00320047">
        <w:t xml:space="preserve"> </w:t>
      </w:r>
      <w:r w:rsidR="00320047" w:rsidRPr="00320047">
        <w:t>2017)</w:t>
      </w:r>
      <w:r w:rsidR="00320047">
        <w:t>.</w:t>
      </w:r>
      <w:r w:rsidR="003D5245">
        <w:t xml:space="preserve"> </w:t>
      </w:r>
      <w:r w:rsidR="003D5245" w:rsidRPr="00A5548E">
        <w:t xml:space="preserve">The second framework is </w:t>
      </w:r>
      <w:r w:rsidR="006B4973" w:rsidRPr="00A5548E">
        <w:t>the</w:t>
      </w:r>
      <w:r w:rsidR="00136750" w:rsidRPr="00A5548E">
        <w:t xml:space="preserve"> </w:t>
      </w:r>
      <w:r w:rsidR="006B4973" w:rsidRPr="00A5548E">
        <w:t>GPCC</w:t>
      </w:r>
      <w:r w:rsidR="00267B30">
        <w:t xml:space="preserve"> </w:t>
      </w:r>
      <w:r w:rsidR="003D57D9" w:rsidRPr="00A5548E">
        <w:t>(2011)</w:t>
      </w:r>
      <w:r w:rsidR="006B4973" w:rsidRPr="00A5548E">
        <w:t xml:space="preserve"> model, developed by the University of Gothenburg</w:t>
      </w:r>
      <w:r w:rsidR="006B4973">
        <w:t xml:space="preserve">, which </w:t>
      </w:r>
      <w:r w:rsidR="006B4973" w:rsidRPr="006B4973">
        <w:t>emphasises the uniqueness of each patient and their individual values, thereby enhancing PCC through three key routines: starting, building, and sustaining partnerships with patients</w:t>
      </w:r>
      <w:r w:rsidR="006B4973">
        <w:t xml:space="preserve"> </w:t>
      </w:r>
      <w:r w:rsidR="00E46422" w:rsidRPr="00AF0B17">
        <w:rPr>
          <w:color w:val="000000" w:themeColor="text1"/>
        </w:rPr>
        <w:t>(Fridberg, Wallin and Tistad, 2022)</w:t>
      </w:r>
      <w:r w:rsidR="00E46422" w:rsidRPr="00E46422">
        <w:rPr>
          <w:color w:val="000000" w:themeColor="text1"/>
        </w:rPr>
        <w:t>.</w:t>
      </w:r>
      <w:r w:rsidR="00FB0652">
        <w:rPr>
          <w:color w:val="000000" w:themeColor="text1"/>
        </w:rPr>
        <w:t xml:space="preserve"> </w:t>
      </w:r>
      <w:r w:rsidR="006A74FC" w:rsidRPr="00891C6B">
        <w:rPr>
          <w:color w:val="000000" w:themeColor="text1"/>
        </w:rPr>
        <w:t xml:space="preserve">By following these routines, healthcare providers make treatment decisions collaboratively with patients, </w:t>
      </w:r>
      <w:r w:rsidR="006A74FC">
        <w:rPr>
          <w:color w:val="000000" w:themeColor="text1"/>
        </w:rPr>
        <w:t>taking their preferences into account</w:t>
      </w:r>
      <w:r w:rsidR="00E46422" w:rsidRPr="00E46422">
        <w:rPr>
          <w:color w:val="000000" w:themeColor="text1"/>
        </w:rPr>
        <w:t xml:space="preserve"> </w:t>
      </w:r>
      <w:r w:rsidR="00830BA5" w:rsidRPr="00AF0B17">
        <w:rPr>
          <w:color w:val="000000" w:themeColor="text1"/>
        </w:rPr>
        <w:t>(Fridberg, Wallin and Tistad, 2022)</w:t>
      </w:r>
      <w:r w:rsidR="00FE601D">
        <w:rPr>
          <w:color w:val="000000" w:themeColor="text1"/>
        </w:rPr>
        <w:t>.</w:t>
      </w:r>
    </w:p>
    <w:p w14:paraId="2EFDC18A" w14:textId="3F501E59" w:rsidR="00B00309" w:rsidRPr="00E81E08" w:rsidRDefault="00B00309" w:rsidP="00B00309">
      <w:pPr>
        <w:rPr>
          <w:rFonts w:cs="Arial"/>
          <w:color w:val="000000" w:themeColor="text1"/>
        </w:rPr>
      </w:pPr>
      <w:r w:rsidRPr="00E81E08">
        <w:rPr>
          <w:rFonts w:cs="Arial"/>
          <w:color w:val="000000" w:themeColor="text1"/>
        </w:rPr>
        <w:t xml:space="preserve">Key applications of the </w:t>
      </w:r>
      <w:r w:rsidRPr="003D57D9">
        <w:rPr>
          <w:rFonts w:cs="Arial"/>
        </w:rPr>
        <w:t>GPCC</w:t>
      </w:r>
      <w:r w:rsidR="00267B30">
        <w:rPr>
          <w:rFonts w:cs="Arial"/>
        </w:rPr>
        <w:t xml:space="preserve"> </w:t>
      </w:r>
      <w:r w:rsidR="003D57D9" w:rsidRPr="003D57D9">
        <w:t>(2011)</w:t>
      </w:r>
      <w:r w:rsidRPr="00E81E08">
        <w:rPr>
          <w:rFonts w:cs="Arial"/>
          <w:color w:val="000000" w:themeColor="text1"/>
        </w:rPr>
        <w:t xml:space="preserve"> model in ED:</w:t>
      </w:r>
    </w:p>
    <w:p w14:paraId="57F69C81" w14:textId="77777777" w:rsidR="00B00309" w:rsidRPr="00E81E08" w:rsidRDefault="00B00309" w:rsidP="00B00309">
      <w:pPr>
        <w:numPr>
          <w:ilvl w:val="0"/>
          <w:numId w:val="7"/>
        </w:numPr>
        <w:rPr>
          <w:rFonts w:cs="Arial"/>
        </w:rPr>
      </w:pPr>
      <w:r w:rsidRPr="004776AD">
        <w:rPr>
          <w:rFonts w:cs="Arial"/>
          <w:color w:val="000000" w:themeColor="text1"/>
        </w:rPr>
        <w:t>Concentrating on a caring and empathic method, as well as efficient dialogue, to address patient anxiety and convey information</w:t>
      </w:r>
      <w:r w:rsidRPr="00E81E08">
        <w:rPr>
          <w:rFonts w:cs="Arial"/>
          <w:color w:val="000000" w:themeColor="text1"/>
        </w:rPr>
        <w:t xml:space="preserve"> (</w:t>
      </w:r>
      <w:r w:rsidRPr="00E81E08">
        <w:rPr>
          <w:rFonts w:cs="Arial"/>
        </w:rPr>
        <w:t xml:space="preserve">Milton </w:t>
      </w:r>
      <w:r w:rsidRPr="00E81E08">
        <w:rPr>
          <w:rFonts w:cs="Arial"/>
          <w:i/>
          <w:iCs/>
        </w:rPr>
        <w:t>et al.,</w:t>
      </w:r>
      <w:r w:rsidRPr="00E81E08">
        <w:rPr>
          <w:rFonts w:cs="Arial"/>
        </w:rPr>
        <w:t xml:space="preserve"> 2023).</w:t>
      </w:r>
    </w:p>
    <w:p w14:paraId="2ADEE4BF" w14:textId="77777777" w:rsidR="00B00309" w:rsidRPr="00E81E08" w:rsidRDefault="00B00309" w:rsidP="00B00309">
      <w:pPr>
        <w:numPr>
          <w:ilvl w:val="0"/>
          <w:numId w:val="7"/>
        </w:numPr>
        <w:rPr>
          <w:rFonts w:cs="Arial"/>
          <w:color w:val="000000" w:themeColor="text1"/>
        </w:rPr>
      </w:pPr>
      <w:r w:rsidRPr="00E81E08">
        <w:rPr>
          <w:rFonts w:cs="Arial"/>
          <w:color w:val="000000" w:themeColor="text1"/>
        </w:rPr>
        <w:t>Concise documentation of the patient's narrative is vital to affirm their identity beyond just their medical condition (</w:t>
      </w:r>
      <w:r w:rsidRPr="00E81E08">
        <w:rPr>
          <w:rFonts w:cs="Arial"/>
        </w:rPr>
        <w:t xml:space="preserve">Khorram-Manesh </w:t>
      </w:r>
      <w:r w:rsidRPr="00E81E08">
        <w:rPr>
          <w:rFonts w:cs="Arial"/>
          <w:i/>
          <w:iCs/>
        </w:rPr>
        <w:t>et al.,</w:t>
      </w:r>
      <w:r w:rsidRPr="00E81E08">
        <w:rPr>
          <w:rFonts w:cs="Arial"/>
        </w:rPr>
        <w:t xml:space="preserve"> 2024).</w:t>
      </w:r>
    </w:p>
    <w:p w14:paraId="43FA2BBC" w14:textId="77777777" w:rsidR="00B00309" w:rsidRPr="00511E7E" w:rsidRDefault="00B00309" w:rsidP="00B00309">
      <w:pPr>
        <w:numPr>
          <w:ilvl w:val="0"/>
          <w:numId w:val="7"/>
        </w:numPr>
        <w:rPr>
          <w:rFonts w:cs="Arial"/>
          <w:color w:val="000000" w:themeColor="text1"/>
        </w:rPr>
      </w:pPr>
      <w:r w:rsidRPr="00E81E08">
        <w:rPr>
          <w:rFonts w:cs="Arial"/>
          <w:color w:val="000000" w:themeColor="text1"/>
        </w:rPr>
        <w:t>Helping professionals provide personalised care and ethical solutions, particularly in resource-limited or time-sensitive situations (</w:t>
      </w:r>
      <w:r w:rsidRPr="00E81E08">
        <w:rPr>
          <w:rFonts w:cs="Arial"/>
        </w:rPr>
        <w:t xml:space="preserve">Khorram-Manesh </w:t>
      </w:r>
      <w:r w:rsidRPr="00E81E08">
        <w:rPr>
          <w:rFonts w:cs="Arial"/>
          <w:i/>
          <w:iCs/>
        </w:rPr>
        <w:t>et al.,</w:t>
      </w:r>
      <w:r w:rsidRPr="00E81E08">
        <w:rPr>
          <w:rFonts w:cs="Arial"/>
        </w:rPr>
        <w:t xml:space="preserve"> 2024).</w:t>
      </w:r>
    </w:p>
    <w:p w14:paraId="26092575" w14:textId="4B3FC7EC" w:rsidR="00511E7E" w:rsidRDefault="00511E7E" w:rsidP="00B00309">
      <w:pPr>
        <w:rPr>
          <w:rFonts w:cs="Arial"/>
          <w:color w:val="000000" w:themeColor="text1"/>
        </w:rPr>
      </w:pPr>
      <w:r w:rsidRPr="00511E7E">
        <w:rPr>
          <w:rFonts w:cs="Arial"/>
          <w:color w:val="000000" w:themeColor="text1"/>
        </w:rPr>
        <w:t xml:space="preserve">Person-centred </w:t>
      </w:r>
      <w:r w:rsidR="009E15FB">
        <w:rPr>
          <w:rFonts w:cs="Arial"/>
          <w:color w:val="000000" w:themeColor="text1"/>
        </w:rPr>
        <w:t>model</w:t>
      </w:r>
      <w:r w:rsidRPr="00511E7E">
        <w:rPr>
          <w:rFonts w:cs="Arial"/>
          <w:color w:val="000000" w:themeColor="text1"/>
        </w:rPr>
        <w:t>s can become superficial and just a tick-box exercise in busy emergency departments, undermining their ethical intent.</w:t>
      </w:r>
    </w:p>
    <w:p w14:paraId="6F6C958C" w14:textId="033BE369" w:rsidR="00B00309" w:rsidRPr="00E81E08" w:rsidRDefault="00B00309" w:rsidP="00B00309">
      <w:pPr>
        <w:rPr>
          <w:rFonts w:cs="Arial"/>
          <w:color w:val="000000" w:themeColor="text1"/>
        </w:rPr>
      </w:pPr>
      <w:r w:rsidRPr="00E81E08">
        <w:rPr>
          <w:rFonts w:cs="Arial"/>
          <w:color w:val="000000" w:themeColor="text1"/>
        </w:rPr>
        <w:t xml:space="preserve">Key applications of the </w:t>
      </w:r>
      <w:r w:rsidRPr="00E81E08">
        <w:rPr>
          <w:rFonts w:cs="Arial"/>
        </w:rPr>
        <w:t>BPS</w:t>
      </w:r>
      <w:r w:rsidR="00267B30">
        <w:rPr>
          <w:rFonts w:cs="Arial"/>
        </w:rPr>
        <w:t xml:space="preserve"> </w:t>
      </w:r>
      <w:r w:rsidR="003D57D9" w:rsidRPr="003D57D9">
        <w:t>(1977)</w:t>
      </w:r>
      <w:r w:rsidRPr="00E81E08">
        <w:rPr>
          <w:rFonts w:cs="Arial"/>
          <w:color w:val="000000" w:themeColor="text1"/>
        </w:rPr>
        <w:t xml:space="preserve"> model in ED:</w:t>
      </w:r>
    </w:p>
    <w:p w14:paraId="33B21C4A" w14:textId="2A3C3AC3" w:rsidR="00B00309" w:rsidRPr="00B00309" w:rsidRDefault="00B00309" w:rsidP="00B00309">
      <w:pPr>
        <w:numPr>
          <w:ilvl w:val="0"/>
          <w:numId w:val="8"/>
        </w:numPr>
        <w:rPr>
          <w:rFonts w:cs="Arial"/>
          <w:color w:val="C00000"/>
        </w:rPr>
      </w:pPr>
      <w:r w:rsidRPr="00E81E08">
        <w:rPr>
          <w:rFonts w:cs="Arial"/>
          <w:color w:val="000000" w:themeColor="text1"/>
        </w:rPr>
        <w:t>Identifies patients with high biopsychosocial complexity, such as frequent ED users, with psychosocial needs like mental health issues or social isolation</w:t>
      </w:r>
      <w:r w:rsidR="00030994">
        <w:rPr>
          <w:rFonts w:cs="Arial"/>
          <w:color w:val="000000" w:themeColor="text1"/>
        </w:rPr>
        <w:t xml:space="preserve"> </w:t>
      </w:r>
      <w:r w:rsidR="00030994" w:rsidRPr="00030994">
        <w:rPr>
          <w:rFonts w:cs="Arial"/>
          <w:color w:val="000000" w:themeColor="text1"/>
        </w:rPr>
        <w:t xml:space="preserve">(Matzer </w:t>
      </w:r>
      <w:r w:rsidR="00030994" w:rsidRPr="00030994">
        <w:rPr>
          <w:rFonts w:cs="Arial"/>
          <w:i/>
          <w:iCs/>
          <w:color w:val="000000" w:themeColor="text1"/>
        </w:rPr>
        <w:t>et al.</w:t>
      </w:r>
      <w:r w:rsidR="00030994" w:rsidRPr="00030994">
        <w:rPr>
          <w:rFonts w:cs="Arial"/>
          <w:color w:val="000000" w:themeColor="text1"/>
        </w:rPr>
        <w:t>, 2012).</w:t>
      </w:r>
    </w:p>
    <w:p w14:paraId="52F4033F" w14:textId="0C145116" w:rsidR="00B00309" w:rsidRPr="00E81E08" w:rsidRDefault="00B00309" w:rsidP="00B00309">
      <w:pPr>
        <w:numPr>
          <w:ilvl w:val="0"/>
          <w:numId w:val="8"/>
        </w:numPr>
        <w:rPr>
          <w:rFonts w:cs="Arial"/>
          <w:color w:val="000000" w:themeColor="text1"/>
        </w:rPr>
      </w:pPr>
      <w:r w:rsidRPr="00E81E08">
        <w:rPr>
          <w:rFonts w:cs="Arial"/>
          <w:color w:val="000000" w:themeColor="text1"/>
        </w:rPr>
        <w:t>tackle psychosocial factors with biological treatment, frequently including social workers and case managers in ED-related programs</w:t>
      </w:r>
      <w:r w:rsidR="00030994" w:rsidRPr="00030994">
        <w:rPr>
          <w:rFonts w:cs="Arial"/>
          <w:color w:val="000000" w:themeColor="text1"/>
        </w:rPr>
        <w:t xml:space="preserve"> (Matzer </w:t>
      </w:r>
      <w:r w:rsidR="00030994" w:rsidRPr="00030994">
        <w:rPr>
          <w:rFonts w:cs="Arial"/>
          <w:i/>
          <w:iCs/>
          <w:color w:val="000000" w:themeColor="text1"/>
        </w:rPr>
        <w:t>et al.,</w:t>
      </w:r>
      <w:r w:rsidR="00030994" w:rsidRPr="00030994">
        <w:rPr>
          <w:rFonts w:cs="Arial"/>
          <w:color w:val="000000" w:themeColor="text1"/>
        </w:rPr>
        <w:t xml:space="preserve"> 2012)</w:t>
      </w:r>
      <w:r w:rsidRPr="00E81E08">
        <w:rPr>
          <w:rFonts w:cs="Arial"/>
          <w:color w:val="000000" w:themeColor="text1"/>
        </w:rPr>
        <w:t>.</w:t>
      </w:r>
    </w:p>
    <w:p w14:paraId="6CBC4990" w14:textId="7D268597" w:rsidR="002106A5" w:rsidRDefault="00B00309" w:rsidP="002106A5">
      <w:pPr>
        <w:numPr>
          <w:ilvl w:val="0"/>
          <w:numId w:val="8"/>
        </w:numPr>
        <w:rPr>
          <w:rFonts w:cs="Arial"/>
          <w:color w:val="000000" w:themeColor="text1"/>
        </w:rPr>
      </w:pPr>
      <w:r w:rsidRPr="00E81E08">
        <w:rPr>
          <w:rFonts w:cs="Arial"/>
          <w:color w:val="000000" w:themeColor="text1"/>
        </w:rPr>
        <w:t>Gain a better understanding of the full illness to provide PCC that improves treatment adherence and health outcomes</w:t>
      </w:r>
      <w:r>
        <w:rPr>
          <w:rFonts w:cs="Arial"/>
          <w:color w:val="000000" w:themeColor="text1"/>
        </w:rPr>
        <w:t xml:space="preserve"> </w:t>
      </w:r>
      <w:r w:rsidRPr="00B00309">
        <w:rPr>
          <w:rFonts w:cs="Arial"/>
          <w:color w:val="000000" w:themeColor="text1"/>
        </w:rPr>
        <w:t xml:space="preserve">(Mezzich </w:t>
      </w:r>
      <w:r w:rsidRPr="00BE4FA2">
        <w:rPr>
          <w:rFonts w:cs="Arial"/>
          <w:i/>
          <w:iCs/>
          <w:color w:val="000000" w:themeColor="text1"/>
        </w:rPr>
        <w:t>et al</w:t>
      </w:r>
      <w:r w:rsidRPr="00B00309">
        <w:rPr>
          <w:rFonts w:cs="Arial"/>
          <w:color w:val="000000" w:themeColor="text1"/>
        </w:rPr>
        <w:t>., 2010)</w:t>
      </w:r>
      <w:r>
        <w:rPr>
          <w:rFonts w:cs="Arial"/>
          <w:color w:val="000000" w:themeColor="text1"/>
        </w:rPr>
        <w:t>.</w:t>
      </w:r>
    </w:p>
    <w:p w14:paraId="213B63CC" w14:textId="6E77B14E" w:rsidR="005C7890" w:rsidRDefault="005C7890" w:rsidP="005C7890">
      <w:pPr>
        <w:rPr>
          <w:rFonts w:cs="Arial"/>
          <w:color w:val="000000" w:themeColor="text1"/>
        </w:rPr>
      </w:pPr>
      <w:r w:rsidRPr="005C7890">
        <w:rPr>
          <w:rFonts w:cs="Arial"/>
          <w:color w:val="000000" w:themeColor="text1"/>
        </w:rPr>
        <w:lastRenderedPageBreak/>
        <w:t>Although the biopsychosocial model provides holistic care, its use in the emergency department is often limited by systemic pressures that reduce complex needs to manageable tasks.</w:t>
      </w:r>
    </w:p>
    <w:p w14:paraId="44334640" w14:textId="77777777" w:rsidR="002106A5" w:rsidRDefault="002106A5" w:rsidP="002106A5">
      <w:pPr>
        <w:pStyle w:val="Heading2"/>
        <w:rPr>
          <w:rFonts w:ascii="Times New Roman" w:hAnsi="Times New Roman"/>
        </w:rPr>
      </w:pPr>
      <w:bookmarkStart w:id="10" w:name="_Toc214142179"/>
      <w:r>
        <w:t>5. Ethical Fundamentals</w:t>
      </w:r>
      <w:bookmarkEnd w:id="10"/>
    </w:p>
    <w:p w14:paraId="63EC3843" w14:textId="77777777" w:rsidR="00D54EC0" w:rsidRDefault="001D179A" w:rsidP="00723835">
      <w:pPr>
        <w:rPr>
          <w:rFonts w:cs="Arial"/>
          <w:color w:val="000000" w:themeColor="text1"/>
        </w:rPr>
      </w:pPr>
      <w:r w:rsidRPr="001D179A">
        <w:rPr>
          <w:rFonts w:cs="Arial"/>
          <w:color w:val="000000" w:themeColor="text1"/>
        </w:rPr>
        <w:t xml:space="preserve">The four primary ethical principles proposed by Beauchamp and Childress (1979) provide a framework for biomedical ethics: </w:t>
      </w:r>
      <w:r w:rsidRPr="00AF0B17">
        <w:rPr>
          <w:rFonts w:cs="Arial"/>
          <w:color w:val="000000" w:themeColor="text1"/>
        </w:rPr>
        <w:t>Respect for Autonomy</w:t>
      </w:r>
      <w:r w:rsidRPr="001D179A">
        <w:rPr>
          <w:rFonts w:cs="Arial"/>
          <w:color w:val="000000" w:themeColor="text1"/>
        </w:rPr>
        <w:t xml:space="preserve"> (self-governance), </w:t>
      </w:r>
      <w:r w:rsidRPr="00AF0B17">
        <w:rPr>
          <w:rFonts w:cs="Arial"/>
          <w:color w:val="000000" w:themeColor="text1"/>
        </w:rPr>
        <w:t>Non-maleficence</w:t>
      </w:r>
      <w:r w:rsidRPr="001D179A">
        <w:rPr>
          <w:rFonts w:cs="Arial"/>
          <w:color w:val="000000" w:themeColor="text1"/>
        </w:rPr>
        <w:t xml:space="preserve"> (prevent harm), </w:t>
      </w:r>
      <w:r w:rsidRPr="00AF0B17">
        <w:rPr>
          <w:rFonts w:cs="Arial"/>
          <w:color w:val="000000" w:themeColor="text1"/>
        </w:rPr>
        <w:t>Beneficence</w:t>
      </w:r>
      <w:r w:rsidRPr="001D179A">
        <w:rPr>
          <w:rFonts w:cs="Arial"/>
          <w:color w:val="000000" w:themeColor="text1"/>
        </w:rPr>
        <w:t xml:space="preserve"> (act in the patient's interest), and Justice (fairness in the distribution of risks and benefits)</w:t>
      </w:r>
      <w:r w:rsidR="00380911">
        <w:rPr>
          <w:rFonts w:cs="Arial"/>
          <w:color w:val="000000" w:themeColor="text1"/>
        </w:rPr>
        <w:t xml:space="preserve"> </w:t>
      </w:r>
      <w:r w:rsidR="00380911" w:rsidRPr="00726255">
        <w:rPr>
          <w:rFonts w:cs="Arial"/>
        </w:rPr>
        <w:t>(Beauchamp and Childress, 2013)</w:t>
      </w:r>
      <w:r w:rsidR="00380911">
        <w:rPr>
          <w:rFonts w:cs="Arial"/>
          <w:color w:val="000000" w:themeColor="text1"/>
        </w:rPr>
        <w:t>.</w:t>
      </w:r>
      <w:r w:rsidR="005C0D31">
        <w:rPr>
          <w:rFonts w:cs="Arial"/>
          <w:color w:val="000000" w:themeColor="text1"/>
        </w:rPr>
        <w:t xml:space="preserve"> </w:t>
      </w:r>
    </w:p>
    <w:p w14:paraId="5E993A26" w14:textId="0F77DF8C" w:rsidR="000B1D5D" w:rsidRPr="004B02F6" w:rsidRDefault="004B02F6" w:rsidP="00723835">
      <w:r w:rsidRPr="00F74E44">
        <w:t xml:space="preserve">PCC is based on </w:t>
      </w:r>
      <w:r>
        <w:t>a</w:t>
      </w:r>
      <w:r w:rsidRPr="00F74E44">
        <w:t>utonomy, requiring practitioners to share decision-making and respect a patient's right to refuse treatment if they are capable of making that choice, even against clinical guidance</w:t>
      </w:r>
      <w:r>
        <w:t xml:space="preserve"> </w:t>
      </w:r>
      <w:r w:rsidR="00EA7655" w:rsidRPr="004D6430">
        <w:rPr>
          <w:color w:val="000000" w:themeColor="text1"/>
        </w:rPr>
        <w:t xml:space="preserve">(Hess </w:t>
      </w:r>
      <w:r w:rsidR="00EA7655" w:rsidRPr="00B6581B">
        <w:rPr>
          <w:i/>
          <w:iCs/>
          <w:color w:val="000000" w:themeColor="text1"/>
        </w:rPr>
        <w:t>et al</w:t>
      </w:r>
      <w:r w:rsidR="00EA7655" w:rsidRPr="004D6430">
        <w:rPr>
          <w:color w:val="000000" w:themeColor="text1"/>
        </w:rPr>
        <w:t>., 2016)</w:t>
      </w:r>
      <w:r w:rsidR="00EA7655">
        <w:rPr>
          <w:color w:val="000000" w:themeColor="text1"/>
        </w:rPr>
        <w:t xml:space="preserve">. </w:t>
      </w:r>
      <w:r w:rsidR="00F75353" w:rsidRPr="00EA1070">
        <w:t xml:space="preserve">In PCC, </w:t>
      </w:r>
      <w:r w:rsidR="00F75353" w:rsidRPr="00AF0B17">
        <w:t>beneficence</w:t>
      </w:r>
      <w:r w:rsidR="00F75353" w:rsidRPr="00EA1070">
        <w:t xml:space="preserve"> extends beyond medical issues to promote overall well-being, aligning with the World Health Organization</w:t>
      </w:r>
      <w:r w:rsidR="00F75353">
        <w:t xml:space="preserve"> (WHO)</w:t>
      </w:r>
      <w:r w:rsidR="00F75353" w:rsidRPr="00EA1070">
        <w:t>'s vision for equal access to quality health services tailored to individual needs</w:t>
      </w:r>
      <w:r w:rsidR="00E66591">
        <w:t xml:space="preserve"> </w:t>
      </w:r>
      <w:r w:rsidR="00E66591" w:rsidRPr="00AF0B17">
        <w:rPr>
          <w:color w:val="000000" w:themeColor="text1"/>
        </w:rPr>
        <w:t>(Byrne, Baldwin and Harvey, 2020)</w:t>
      </w:r>
      <w:r w:rsidR="00E66591">
        <w:rPr>
          <w:color w:val="156082" w:themeColor="accent1"/>
        </w:rPr>
        <w:t>.</w:t>
      </w:r>
      <w:r w:rsidR="000B0ED2">
        <w:rPr>
          <w:color w:val="156082" w:themeColor="accent1"/>
        </w:rPr>
        <w:t xml:space="preserve"> </w:t>
      </w:r>
      <w:r w:rsidR="000B0ED2" w:rsidRPr="000B0ED2">
        <w:rPr>
          <w:color w:val="000000" w:themeColor="text1"/>
        </w:rPr>
        <w:t xml:space="preserve">In PCC, </w:t>
      </w:r>
      <w:r w:rsidR="000B0ED2" w:rsidRPr="00AF0B17">
        <w:rPr>
          <w:color w:val="000000" w:themeColor="text1"/>
        </w:rPr>
        <w:t>non-maleficence</w:t>
      </w:r>
      <w:r w:rsidR="000B0ED2" w:rsidRPr="000B0ED2">
        <w:rPr>
          <w:color w:val="000000" w:themeColor="text1"/>
        </w:rPr>
        <w:t xml:space="preserve"> involves preventing harm, ensuring patient safety, and viewing patients as active collaborators in their care</w:t>
      </w:r>
      <w:r w:rsidR="006633C6">
        <w:rPr>
          <w:color w:val="000000" w:themeColor="text1"/>
        </w:rPr>
        <w:t xml:space="preserve"> </w:t>
      </w:r>
      <w:r w:rsidR="006633C6" w:rsidRPr="006633C6">
        <w:rPr>
          <w:color w:val="000000" w:themeColor="text1"/>
        </w:rPr>
        <w:t xml:space="preserve">(Tomaselli </w:t>
      </w:r>
      <w:r w:rsidR="006633C6" w:rsidRPr="006633C6">
        <w:rPr>
          <w:i/>
          <w:iCs/>
          <w:color w:val="000000" w:themeColor="text1"/>
        </w:rPr>
        <w:t>et al</w:t>
      </w:r>
      <w:r w:rsidR="006633C6" w:rsidRPr="006633C6">
        <w:rPr>
          <w:color w:val="000000" w:themeColor="text1"/>
        </w:rPr>
        <w:t>., 2020)</w:t>
      </w:r>
      <w:r w:rsidR="00F61DEF">
        <w:rPr>
          <w:color w:val="000000" w:themeColor="text1"/>
        </w:rPr>
        <w:t>.</w:t>
      </w:r>
      <w:r w:rsidR="004C5B56">
        <w:rPr>
          <w:color w:val="000000" w:themeColor="text1"/>
        </w:rPr>
        <w:t xml:space="preserve"> </w:t>
      </w:r>
      <w:r w:rsidR="00293044" w:rsidRPr="00F74E44">
        <w:t xml:space="preserve">Justice </w:t>
      </w:r>
      <w:r w:rsidR="00293044" w:rsidRPr="004C5B56">
        <w:rPr>
          <w:color w:val="000000" w:themeColor="text1"/>
        </w:rPr>
        <w:t>demands fair</w:t>
      </w:r>
      <w:r w:rsidR="00293044" w:rsidRPr="00F74E44">
        <w:t xml:space="preserve"> access to PCC for diverse populations and addressing disparities in its delivery</w:t>
      </w:r>
      <w:r w:rsidR="00293044">
        <w:t xml:space="preserve"> </w:t>
      </w:r>
      <w:r w:rsidR="000602CF">
        <w:rPr>
          <w:color w:val="000000" w:themeColor="text1"/>
        </w:rPr>
        <w:t>(</w:t>
      </w:r>
      <w:r w:rsidR="000602CF" w:rsidRPr="000602CF">
        <w:t>Santana</w:t>
      </w:r>
      <w:r w:rsidR="000602CF">
        <w:t xml:space="preserve"> </w:t>
      </w:r>
      <w:r w:rsidR="000602CF">
        <w:rPr>
          <w:i/>
          <w:iCs/>
        </w:rPr>
        <w:t>et al</w:t>
      </w:r>
      <w:r w:rsidR="000602CF">
        <w:t>., 2018).</w:t>
      </w:r>
      <w:r w:rsidR="00723835">
        <w:t xml:space="preserve"> In PW, r</w:t>
      </w:r>
      <w:r w:rsidR="00723835" w:rsidRPr="0089791B">
        <w:t>espect for autonomy values each partner's choices</w:t>
      </w:r>
      <w:r w:rsidR="00723835">
        <w:t>, and b</w:t>
      </w:r>
      <w:r w:rsidR="00723835" w:rsidRPr="0089791B">
        <w:t xml:space="preserve">eneficence encourages </w:t>
      </w:r>
      <w:r w:rsidR="00723835">
        <w:t>actions that benefit</w:t>
      </w:r>
      <w:r w:rsidR="00723835" w:rsidRPr="0089791B">
        <w:t xml:space="preserve"> both parties. </w:t>
      </w:r>
      <w:r w:rsidR="00723835">
        <w:t xml:space="preserve">On the other hand, </w:t>
      </w:r>
      <w:r w:rsidR="00723835" w:rsidRPr="0089791B">
        <w:t>Non-maleficence focuses on preventing harm, while justice ensures fair contributions and resource sharing</w:t>
      </w:r>
      <w:r w:rsidR="00723835">
        <w:t xml:space="preserve"> </w:t>
      </w:r>
      <w:r w:rsidR="00723835" w:rsidRPr="00723835">
        <w:t>(Varkey, 202</w:t>
      </w:r>
      <w:r w:rsidR="009D4690">
        <w:t>1</w:t>
      </w:r>
      <w:r w:rsidR="00723835" w:rsidRPr="00723835">
        <w:t>)</w:t>
      </w:r>
      <w:r w:rsidR="00723835">
        <w:t>.</w:t>
      </w:r>
      <w:r w:rsidR="000B1D5D">
        <w:t xml:space="preserve"> </w:t>
      </w:r>
      <w:r w:rsidR="00293044" w:rsidRPr="00F74E44">
        <w:t xml:space="preserve">Despite PCC and PW adhering to ethical standards, challenges </w:t>
      </w:r>
      <w:r w:rsidR="00293044">
        <w:t>remain in balancing autonomy with clinical judgment and resource constraints</w:t>
      </w:r>
      <w:r w:rsidR="00293044" w:rsidRPr="00F74E44">
        <w:t>. Cultural differences, communication barriers, and systemic inequalities can hinder collaboration and impact ethical ideals in healthcare.</w:t>
      </w:r>
    </w:p>
    <w:p w14:paraId="4184C775" w14:textId="4DD799B7" w:rsidR="00A73531" w:rsidRPr="00776E3A" w:rsidRDefault="00776E3A" w:rsidP="00776E3A">
      <w:pPr>
        <w:pStyle w:val="Heading3"/>
      </w:pPr>
      <w:bookmarkStart w:id="11" w:name="_Toc214142180"/>
      <w:r w:rsidRPr="00776E3A">
        <w:t xml:space="preserve">5.2 Ethical Dilemmas and Resolutions in </w:t>
      </w:r>
      <w:r>
        <w:t>EDs</w:t>
      </w:r>
      <w:bookmarkEnd w:id="11"/>
    </w:p>
    <w:p w14:paraId="4584C023" w14:textId="2491F1E3" w:rsidR="00D26927" w:rsidRDefault="00A73531" w:rsidP="00A73531">
      <w:bookmarkStart w:id="12" w:name="_Hlk214134693"/>
      <w:r w:rsidRPr="00060904">
        <w:t>EDs</w:t>
      </w:r>
      <w:r>
        <w:t xml:space="preserve"> face several ethical challenges related to key principles</w:t>
      </w:r>
      <w:r w:rsidR="00D54EC0">
        <w:t>.</w:t>
      </w:r>
      <w:r>
        <w:t xml:space="preserve"> For instance, in triage decisions, a doctor may prioritise treating a younger patient with a poorer prognosis over an older patient, raising concerns about fairness. </w:t>
      </w:r>
      <w:r w:rsidR="00060904" w:rsidRPr="008435A0">
        <w:t>Additionally, patient autonomy often suffers in the fast-paced ED environment, and delays can compromise non-maleficence, leading to harm</w:t>
      </w:r>
      <w:bookmarkEnd w:id="12"/>
      <w:r w:rsidR="00060904">
        <w:t xml:space="preserve"> </w:t>
      </w:r>
      <w:r w:rsidR="00AC19BD" w:rsidRPr="00267B30">
        <w:t>(Aacharya, Gastmans and Denier, 2011).</w:t>
      </w:r>
      <w:r w:rsidR="00AC19BD" w:rsidRPr="00EA57C0">
        <w:rPr>
          <w:color w:val="EE0000"/>
        </w:rPr>
        <w:t xml:space="preserve"> </w:t>
      </w:r>
      <w:r w:rsidR="00981B04" w:rsidRPr="00920B6C">
        <w:t xml:space="preserve">Collaborative efforts in medicine could enhance decision-making, but power imbalances and inconsistent rules hinder fair resource distribution. </w:t>
      </w:r>
      <w:r w:rsidR="00981B04">
        <w:t>Ultimately, e</w:t>
      </w:r>
      <w:r w:rsidR="00981B04" w:rsidRPr="00920B6C">
        <w:t>thical guidelines often fail in practice, highlighting the need for a thorough system redesign rather than just new policies.</w:t>
      </w:r>
    </w:p>
    <w:p w14:paraId="33C7C69D" w14:textId="08F35011" w:rsidR="00D26927" w:rsidRDefault="00D26927" w:rsidP="00D26927">
      <w:pPr>
        <w:pStyle w:val="Heading2"/>
      </w:pPr>
      <w:bookmarkStart w:id="13" w:name="_Toc214142181"/>
      <w:r w:rsidRPr="00D26927">
        <w:lastRenderedPageBreak/>
        <w:t>6</w:t>
      </w:r>
      <w:r w:rsidR="005C1CB3">
        <w:t>.</w:t>
      </w:r>
      <w:r w:rsidRPr="00D26927">
        <w:t xml:space="preserve"> Evaluation of P</w:t>
      </w:r>
      <w:r w:rsidR="006273CC">
        <w:t>W</w:t>
      </w:r>
      <w:bookmarkEnd w:id="13"/>
    </w:p>
    <w:p w14:paraId="75E41044" w14:textId="77777777" w:rsidR="00981B04" w:rsidRDefault="00981B04" w:rsidP="00981B04">
      <w:pPr>
        <w:rPr>
          <w:lang w:val="en-US"/>
        </w:rPr>
      </w:pPr>
      <w:r w:rsidRPr="00920B6C">
        <w:t xml:space="preserve">WHO (2025) defines health partnerships as a collaborative framework involving governmental, non-governmental, academic, philanthropic, and private-sector entities working together to achieve shared goals. </w:t>
      </w:r>
      <w:r w:rsidRPr="000F2959">
        <w:rPr>
          <w:lang w:val="en-US"/>
        </w:rPr>
        <w:t>In the U</w:t>
      </w:r>
      <w:r>
        <w:rPr>
          <w:lang w:val="en-US"/>
        </w:rPr>
        <w:t>K</w:t>
      </w:r>
      <w:r w:rsidRPr="000F2959">
        <w:rPr>
          <w:lang w:val="en-US"/>
        </w:rPr>
        <w:t xml:space="preserve">, this has been formalised by the creation of </w:t>
      </w:r>
      <w:r w:rsidRPr="00E169C5">
        <w:rPr>
          <w:lang w:val="en-US"/>
        </w:rPr>
        <w:t>Integrated Care Systems</w:t>
      </w:r>
      <w:r w:rsidRPr="000F2959">
        <w:rPr>
          <w:lang w:val="en-US"/>
        </w:rPr>
        <w:t>, which serve entire local populations and require collaboration among</w:t>
      </w:r>
      <w:r>
        <w:rPr>
          <w:lang w:val="en-US"/>
        </w:rPr>
        <w:t xml:space="preserve"> </w:t>
      </w:r>
      <w:r w:rsidRPr="00BD08B0">
        <w:rPr>
          <w:lang w:val="en-US"/>
        </w:rPr>
        <w:t>National Health Service</w:t>
      </w:r>
      <w:r w:rsidRPr="000F2959">
        <w:rPr>
          <w:lang w:val="en-US"/>
        </w:rPr>
        <w:t xml:space="preserve"> </w:t>
      </w:r>
      <w:r>
        <w:rPr>
          <w:lang w:val="en-US"/>
        </w:rPr>
        <w:t>(</w:t>
      </w:r>
      <w:r w:rsidRPr="000F2959">
        <w:rPr>
          <w:lang w:val="en-US"/>
        </w:rPr>
        <w:t>NHS</w:t>
      </w:r>
      <w:r>
        <w:rPr>
          <w:lang w:val="en-US"/>
        </w:rPr>
        <w:t>)</w:t>
      </w:r>
      <w:r w:rsidRPr="000F2959">
        <w:rPr>
          <w:lang w:val="en-US"/>
        </w:rPr>
        <w:t xml:space="preserve"> bodies, councils, and other organisations. The </w:t>
      </w:r>
      <w:r w:rsidRPr="00981B04">
        <w:rPr>
          <w:lang w:val="en-US"/>
        </w:rPr>
        <w:t>NHS (n.d.)</w:t>
      </w:r>
      <w:r w:rsidRPr="000F2959">
        <w:rPr>
          <w:lang w:val="en-US"/>
        </w:rPr>
        <w:t xml:space="preserve"> defines partnership as "the golden thread" of integrated care, connecting all levels (from neighbourhood to regional) to satisfy local demands</w:t>
      </w:r>
      <w:r>
        <w:rPr>
          <w:lang w:val="en-US"/>
        </w:rPr>
        <w:t>.</w:t>
      </w:r>
    </w:p>
    <w:p w14:paraId="162D274B" w14:textId="6D92BD14" w:rsidR="00BB5BB7" w:rsidRPr="006E1B14" w:rsidRDefault="006E1B14" w:rsidP="008D7A88">
      <w:pPr>
        <w:rPr>
          <w:rFonts w:cs="Arial"/>
          <w:b/>
          <w:bCs/>
        </w:rPr>
      </w:pPr>
      <w:r w:rsidRPr="003853C8">
        <w:rPr>
          <w:rFonts w:cs="Arial"/>
          <w:b/>
          <w:bCs/>
        </w:rPr>
        <w:t>Table 1</w:t>
      </w:r>
      <w:r>
        <w:rPr>
          <w:rFonts w:cs="Arial"/>
          <w:b/>
          <w:bCs/>
        </w:rPr>
        <w:t>:</w:t>
      </w:r>
    </w:p>
    <w:tbl>
      <w:tblPr>
        <w:tblStyle w:val="TableGrid"/>
        <w:tblW w:w="0" w:type="auto"/>
        <w:tblLook w:val="04A0" w:firstRow="1" w:lastRow="0" w:firstColumn="1" w:lastColumn="0" w:noHBand="0" w:noVBand="1"/>
      </w:tblPr>
      <w:tblGrid>
        <w:gridCol w:w="2122"/>
        <w:gridCol w:w="6894"/>
      </w:tblGrid>
      <w:tr w:rsidR="00493F45" w:rsidRPr="00545AD4" w14:paraId="40F54B44" w14:textId="77777777" w:rsidTr="00545AD4">
        <w:tc>
          <w:tcPr>
            <w:tcW w:w="2122" w:type="dxa"/>
          </w:tcPr>
          <w:p w14:paraId="08A6341D" w14:textId="153BA96D" w:rsidR="00493F45" w:rsidRPr="00545AD4" w:rsidRDefault="00493F45" w:rsidP="008D7A88">
            <w:pPr>
              <w:spacing w:line="360" w:lineRule="auto"/>
              <w:rPr>
                <w:b/>
                <w:bCs/>
              </w:rPr>
            </w:pPr>
            <w:r w:rsidRPr="00545AD4">
              <w:rPr>
                <w:b/>
                <w:bCs/>
              </w:rPr>
              <w:t>Aspects</w:t>
            </w:r>
          </w:p>
        </w:tc>
        <w:tc>
          <w:tcPr>
            <w:tcW w:w="6894" w:type="dxa"/>
          </w:tcPr>
          <w:p w14:paraId="6B29E2F9" w14:textId="5ACF252C" w:rsidR="00493F45" w:rsidRPr="00545AD4" w:rsidRDefault="00493F45" w:rsidP="008D7A88">
            <w:pPr>
              <w:spacing w:line="360" w:lineRule="auto"/>
              <w:rPr>
                <w:b/>
                <w:bCs/>
              </w:rPr>
            </w:pPr>
            <w:r w:rsidRPr="00545AD4">
              <w:rPr>
                <w:b/>
                <w:bCs/>
              </w:rPr>
              <w:t>Key Findings</w:t>
            </w:r>
            <w:r w:rsidR="00545AD4" w:rsidRPr="00545AD4">
              <w:rPr>
                <w:b/>
                <w:bCs/>
              </w:rPr>
              <w:t xml:space="preserve"> from ED</w:t>
            </w:r>
          </w:p>
        </w:tc>
      </w:tr>
      <w:tr w:rsidR="00493F45" w14:paraId="45B013F1" w14:textId="77777777" w:rsidTr="00545AD4">
        <w:tc>
          <w:tcPr>
            <w:tcW w:w="2122" w:type="dxa"/>
          </w:tcPr>
          <w:p w14:paraId="1D553D42" w14:textId="7530CF44" w:rsidR="00493F45" w:rsidRDefault="00493F45" w:rsidP="008D7A88">
            <w:pPr>
              <w:spacing w:line="360" w:lineRule="auto"/>
            </w:pPr>
            <w:r>
              <w:t xml:space="preserve">Key Benefits </w:t>
            </w:r>
          </w:p>
        </w:tc>
        <w:tc>
          <w:tcPr>
            <w:tcW w:w="6894" w:type="dxa"/>
          </w:tcPr>
          <w:p w14:paraId="6A1BC060" w14:textId="11E67813" w:rsidR="00493F45" w:rsidRPr="00537C85" w:rsidRDefault="00545AD4" w:rsidP="008D7A88">
            <w:pPr>
              <w:spacing w:line="360" w:lineRule="auto"/>
              <w:rPr>
                <w:i/>
                <w:iCs/>
              </w:rPr>
            </w:pPr>
            <w:r w:rsidRPr="00545AD4">
              <w:t>58.5% of staff cited supportive teamwork as essential for effective care delivery</w:t>
            </w:r>
            <w:r w:rsidR="002A05E1" w:rsidRPr="002A05E1">
              <w:t>, and well-defined protocols significantly aided 60.4% of the staff</w:t>
            </w:r>
            <w:r w:rsidR="00537C85">
              <w:t xml:space="preserve"> (</w:t>
            </w:r>
            <w:r w:rsidR="00537C85" w:rsidRPr="00537C85">
              <w:t>Gupta</w:t>
            </w:r>
            <w:r w:rsidR="00537C85">
              <w:t xml:space="preserve"> </w:t>
            </w:r>
            <w:r w:rsidR="00537C85">
              <w:rPr>
                <w:i/>
                <w:iCs/>
              </w:rPr>
              <w:t>et al</w:t>
            </w:r>
            <w:r w:rsidR="00537C85">
              <w:t>., 2025).</w:t>
            </w:r>
          </w:p>
        </w:tc>
      </w:tr>
      <w:tr w:rsidR="00493F45" w14:paraId="0D4A4209" w14:textId="77777777" w:rsidTr="00545AD4">
        <w:tc>
          <w:tcPr>
            <w:tcW w:w="2122" w:type="dxa"/>
          </w:tcPr>
          <w:p w14:paraId="0EF9E211" w14:textId="5A29DD3B" w:rsidR="00493F45" w:rsidRDefault="00493F45" w:rsidP="008D7A88">
            <w:pPr>
              <w:spacing w:line="360" w:lineRule="auto"/>
            </w:pPr>
            <w:r>
              <w:t xml:space="preserve">Key Challenges </w:t>
            </w:r>
          </w:p>
        </w:tc>
        <w:tc>
          <w:tcPr>
            <w:tcW w:w="6894" w:type="dxa"/>
          </w:tcPr>
          <w:p w14:paraId="23624DAA" w14:textId="618FC6E1" w:rsidR="00493F45" w:rsidRDefault="002E6571" w:rsidP="008D7A88">
            <w:pPr>
              <w:spacing w:line="360" w:lineRule="auto"/>
            </w:pPr>
            <w:r w:rsidRPr="002E6571">
              <w:t>Inefficient triage was a barrier for 79.2% of healthcare professionals, while 60.4% cited delayed information transfer between health professionals as a challenge</w:t>
            </w:r>
            <w:r>
              <w:t xml:space="preserve"> (</w:t>
            </w:r>
            <w:r w:rsidRPr="00537C85">
              <w:t>Gupta</w:t>
            </w:r>
            <w:r>
              <w:t xml:space="preserve"> </w:t>
            </w:r>
            <w:r>
              <w:rPr>
                <w:i/>
                <w:iCs/>
              </w:rPr>
              <w:t>et al</w:t>
            </w:r>
            <w:r>
              <w:t>., 2025).</w:t>
            </w:r>
          </w:p>
        </w:tc>
      </w:tr>
      <w:tr w:rsidR="00493F45" w14:paraId="218B1600" w14:textId="77777777" w:rsidTr="00545AD4">
        <w:tc>
          <w:tcPr>
            <w:tcW w:w="2122" w:type="dxa"/>
          </w:tcPr>
          <w:p w14:paraId="74D40D7C" w14:textId="51D1B6D7" w:rsidR="00493F45" w:rsidRPr="00493F45" w:rsidRDefault="006C2E4C" w:rsidP="008D7A88">
            <w:pPr>
              <w:spacing w:line="360" w:lineRule="auto"/>
            </w:pPr>
            <w:r>
              <w:t>Impact</w:t>
            </w:r>
          </w:p>
        </w:tc>
        <w:tc>
          <w:tcPr>
            <w:tcW w:w="6894" w:type="dxa"/>
          </w:tcPr>
          <w:p w14:paraId="0616536C" w14:textId="0C551EE3" w:rsidR="00493F45" w:rsidRDefault="00E304C2" w:rsidP="008D7A88">
            <w:pPr>
              <w:spacing w:line="360" w:lineRule="auto"/>
            </w:pPr>
            <w:r w:rsidRPr="00E304C2">
              <w:t xml:space="preserve">Collaborations in managing mental health crises can ease </w:t>
            </w:r>
            <w:r w:rsidR="00E9060D">
              <w:t>ED</w:t>
            </w:r>
            <w:r w:rsidRPr="00E304C2">
              <w:t xml:space="preserve"> overcrowding and ensure specialised care. Additionally, dedicated units with 24/7 physician supervision improve continuity of care and reduce high-risk transfers.</w:t>
            </w:r>
          </w:p>
        </w:tc>
      </w:tr>
    </w:tbl>
    <w:p w14:paraId="1435B943" w14:textId="77777777" w:rsidR="00493F45" w:rsidRPr="00BB5BB7" w:rsidRDefault="00493F45" w:rsidP="008D7A88"/>
    <w:p w14:paraId="261AB115" w14:textId="1F6CD8AD" w:rsidR="006273CC" w:rsidRDefault="00C63BF8" w:rsidP="006273CC">
      <w:r w:rsidRPr="00C63BF8">
        <w:rPr>
          <w:lang w:val="en-US"/>
        </w:rPr>
        <w:t xml:space="preserve">In conclusion, </w:t>
      </w:r>
      <w:r w:rsidR="006C5F30">
        <w:rPr>
          <w:lang w:val="en-US"/>
        </w:rPr>
        <w:t>PW</w:t>
      </w:r>
      <w:r w:rsidRPr="00C63BF8">
        <w:rPr>
          <w:lang w:val="en-US"/>
        </w:rPr>
        <w:t xml:space="preserve"> creates opportunities for integrated, patient-centred services that can enhance teamwork and clarify protocols. EDs should connect with providers to address patients' needs. Nevertheless, this requires strong leadership, transparent communication, and trust, as poor coordination and cultural differences can hinder its effectiveness</w:t>
      </w:r>
      <w:r w:rsidR="00186E64">
        <w:rPr>
          <w:lang w:val="en-US"/>
        </w:rPr>
        <w:t xml:space="preserve"> (</w:t>
      </w:r>
      <w:r w:rsidR="00186E64" w:rsidRPr="00186E64">
        <w:t>Alderwick</w:t>
      </w:r>
      <w:r w:rsidR="00186E64">
        <w:t xml:space="preserve"> </w:t>
      </w:r>
      <w:r w:rsidR="00186E64">
        <w:rPr>
          <w:i/>
          <w:iCs/>
        </w:rPr>
        <w:t>et al</w:t>
      </w:r>
      <w:r w:rsidR="00186E64">
        <w:t>., 2021).</w:t>
      </w:r>
    </w:p>
    <w:p w14:paraId="2419F1B9" w14:textId="77777777" w:rsidR="00906932" w:rsidRDefault="00906932" w:rsidP="006273CC"/>
    <w:p w14:paraId="48C1ADE2" w14:textId="77777777" w:rsidR="00906932" w:rsidRDefault="00906932" w:rsidP="006273CC"/>
    <w:p w14:paraId="6FC0FCAC" w14:textId="77777777" w:rsidR="00906932" w:rsidRDefault="00906932" w:rsidP="006273CC"/>
    <w:p w14:paraId="751BDBA6" w14:textId="77777777" w:rsidR="00906932" w:rsidRDefault="00906932" w:rsidP="006273CC"/>
    <w:p w14:paraId="2CA82428" w14:textId="77777777" w:rsidR="00906932" w:rsidRDefault="00906932" w:rsidP="006273CC"/>
    <w:p w14:paraId="669E3F35" w14:textId="77777777" w:rsidR="00906932" w:rsidRPr="00186E64" w:rsidRDefault="00906932" w:rsidP="006273CC">
      <w:pPr>
        <w:rPr>
          <w:lang w:val="en-US"/>
        </w:rPr>
      </w:pPr>
    </w:p>
    <w:p w14:paraId="5C47A7EF" w14:textId="795347C8" w:rsidR="00D26927" w:rsidRDefault="00595F17" w:rsidP="00595F17">
      <w:pPr>
        <w:pStyle w:val="Heading2"/>
      </w:pPr>
      <w:bookmarkStart w:id="14" w:name="_Toc214142182"/>
      <w:r w:rsidRPr="00595F17">
        <w:lastRenderedPageBreak/>
        <w:t>7</w:t>
      </w:r>
      <w:r w:rsidR="005C1CB3">
        <w:t>.</w:t>
      </w:r>
      <w:r w:rsidRPr="00595F17">
        <w:t xml:space="preserve"> Policy and Legislation</w:t>
      </w:r>
      <w:bookmarkEnd w:id="14"/>
    </w:p>
    <w:p w14:paraId="202635EF" w14:textId="77777777" w:rsidR="00895E7D" w:rsidRDefault="00895E7D" w:rsidP="00895E7D">
      <w:r w:rsidRPr="006E40AD">
        <w:t xml:space="preserve">Health policies and legislation focus on equitable, efficient, and evidence-based healthcare, protecting rights and </w:t>
      </w:r>
      <w:r>
        <w:t>minimising</w:t>
      </w:r>
      <w:r w:rsidRPr="006E40AD">
        <w:t xml:space="preserve"> inequalities, thereby creating a framework for high-quality health and social care (de Leeuw, Clavier and Breton, 2014). </w:t>
      </w:r>
      <w:r w:rsidRPr="00615A01">
        <w:t xml:space="preserve">Several </w:t>
      </w:r>
      <w:r w:rsidRPr="006E40AD">
        <w:t>UK policies</w:t>
      </w:r>
      <w:r>
        <w:t xml:space="preserve"> and legislation</w:t>
      </w:r>
      <w:r w:rsidRPr="006E40AD">
        <w:t xml:space="preserve"> </w:t>
      </w:r>
      <w:r w:rsidRPr="00615A01">
        <w:t xml:space="preserve">provide </w:t>
      </w:r>
      <w:r w:rsidRPr="006E40AD">
        <w:t>the implementation of PCC and PW, significantly affecting E</w:t>
      </w:r>
      <w:r>
        <w:t>D</w:t>
      </w:r>
      <w:r w:rsidRPr="006E40AD">
        <w:t>s</w:t>
      </w:r>
      <w:r>
        <w:t>:</w:t>
      </w:r>
    </w:p>
    <w:p w14:paraId="0BD037F6" w14:textId="0E22B76B" w:rsidR="003279BF" w:rsidRDefault="003279BF" w:rsidP="003279BF">
      <w:pPr>
        <w:pStyle w:val="Heading3"/>
        <w:rPr>
          <w:rFonts w:eastAsiaTheme="minorHAnsi"/>
        </w:rPr>
      </w:pPr>
      <w:bookmarkStart w:id="15" w:name="_Toc214142183"/>
      <w:r>
        <w:t xml:space="preserve">7.1 </w:t>
      </w:r>
      <w:r w:rsidRPr="003279BF">
        <w:rPr>
          <w:rFonts w:eastAsiaTheme="minorHAnsi"/>
        </w:rPr>
        <w:t xml:space="preserve">The Health and Care Act </w:t>
      </w:r>
      <w:r w:rsidR="008A5CD3">
        <w:rPr>
          <w:rFonts w:eastAsiaTheme="minorHAnsi"/>
        </w:rPr>
        <w:t>(</w:t>
      </w:r>
      <w:r w:rsidRPr="003279BF">
        <w:rPr>
          <w:rFonts w:eastAsiaTheme="minorHAnsi"/>
        </w:rPr>
        <w:t>2022</w:t>
      </w:r>
      <w:r w:rsidR="008A5CD3">
        <w:rPr>
          <w:rFonts w:eastAsiaTheme="minorHAnsi"/>
        </w:rPr>
        <w:t>)</w:t>
      </w:r>
      <w:bookmarkEnd w:id="15"/>
    </w:p>
    <w:p w14:paraId="09230483" w14:textId="60C8F846" w:rsidR="00011646" w:rsidRDefault="00011646" w:rsidP="00011646">
      <w:pPr>
        <w:rPr>
          <w:b/>
          <w:bCs/>
        </w:rPr>
      </w:pPr>
      <w:r w:rsidRPr="00B84B0B">
        <w:rPr>
          <w:b/>
          <w:bCs/>
        </w:rPr>
        <w:t>Advantages for E</w:t>
      </w:r>
      <w:r w:rsidR="00895E7D">
        <w:rPr>
          <w:b/>
          <w:bCs/>
        </w:rPr>
        <w:t>D</w:t>
      </w:r>
      <w:r w:rsidRPr="00B84B0B">
        <w:rPr>
          <w:b/>
          <w:bCs/>
        </w:rPr>
        <w:t>s</w:t>
      </w:r>
    </w:p>
    <w:p w14:paraId="3FDDCDC7" w14:textId="7535ECF0" w:rsidR="00011646" w:rsidRPr="00011646" w:rsidRDefault="00011646" w:rsidP="00011646">
      <w:pPr>
        <w:numPr>
          <w:ilvl w:val="0"/>
          <w:numId w:val="12"/>
        </w:numPr>
      </w:pPr>
      <w:r w:rsidRPr="00A140D4">
        <w:t xml:space="preserve">Pursues cohesive, PCC by connecting the NHS, social care, and local authorities, potentially reducing unnecessary </w:t>
      </w:r>
      <w:r w:rsidR="00E9060D">
        <w:t>ED</w:t>
      </w:r>
      <w:r w:rsidRPr="00A140D4">
        <w:t xml:space="preserve"> visits through improved community support</w:t>
      </w:r>
      <w:r>
        <w:t xml:space="preserve"> </w:t>
      </w:r>
      <w:r w:rsidRPr="00A62202">
        <w:t>(P4HNetwork</w:t>
      </w:r>
      <w:r w:rsidR="00576063">
        <w:t xml:space="preserve">, </w:t>
      </w:r>
      <w:r w:rsidRPr="00A62202">
        <w:t>2024).</w:t>
      </w:r>
    </w:p>
    <w:p w14:paraId="0F1F98F4" w14:textId="6AB6E1ED" w:rsidR="00011646" w:rsidRDefault="00011646" w:rsidP="00011646">
      <w:pPr>
        <w:numPr>
          <w:ilvl w:val="0"/>
          <w:numId w:val="12"/>
        </w:numPr>
      </w:pPr>
      <w:r w:rsidRPr="00E41818">
        <w:t xml:space="preserve">The NHS recovery plan, based on the Act, </w:t>
      </w:r>
      <w:r w:rsidR="005566CA">
        <w:t xml:space="preserve">invests in 5,000 new beds and 800 ambulances to alleviate crowding and decrease ambulance handover delays </w:t>
      </w:r>
      <w:r>
        <w:t>(</w:t>
      </w:r>
      <w:r w:rsidRPr="00765CC3">
        <w:t>NHS</w:t>
      </w:r>
      <w:r>
        <w:t xml:space="preserve">, </w:t>
      </w:r>
      <w:r w:rsidRPr="00765CC3">
        <w:t>2023)</w:t>
      </w:r>
      <w:r>
        <w:t>.</w:t>
      </w:r>
    </w:p>
    <w:p w14:paraId="7CA3603C" w14:textId="72342A2A" w:rsidR="00011646" w:rsidRDefault="00011646" w:rsidP="00011646">
      <w:pPr>
        <w:rPr>
          <w:b/>
          <w:bCs/>
        </w:rPr>
      </w:pPr>
      <w:r w:rsidRPr="00B84B0B">
        <w:rPr>
          <w:b/>
          <w:bCs/>
        </w:rPr>
        <w:t>Hindrances for E</w:t>
      </w:r>
      <w:r w:rsidR="00306442">
        <w:rPr>
          <w:b/>
          <w:bCs/>
        </w:rPr>
        <w:t>D</w:t>
      </w:r>
      <w:r w:rsidRPr="00B84B0B">
        <w:rPr>
          <w:b/>
          <w:bCs/>
        </w:rPr>
        <w:t>s</w:t>
      </w:r>
    </w:p>
    <w:p w14:paraId="15B6ADE2" w14:textId="7024E5B2" w:rsidR="00011646" w:rsidRPr="00011646" w:rsidRDefault="00011646" w:rsidP="00011646">
      <w:pPr>
        <w:numPr>
          <w:ilvl w:val="0"/>
          <w:numId w:val="13"/>
        </w:numPr>
        <w:rPr>
          <w:b/>
          <w:bCs/>
        </w:rPr>
      </w:pPr>
      <w:bookmarkStart w:id="16" w:name="_Hlk214130710"/>
      <w:r w:rsidRPr="00A140D4">
        <w:t>Success relies on efficient execution and smart investment</w:t>
      </w:r>
      <w:r>
        <w:t xml:space="preserve"> </w:t>
      </w:r>
      <w:r w:rsidRPr="00A62202">
        <w:t>(P4HNetwork</w:t>
      </w:r>
      <w:r w:rsidR="00576063">
        <w:t xml:space="preserve">, </w:t>
      </w:r>
      <w:r w:rsidRPr="00A62202">
        <w:t>2024).</w:t>
      </w:r>
    </w:p>
    <w:p w14:paraId="2BD6CA15" w14:textId="0B744B2F" w:rsidR="00011646" w:rsidRPr="00B84B0B" w:rsidRDefault="00576063" w:rsidP="00011646">
      <w:pPr>
        <w:numPr>
          <w:ilvl w:val="0"/>
          <w:numId w:val="13"/>
        </w:numPr>
        <w:rPr>
          <w:b/>
          <w:bCs/>
        </w:rPr>
      </w:pPr>
      <w:r w:rsidRPr="009962A1">
        <w:t>System pressures, such as high bed occupancy and delayed discharges, still affect ED performance</w:t>
      </w:r>
      <w:r w:rsidR="00011646">
        <w:t xml:space="preserve"> (</w:t>
      </w:r>
      <w:r w:rsidR="00011646" w:rsidRPr="00765CC3">
        <w:t>NHS</w:t>
      </w:r>
      <w:r w:rsidR="00011646">
        <w:t xml:space="preserve">, </w:t>
      </w:r>
      <w:r w:rsidR="00011646" w:rsidRPr="00765CC3">
        <w:t>2023)</w:t>
      </w:r>
      <w:r w:rsidR="00011646">
        <w:t>.</w:t>
      </w:r>
    </w:p>
    <w:p w14:paraId="4B549532" w14:textId="2B2175D1" w:rsidR="003279BF" w:rsidRDefault="00F07814" w:rsidP="006244DC">
      <w:pPr>
        <w:pStyle w:val="Heading3"/>
      </w:pPr>
      <w:bookmarkStart w:id="17" w:name="_Toc214142184"/>
      <w:bookmarkEnd w:id="16"/>
      <w:r>
        <w:t>7.2</w:t>
      </w:r>
      <w:r w:rsidR="00B84B0B">
        <w:t xml:space="preserve"> </w:t>
      </w:r>
      <w:r w:rsidR="006244DC" w:rsidRPr="006244DC">
        <w:t xml:space="preserve">Care Act </w:t>
      </w:r>
      <w:r w:rsidR="007C1EEC">
        <w:t>(</w:t>
      </w:r>
      <w:r w:rsidR="006244DC" w:rsidRPr="006244DC">
        <w:t>2014</w:t>
      </w:r>
      <w:r w:rsidR="007C1EEC">
        <w:t>)</w:t>
      </w:r>
      <w:bookmarkEnd w:id="17"/>
    </w:p>
    <w:p w14:paraId="1A1F3EDA" w14:textId="4141BEB3" w:rsidR="00011646" w:rsidRDefault="00011646" w:rsidP="00011646">
      <w:pPr>
        <w:rPr>
          <w:b/>
          <w:bCs/>
        </w:rPr>
      </w:pPr>
      <w:r w:rsidRPr="00B84B0B">
        <w:rPr>
          <w:b/>
          <w:bCs/>
        </w:rPr>
        <w:t>Advantages for E</w:t>
      </w:r>
      <w:r w:rsidR="00B61F86">
        <w:rPr>
          <w:b/>
          <w:bCs/>
        </w:rPr>
        <w:t>D</w:t>
      </w:r>
      <w:r w:rsidRPr="00B84B0B">
        <w:rPr>
          <w:b/>
          <w:bCs/>
        </w:rPr>
        <w:t>s</w:t>
      </w:r>
    </w:p>
    <w:p w14:paraId="4F58E304" w14:textId="039E83AB" w:rsidR="00011646" w:rsidRDefault="00576063" w:rsidP="00011646">
      <w:pPr>
        <w:numPr>
          <w:ilvl w:val="0"/>
          <w:numId w:val="15"/>
        </w:numPr>
      </w:pPr>
      <w:bookmarkStart w:id="18" w:name="_Hlk214131040"/>
      <w:r>
        <w:t xml:space="preserve">Establishes a clear integration structure for joint evaluations with social care to facilitate safe discharges and prevent bed-blocking (Barnes </w:t>
      </w:r>
      <w:r w:rsidRPr="00576063">
        <w:rPr>
          <w:i/>
          <w:iCs/>
        </w:rPr>
        <w:t>et al</w:t>
      </w:r>
      <w:r>
        <w:t>., 2017)</w:t>
      </w:r>
      <w:r w:rsidR="00011646" w:rsidRPr="00011646">
        <w:t>.</w:t>
      </w:r>
    </w:p>
    <w:p w14:paraId="7CDC6667" w14:textId="67C84C97" w:rsidR="00011646" w:rsidRDefault="00576063" w:rsidP="00011646">
      <w:pPr>
        <w:numPr>
          <w:ilvl w:val="0"/>
          <w:numId w:val="15"/>
        </w:numPr>
      </w:pPr>
      <w:r>
        <w:t xml:space="preserve">Prioritising PCC planning ensures discharge decisions align with the patient's goals and support system for safer transfers from the ED (Barnes </w:t>
      </w:r>
      <w:r w:rsidRPr="009962A1">
        <w:rPr>
          <w:i/>
          <w:iCs/>
        </w:rPr>
        <w:t>et al</w:t>
      </w:r>
      <w:r>
        <w:t>., 2017).</w:t>
      </w:r>
    </w:p>
    <w:bookmarkEnd w:id="18"/>
    <w:p w14:paraId="31EE0738" w14:textId="6559D0EE" w:rsidR="00011646" w:rsidRDefault="00011646" w:rsidP="00011646">
      <w:pPr>
        <w:rPr>
          <w:b/>
          <w:bCs/>
        </w:rPr>
      </w:pPr>
      <w:r w:rsidRPr="00B84B0B">
        <w:rPr>
          <w:b/>
          <w:bCs/>
        </w:rPr>
        <w:t>Hindrances for E</w:t>
      </w:r>
      <w:r w:rsidR="00B61F86">
        <w:rPr>
          <w:b/>
          <w:bCs/>
        </w:rPr>
        <w:t>D</w:t>
      </w:r>
      <w:r w:rsidRPr="00B84B0B">
        <w:rPr>
          <w:b/>
          <w:bCs/>
        </w:rPr>
        <w:t>s</w:t>
      </w:r>
    </w:p>
    <w:p w14:paraId="397B98C5" w14:textId="54C1C2DB" w:rsidR="00011646" w:rsidRPr="00011646" w:rsidRDefault="00413061" w:rsidP="00011646">
      <w:pPr>
        <w:numPr>
          <w:ilvl w:val="0"/>
          <w:numId w:val="16"/>
        </w:numPr>
        <w:rPr>
          <w:b/>
          <w:bCs/>
        </w:rPr>
      </w:pPr>
      <w:r w:rsidRPr="009962A1">
        <w:t>Underfunded community services can delay ED discharges by increasing the pressure to meet needs</w:t>
      </w:r>
      <w:r w:rsidR="00011646">
        <w:t xml:space="preserve"> (</w:t>
      </w:r>
      <w:r w:rsidR="00011646" w:rsidRPr="00004108">
        <w:t>Barnes</w:t>
      </w:r>
      <w:r w:rsidR="00011646">
        <w:t xml:space="preserve"> </w:t>
      </w:r>
      <w:r w:rsidR="00011646">
        <w:rPr>
          <w:i/>
          <w:iCs/>
        </w:rPr>
        <w:t>et al.</w:t>
      </w:r>
      <w:r w:rsidR="00011646" w:rsidRPr="00004108">
        <w:t>, 2017)</w:t>
      </w:r>
      <w:r w:rsidR="00011646">
        <w:t>.</w:t>
      </w:r>
    </w:p>
    <w:p w14:paraId="68EDAB5A" w14:textId="220B4170" w:rsidR="00011646" w:rsidRPr="00906932" w:rsidRDefault="00413061" w:rsidP="00011646">
      <w:pPr>
        <w:numPr>
          <w:ilvl w:val="0"/>
          <w:numId w:val="16"/>
        </w:numPr>
        <w:rPr>
          <w:b/>
          <w:bCs/>
        </w:rPr>
      </w:pPr>
      <w:r>
        <w:t>Minimising</w:t>
      </w:r>
      <w:r w:rsidRPr="009962A1">
        <w:t xml:space="preserve"> core responsibilities during crises like the pandemic weakened P</w:t>
      </w:r>
      <w:r w:rsidR="009E15FB">
        <w:t>C</w:t>
      </w:r>
      <w:r w:rsidRPr="009962A1">
        <w:t>C, increasing the risk of unsafe discharges and ED re-admissions</w:t>
      </w:r>
      <w:r w:rsidR="00011646">
        <w:t xml:space="preserve"> (</w:t>
      </w:r>
      <w:r w:rsidR="00011646" w:rsidRPr="00B25940">
        <w:t>Antova, 2020)</w:t>
      </w:r>
      <w:r w:rsidR="00011646">
        <w:t>.</w:t>
      </w:r>
    </w:p>
    <w:p w14:paraId="1FDC1EE9" w14:textId="672D8BAE" w:rsidR="00753DC0" w:rsidRDefault="00753DC0" w:rsidP="00753DC0">
      <w:pPr>
        <w:pStyle w:val="Heading3"/>
      </w:pPr>
      <w:bookmarkStart w:id="19" w:name="_Toc214142185"/>
      <w:r>
        <w:lastRenderedPageBreak/>
        <w:t xml:space="preserve">7.3 </w:t>
      </w:r>
      <w:r w:rsidRPr="00753DC0">
        <w:t xml:space="preserve">Equality Act </w:t>
      </w:r>
      <w:r w:rsidR="00437552">
        <w:t>(</w:t>
      </w:r>
      <w:r w:rsidRPr="00753DC0">
        <w:t>2010</w:t>
      </w:r>
      <w:r w:rsidR="00437552">
        <w:t>)</w:t>
      </w:r>
      <w:bookmarkEnd w:id="19"/>
    </w:p>
    <w:p w14:paraId="6F52E108" w14:textId="42927211" w:rsidR="009564A6" w:rsidRPr="009564A6" w:rsidRDefault="009564A6" w:rsidP="009564A6">
      <w:pPr>
        <w:rPr>
          <w:b/>
          <w:bCs/>
        </w:rPr>
      </w:pPr>
      <w:r w:rsidRPr="00B84B0B">
        <w:rPr>
          <w:b/>
          <w:bCs/>
        </w:rPr>
        <w:t>Advantage for E</w:t>
      </w:r>
      <w:r w:rsidR="00B61F86">
        <w:rPr>
          <w:b/>
          <w:bCs/>
        </w:rPr>
        <w:t>D</w:t>
      </w:r>
      <w:r w:rsidRPr="00B84B0B">
        <w:rPr>
          <w:b/>
          <w:bCs/>
        </w:rPr>
        <w:t>s</w:t>
      </w:r>
    </w:p>
    <w:p w14:paraId="0A34D110" w14:textId="77777777" w:rsidR="00437552" w:rsidRPr="0010658A" w:rsidRDefault="00437552" w:rsidP="00437552">
      <w:r w:rsidRPr="0010658A">
        <w:t>This act promotes fairness and inclusivity, ensuring PCC and PW provide equal access and necessary adjustments for patients with protected characteristics</w:t>
      </w:r>
      <w:r>
        <w:t xml:space="preserve"> (</w:t>
      </w:r>
      <w:r w:rsidRPr="00BF349A">
        <w:t>Read</w:t>
      </w:r>
      <w:r>
        <w:t xml:space="preserve"> </w:t>
      </w:r>
      <w:r>
        <w:rPr>
          <w:i/>
          <w:iCs/>
        </w:rPr>
        <w:t>et al.,</w:t>
      </w:r>
      <w:r>
        <w:t xml:space="preserve"> 2018)</w:t>
      </w:r>
      <w:r w:rsidRPr="0010658A">
        <w:t>. In EDs, it guarantees tailored support for patients with disabilities, enhancing care quality.</w:t>
      </w:r>
    </w:p>
    <w:p w14:paraId="70F02108" w14:textId="2842AE65" w:rsidR="009564A6" w:rsidRDefault="009564A6" w:rsidP="009564A6">
      <w:pPr>
        <w:rPr>
          <w:b/>
          <w:bCs/>
        </w:rPr>
      </w:pPr>
      <w:r w:rsidRPr="00B84B0B">
        <w:rPr>
          <w:b/>
          <w:bCs/>
        </w:rPr>
        <w:t>Hindrance for E</w:t>
      </w:r>
      <w:r w:rsidR="00B61F86">
        <w:rPr>
          <w:b/>
          <w:bCs/>
        </w:rPr>
        <w:t>D</w:t>
      </w:r>
      <w:r w:rsidRPr="00B84B0B">
        <w:rPr>
          <w:b/>
          <w:bCs/>
        </w:rPr>
        <w:t>s</w:t>
      </w:r>
    </w:p>
    <w:p w14:paraId="70597347" w14:textId="77777777" w:rsidR="00C30F03" w:rsidRDefault="00C30F03" w:rsidP="00C30F03">
      <w:bookmarkStart w:id="20" w:name="_Hlk214131914"/>
      <w:r w:rsidRPr="00A72ABE">
        <w:t xml:space="preserve">Limited resources and high workloads can lead to delays and unequal treatment (Read </w:t>
      </w:r>
      <w:r w:rsidRPr="00C30F03">
        <w:rPr>
          <w:i/>
          <w:iCs/>
        </w:rPr>
        <w:t>et al</w:t>
      </w:r>
      <w:r w:rsidRPr="00A72ABE">
        <w:t>., 2018). For example, patients with sensory challenges may struggle to communicate during busy times, undermining PCC and PW principles.</w:t>
      </w:r>
    </w:p>
    <w:p w14:paraId="4E9120C5" w14:textId="117119E4" w:rsidR="00DB314E" w:rsidRDefault="00DB314E" w:rsidP="00E375EC">
      <w:bookmarkStart w:id="21" w:name="_Hlk214132729"/>
      <w:r w:rsidRPr="00DB314E">
        <w:t xml:space="preserve">While </w:t>
      </w:r>
      <w:r w:rsidR="001C4511">
        <w:t>l</w:t>
      </w:r>
      <w:r w:rsidRPr="00DB314E">
        <w:t xml:space="preserve">egislation such as the Health and Care Act </w:t>
      </w:r>
      <w:r w:rsidR="008A5CD3">
        <w:t>(</w:t>
      </w:r>
      <w:r w:rsidRPr="00DB314E">
        <w:t>2022</w:t>
      </w:r>
      <w:r w:rsidR="008A5CD3">
        <w:t>)</w:t>
      </w:r>
      <w:r w:rsidRPr="00DB314E">
        <w:t xml:space="preserve">, Care Act </w:t>
      </w:r>
      <w:r w:rsidR="007C1EEC">
        <w:t>(</w:t>
      </w:r>
      <w:r w:rsidRPr="00DB314E">
        <w:t>2014</w:t>
      </w:r>
      <w:r w:rsidR="007C1EEC">
        <w:t>)</w:t>
      </w:r>
      <w:r w:rsidRPr="00DB314E">
        <w:t xml:space="preserve">, and Equality Act </w:t>
      </w:r>
      <w:r w:rsidR="00437552">
        <w:t>(</w:t>
      </w:r>
      <w:r w:rsidRPr="00DB314E">
        <w:t>2010</w:t>
      </w:r>
      <w:r w:rsidR="00437552">
        <w:t>)</w:t>
      </w:r>
      <w:r w:rsidRPr="00DB314E">
        <w:t xml:space="preserve"> supports PCC and PW care. However, their effectiveness in EDs relies on proper implementation, funding, and workforce capacity, which are often limited by systemic pressures and policy-practice gaps.</w:t>
      </w:r>
      <w:bookmarkEnd w:id="20"/>
    </w:p>
    <w:bookmarkEnd w:id="21"/>
    <w:p w14:paraId="0E494386" w14:textId="77777777" w:rsidR="00906932" w:rsidRDefault="00906932" w:rsidP="00E375EC"/>
    <w:p w14:paraId="41E5B89B" w14:textId="77777777" w:rsidR="00906932" w:rsidRDefault="00906932" w:rsidP="00E375EC"/>
    <w:p w14:paraId="4B725197" w14:textId="77777777" w:rsidR="00906932" w:rsidRDefault="00906932" w:rsidP="00E375EC"/>
    <w:p w14:paraId="5DE67438" w14:textId="77777777" w:rsidR="00906932" w:rsidRDefault="00906932" w:rsidP="00E375EC"/>
    <w:p w14:paraId="194DDFF7" w14:textId="77777777" w:rsidR="00906932" w:rsidRDefault="00906932" w:rsidP="00E375EC"/>
    <w:p w14:paraId="07CC59D8" w14:textId="77777777" w:rsidR="00906932" w:rsidRDefault="00906932" w:rsidP="00E375EC"/>
    <w:p w14:paraId="2336536B" w14:textId="77777777" w:rsidR="00906932" w:rsidRDefault="00906932" w:rsidP="00E375EC"/>
    <w:p w14:paraId="12DEA9C4" w14:textId="77777777" w:rsidR="00906932" w:rsidRDefault="00906932" w:rsidP="00E375EC"/>
    <w:p w14:paraId="3CFD7E6E" w14:textId="77777777" w:rsidR="00906932" w:rsidRDefault="00906932" w:rsidP="00E375EC"/>
    <w:p w14:paraId="3AFC1B95" w14:textId="77777777" w:rsidR="00456B3C" w:rsidRDefault="00456B3C" w:rsidP="00E375EC"/>
    <w:p w14:paraId="4525A0A7" w14:textId="77777777" w:rsidR="00456B3C" w:rsidRDefault="00456B3C" w:rsidP="00E375EC"/>
    <w:p w14:paraId="038FB4D8" w14:textId="77777777" w:rsidR="00456B3C" w:rsidRDefault="00456B3C" w:rsidP="00E375EC"/>
    <w:p w14:paraId="34C97454" w14:textId="0AF5B8EC" w:rsidR="008D6E4B" w:rsidRDefault="00236395" w:rsidP="006E148B">
      <w:pPr>
        <w:pStyle w:val="Heading2"/>
      </w:pPr>
      <w:bookmarkStart w:id="22" w:name="_Toc214142186"/>
      <w:r>
        <w:lastRenderedPageBreak/>
        <w:t>8</w:t>
      </w:r>
      <w:r w:rsidR="005C1CB3">
        <w:t>.</w:t>
      </w:r>
      <w:r>
        <w:t xml:space="preserve"> </w:t>
      </w:r>
      <w:r w:rsidRPr="00236395">
        <w:t>Recommendations</w:t>
      </w:r>
      <w:bookmarkEnd w:id="22"/>
    </w:p>
    <w:p w14:paraId="4B09D725" w14:textId="7C5E27F6" w:rsidR="008E46D6" w:rsidRDefault="008E46D6" w:rsidP="008E46D6">
      <w:pPr>
        <w:pStyle w:val="Heading3"/>
      </w:pPr>
      <w:bookmarkStart w:id="23" w:name="_Toc214142187"/>
      <w:r>
        <w:t xml:space="preserve">8.1 </w:t>
      </w:r>
      <w:r w:rsidR="00756659" w:rsidRPr="00756659">
        <w:rPr>
          <w:bCs/>
        </w:rPr>
        <w:t xml:space="preserve">Technology </w:t>
      </w:r>
      <w:r w:rsidR="00756659">
        <w:rPr>
          <w:bCs/>
        </w:rPr>
        <w:t>and</w:t>
      </w:r>
      <w:r w:rsidR="00756659" w:rsidRPr="00756659">
        <w:rPr>
          <w:bCs/>
        </w:rPr>
        <w:t xml:space="preserve"> Data Use</w:t>
      </w:r>
      <w:bookmarkEnd w:id="23"/>
    </w:p>
    <w:p w14:paraId="4166E20A" w14:textId="301BBE87" w:rsidR="000A44E5" w:rsidRPr="006D5B4A" w:rsidRDefault="00D20078" w:rsidP="005C176D">
      <w:r w:rsidRPr="00D20078">
        <w:rPr>
          <w:b/>
          <w:bCs/>
        </w:rPr>
        <w:t>Recommendation:</w:t>
      </w:r>
      <w:r>
        <w:rPr>
          <w:b/>
          <w:bCs/>
        </w:rPr>
        <w:t xml:space="preserve"> </w:t>
      </w:r>
      <w:r w:rsidR="000A44E5" w:rsidRPr="000A44E5">
        <w:t>Establish patient flow dashboards that incorporate predictive analytics</w:t>
      </w:r>
      <w:r w:rsidR="006D5B4A">
        <w:t xml:space="preserve"> (</w:t>
      </w:r>
      <w:r w:rsidR="006D5B4A" w:rsidRPr="006D5B4A">
        <w:t>Zamani</w:t>
      </w:r>
      <w:r w:rsidR="006D5B4A">
        <w:t xml:space="preserve"> </w:t>
      </w:r>
      <w:r w:rsidR="006D5B4A">
        <w:rPr>
          <w:i/>
          <w:iCs/>
        </w:rPr>
        <w:t>et al</w:t>
      </w:r>
      <w:r w:rsidR="004F412B">
        <w:t>.,</w:t>
      </w:r>
      <w:r w:rsidR="006D5B4A">
        <w:t xml:space="preserve"> 2025).</w:t>
      </w:r>
    </w:p>
    <w:p w14:paraId="76AA9407" w14:textId="5F3C74A9" w:rsidR="00D20078" w:rsidRDefault="005C176D" w:rsidP="00D20078">
      <w:r w:rsidRPr="005C176D">
        <w:rPr>
          <w:b/>
          <w:bCs/>
        </w:rPr>
        <w:t>Rationale:</w:t>
      </w:r>
      <w:r w:rsidR="00EE76FF">
        <w:rPr>
          <w:b/>
          <w:bCs/>
        </w:rPr>
        <w:t xml:space="preserve"> </w:t>
      </w:r>
      <w:r w:rsidR="006F2024" w:rsidRPr="006F2024">
        <w:t>Real-time KPI</w:t>
      </w:r>
      <w:r w:rsidR="00211208">
        <w:t xml:space="preserve"> (Key performance indicator)</w:t>
      </w:r>
      <w:r w:rsidR="006F2024" w:rsidRPr="006F2024">
        <w:t xml:space="preserve"> monitoring (</w:t>
      </w:r>
      <w:r w:rsidR="006F2024">
        <w:t xml:space="preserve">such as </w:t>
      </w:r>
      <w:r w:rsidR="006F2024" w:rsidRPr="006F2024">
        <w:t>Time to Treatment), detection of bottlenecks (</w:t>
      </w:r>
      <w:r w:rsidR="006F2024">
        <w:t>such as</w:t>
      </w:r>
      <w:r w:rsidR="006F2024" w:rsidRPr="006F2024">
        <w:t xml:space="preserve"> Triage inefficiencies), and dynamic staff/bed reallocation. Successful during the COVID-19 pandemic</w:t>
      </w:r>
      <w:r w:rsidR="004F412B">
        <w:t xml:space="preserve"> (</w:t>
      </w:r>
      <w:r w:rsidR="004F412B" w:rsidRPr="006D5B4A">
        <w:t>Zamani</w:t>
      </w:r>
      <w:r w:rsidR="004F412B">
        <w:t xml:space="preserve"> </w:t>
      </w:r>
      <w:r w:rsidR="004F412B">
        <w:rPr>
          <w:i/>
          <w:iCs/>
        </w:rPr>
        <w:t>et al</w:t>
      </w:r>
      <w:r w:rsidR="004F412B">
        <w:t>., 2025).</w:t>
      </w:r>
    </w:p>
    <w:p w14:paraId="7D8111C4" w14:textId="10E274C1" w:rsidR="00777101" w:rsidRDefault="00777101" w:rsidP="00D20078">
      <w:r w:rsidRPr="00777101">
        <w:rPr>
          <w:b/>
          <w:bCs/>
        </w:rPr>
        <w:t>Barriers/Limitations</w:t>
      </w:r>
      <w:r>
        <w:t xml:space="preserve">: </w:t>
      </w:r>
      <w:r w:rsidRPr="00777101">
        <w:t>Implementation is costly and requires training and data integration across hospital IT systems</w:t>
      </w:r>
      <w:r w:rsidR="004F412B">
        <w:t xml:space="preserve"> (</w:t>
      </w:r>
      <w:r w:rsidR="004F412B" w:rsidRPr="006D5B4A">
        <w:t>Zamani</w:t>
      </w:r>
      <w:r w:rsidR="004F412B">
        <w:t xml:space="preserve"> </w:t>
      </w:r>
      <w:r w:rsidR="004F412B">
        <w:rPr>
          <w:i/>
          <w:iCs/>
        </w:rPr>
        <w:t>et al</w:t>
      </w:r>
      <w:r w:rsidR="004F412B">
        <w:t>., 2025).</w:t>
      </w:r>
    </w:p>
    <w:p w14:paraId="5DB90141" w14:textId="63E82996" w:rsidR="00211208" w:rsidRPr="00906932" w:rsidRDefault="00211208" w:rsidP="00D20078">
      <w:pPr>
        <w:rPr>
          <w:b/>
          <w:bCs/>
        </w:rPr>
      </w:pPr>
      <w:r w:rsidRPr="00211208">
        <w:rPr>
          <w:b/>
          <w:bCs/>
        </w:rPr>
        <w:t>Implementation steps</w:t>
      </w:r>
      <w:r>
        <w:rPr>
          <w:b/>
          <w:bCs/>
        </w:rPr>
        <w:t xml:space="preserve">: </w:t>
      </w:r>
      <w:r w:rsidRPr="00330FF5">
        <w:t xml:space="preserve">Hospitals need to </w:t>
      </w:r>
      <w:r>
        <w:t>conduct a feasibility study to secure funding and collaborate with data scientists and clinical leaders to develop</w:t>
      </w:r>
      <w:r w:rsidRPr="00330FF5">
        <w:t xml:space="preserve"> KPIs and predictive models.</w:t>
      </w:r>
    </w:p>
    <w:p w14:paraId="378EAC25" w14:textId="3902916F" w:rsidR="00C0334B" w:rsidRDefault="00C0334B" w:rsidP="00D70C79">
      <w:pPr>
        <w:pStyle w:val="Heading3"/>
      </w:pPr>
      <w:bookmarkStart w:id="24" w:name="_Toc214142188"/>
      <w:r w:rsidRPr="00C0334B">
        <w:t>8.2</w:t>
      </w:r>
      <w:r w:rsidR="00D70C79">
        <w:t xml:space="preserve"> </w:t>
      </w:r>
      <w:r w:rsidR="00D70C79" w:rsidRPr="00D70C79">
        <w:t>Collaborative Partnerships</w:t>
      </w:r>
      <w:bookmarkEnd w:id="24"/>
    </w:p>
    <w:p w14:paraId="58919BBF" w14:textId="0FA9E6D0" w:rsidR="008B74CF" w:rsidRPr="00E03751" w:rsidRDefault="008B74CF" w:rsidP="00D20078">
      <w:r>
        <w:rPr>
          <w:b/>
          <w:bCs/>
        </w:rPr>
        <w:t>Recommendation:</w:t>
      </w:r>
      <w:r w:rsidR="009B50DE" w:rsidRPr="009B50DE">
        <w:t xml:space="preserve"> Establish official partnerships and procedures for the 'post-ED' stage (such as discharge assistance)</w:t>
      </w:r>
      <w:r w:rsidR="00E03751">
        <w:t xml:space="preserve"> (</w:t>
      </w:r>
      <w:r w:rsidR="00E03751" w:rsidRPr="00E03751">
        <w:t>Samadbeik</w:t>
      </w:r>
      <w:r w:rsidR="00E03751">
        <w:t xml:space="preserve"> </w:t>
      </w:r>
      <w:r w:rsidR="00E03751">
        <w:rPr>
          <w:i/>
          <w:iCs/>
        </w:rPr>
        <w:t>et al</w:t>
      </w:r>
      <w:r w:rsidR="00E03751">
        <w:t>., 2025).</w:t>
      </w:r>
    </w:p>
    <w:p w14:paraId="4FAE940C" w14:textId="6AD952D2" w:rsidR="00842264" w:rsidRPr="005F4849" w:rsidRDefault="008B74CF" w:rsidP="00D20078">
      <w:pPr>
        <w:rPr>
          <w:b/>
          <w:bCs/>
        </w:rPr>
      </w:pPr>
      <w:r>
        <w:rPr>
          <w:b/>
          <w:bCs/>
        </w:rPr>
        <w:t>Rationale:</w:t>
      </w:r>
      <w:r w:rsidR="00D70C79">
        <w:rPr>
          <w:b/>
          <w:bCs/>
        </w:rPr>
        <w:t xml:space="preserve"> </w:t>
      </w:r>
      <w:r w:rsidR="00842264" w:rsidRPr="004A028F">
        <w:t xml:space="preserve">Most interventions target 'within-ED' to tackle overcrowding; improving discharge and transfer is essential to minimise </w:t>
      </w:r>
      <w:r w:rsidR="007D1E20">
        <w:t>‘</w:t>
      </w:r>
      <w:r w:rsidR="00842264" w:rsidRPr="004A028F">
        <w:t>access block</w:t>
      </w:r>
      <w:r w:rsidR="007D1E20">
        <w:t>’</w:t>
      </w:r>
      <w:r w:rsidR="00E03751">
        <w:t xml:space="preserve"> (</w:t>
      </w:r>
      <w:r w:rsidR="00E03751" w:rsidRPr="00E03751">
        <w:t>Samadbeik</w:t>
      </w:r>
      <w:r w:rsidR="00E03751">
        <w:t xml:space="preserve"> </w:t>
      </w:r>
      <w:r w:rsidR="00E03751">
        <w:rPr>
          <w:i/>
          <w:iCs/>
        </w:rPr>
        <w:t>et al</w:t>
      </w:r>
      <w:r w:rsidR="00E03751">
        <w:t>., 2025).</w:t>
      </w:r>
    </w:p>
    <w:p w14:paraId="4F4BDEE2" w14:textId="5ECAD752" w:rsidR="008B74CF" w:rsidRDefault="008B74CF" w:rsidP="00D20078">
      <w:r w:rsidRPr="00777101">
        <w:rPr>
          <w:b/>
          <w:bCs/>
        </w:rPr>
        <w:t>Barriers/Limitations</w:t>
      </w:r>
      <w:r w:rsidR="00A342FB">
        <w:rPr>
          <w:b/>
          <w:bCs/>
        </w:rPr>
        <w:t xml:space="preserve">: </w:t>
      </w:r>
      <w:r w:rsidR="00A342FB" w:rsidRPr="00A342FB">
        <w:t>Isolated practices and poor IT integration among ED, hospital wards, and social services</w:t>
      </w:r>
      <w:r w:rsidR="00E03751">
        <w:t xml:space="preserve"> (</w:t>
      </w:r>
      <w:r w:rsidR="00E03751" w:rsidRPr="00E03751">
        <w:t>Samadbeik</w:t>
      </w:r>
      <w:r w:rsidR="00E03751">
        <w:t xml:space="preserve"> </w:t>
      </w:r>
      <w:r w:rsidR="00E03751">
        <w:rPr>
          <w:i/>
          <w:iCs/>
        </w:rPr>
        <w:t>et al</w:t>
      </w:r>
      <w:r w:rsidR="00E03751">
        <w:t>., 2025).</w:t>
      </w:r>
    </w:p>
    <w:p w14:paraId="1A051FBA" w14:textId="1414436D" w:rsidR="008B74CF" w:rsidRPr="006971D2" w:rsidRDefault="006971D2" w:rsidP="00D20078">
      <w:pPr>
        <w:rPr>
          <w:b/>
          <w:bCs/>
        </w:rPr>
      </w:pPr>
      <w:r w:rsidRPr="00211208">
        <w:rPr>
          <w:b/>
          <w:bCs/>
        </w:rPr>
        <w:t>Implementation steps</w:t>
      </w:r>
      <w:r>
        <w:rPr>
          <w:b/>
          <w:bCs/>
        </w:rPr>
        <w:t xml:space="preserve">: </w:t>
      </w:r>
      <w:r w:rsidRPr="006971D2">
        <w:t>Establish a joint governance structure to align on shared goals and accountability, and implement integrated IT systems to enable seamless communication and timely patient updates.</w:t>
      </w:r>
    </w:p>
    <w:p w14:paraId="0ED8F1D4" w14:textId="120AE74C" w:rsidR="008B74CF" w:rsidRDefault="008B74CF" w:rsidP="005F4849">
      <w:pPr>
        <w:pStyle w:val="Heading3"/>
      </w:pPr>
      <w:bookmarkStart w:id="25" w:name="_Toc214142189"/>
      <w:r w:rsidRPr="00C0334B">
        <w:t>8.</w:t>
      </w:r>
      <w:r>
        <w:t>3</w:t>
      </w:r>
      <w:r w:rsidR="005F4849">
        <w:t xml:space="preserve"> </w:t>
      </w:r>
      <w:r w:rsidR="005F4849" w:rsidRPr="005F4849">
        <w:t>Enhanced Training</w:t>
      </w:r>
      <w:bookmarkEnd w:id="25"/>
    </w:p>
    <w:p w14:paraId="33C20BF0" w14:textId="2980DD20" w:rsidR="008B74CF" w:rsidRPr="00275D74" w:rsidRDefault="008B74CF" w:rsidP="008B74CF">
      <w:r>
        <w:rPr>
          <w:b/>
          <w:bCs/>
        </w:rPr>
        <w:t>Recommendation:</w:t>
      </w:r>
      <w:r w:rsidR="005F4849">
        <w:rPr>
          <w:b/>
          <w:bCs/>
        </w:rPr>
        <w:t xml:space="preserve"> </w:t>
      </w:r>
      <w:r w:rsidR="00200E36" w:rsidRPr="00200E36">
        <w:t>Promote long-term interprofessional education</w:t>
      </w:r>
      <w:r w:rsidR="00FA09C5">
        <w:t xml:space="preserve"> (IPE)</w:t>
      </w:r>
      <w:r w:rsidR="00200E36" w:rsidRPr="00200E36">
        <w:t xml:space="preserve"> for ED teams</w:t>
      </w:r>
      <w:r w:rsidR="00C50810">
        <w:t xml:space="preserve"> (</w:t>
      </w:r>
      <w:r w:rsidR="00C50810" w:rsidRPr="00C50810">
        <w:t>Kamal</w:t>
      </w:r>
      <w:r w:rsidR="00C50810">
        <w:t xml:space="preserve"> </w:t>
      </w:r>
      <w:r w:rsidR="00C50810">
        <w:rPr>
          <w:i/>
          <w:iCs/>
        </w:rPr>
        <w:t>et al</w:t>
      </w:r>
      <w:r w:rsidR="00C50810">
        <w:t>., 2025)</w:t>
      </w:r>
      <w:r w:rsidR="00200E36" w:rsidRPr="00200E36">
        <w:t>.</w:t>
      </w:r>
    </w:p>
    <w:p w14:paraId="3650B953" w14:textId="4FAFEC37" w:rsidR="008B74CF" w:rsidRDefault="008B74CF" w:rsidP="008B74CF">
      <w:pPr>
        <w:rPr>
          <w:b/>
          <w:bCs/>
        </w:rPr>
      </w:pPr>
      <w:r>
        <w:rPr>
          <w:b/>
          <w:bCs/>
        </w:rPr>
        <w:t>Rationale:</w:t>
      </w:r>
      <w:r w:rsidR="00275D74">
        <w:rPr>
          <w:b/>
          <w:bCs/>
        </w:rPr>
        <w:t xml:space="preserve"> </w:t>
      </w:r>
      <w:r w:rsidR="00FA09C5" w:rsidRPr="00FA09C5">
        <w:t>IPE promotes teamwork, communication, and respect, enhancing safety and reducing errors</w:t>
      </w:r>
      <w:r w:rsidR="00FA09C5">
        <w:t xml:space="preserve"> (</w:t>
      </w:r>
      <w:r w:rsidR="00FA09C5" w:rsidRPr="00C50810">
        <w:t>Kamal</w:t>
      </w:r>
      <w:r w:rsidR="00FA09C5">
        <w:t xml:space="preserve"> </w:t>
      </w:r>
      <w:r w:rsidR="00FA09C5">
        <w:rPr>
          <w:i/>
          <w:iCs/>
        </w:rPr>
        <w:t>et al</w:t>
      </w:r>
      <w:r w:rsidR="00FA09C5">
        <w:t xml:space="preserve">., 2025). </w:t>
      </w:r>
    </w:p>
    <w:p w14:paraId="51E27566" w14:textId="272A5571" w:rsidR="008B74CF" w:rsidRDefault="008B74CF" w:rsidP="008B74CF">
      <w:r w:rsidRPr="00777101">
        <w:rPr>
          <w:b/>
          <w:bCs/>
        </w:rPr>
        <w:t>Barriers/Limitations</w:t>
      </w:r>
      <w:r w:rsidR="00F84650">
        <w:rPr>
          <w:b/>
          <w:bCs/>
        </w:rPr>
        <w:t xml:space="preserve">: </w:t>
      </w:r>
      <w:r w:rsidR="00F84650" w:rsidRPr="00F84650">
        <w:t>Scheduling issues, heavy workloads, participant dropouts, and training costs</w:t>
      </w:r>
      <w:r w:rsidR="00F84650">
        <w:t xml:space="preserve"> (</w:t>
      </w:r>
      <w:r w:rsidR="00F84650" w:rsidRPr="00C50810">
        <w:t>Kamal</w:t>
      </w:r>
      <w:r w:rsidR="00F84650">
        <w:t xml:space="preserve"> </w:t>
      </w:r>
      <w:r w:rsidR="00F84650">
        <w:rPr>
          <w:i/>
          <w:iCs/>
        </w:rPr>
        <w:t>et al</w:t>
      </w:r>
      <w:r w:rsidR="00F84650">
        <w:t>., 2025).</w:t>
      </w:r>
    </w:p>
    <w:p w14:paraId="4D4F12B7" w14:textId="77777777" w:rsidR="001C4511" w:rsidRDefault="001C4511" w:rsidP="008B74CF">
      <w:pPr>
        <w:rPr>
          <w:b/>
          <w:bCs/>
        </w:rPr>
      </w:pPr>
    </w:p>
    <w:p w14:paraId="14760636" w14:textId="7548484C" w:rsidR="008B74CF" w:rsidRDefault="004403FC" w:rsidP="00D20078">
      <w:pPr>
        <w:rPr>
          <w:b/>
          <w:bCs/>
        </w:rPr>
      </w:pPr>
      <w:r w:rsidRPr="00211208">
        <w:rPr>
          <w:b/>
          <w:bCs/>
        </w:rPr>
        <w:lastRenderedPageBreak/>
        <w:t>Implementation steps</w:t>
      </w:r>
      <w:r>
        <w:rPr>
          <w:b/>
          <w:bCs/>
        </w:rPr>
        <w:t>:</w:t>
      </w:r>
    </w:p>
    <w:p w14:paraId="0B369C65" w14:textId="25CF7379" w:rsidR="006C10C0" w:rsidRDefault="005E3127" w:rsidP="00355CCE">
      <w:r w:rsidRPr="005E3127">
        <w:t xml:space="preserve">Develop an IPE program for medical and allied health staff </w:t>
      </w:r>
      <w:r>
        <w:t>and c</w:t>
      </w:r>
      <w:r w:rsidRPr="005E3127">
        <w:t>ollaborate with educational institutions to develop flexible, simulation-based modules that accommodate shift patterns. Seek funding through hospital training budgets or external grants.</w:t>
      </w:r>
    </w:p>
    <w:p w14:paraId="0B3039D9" w14:textId="77777777" w:rsidR="00906932" w:rsidRDefault="00906932" w:rsidP="001032BF"/>
    <w:p w14:paraId="320AAD92" w14:textId="77777777" w:rsidR="00BE4FA2" w:rsidRDefault="00BE4FA2" w:rsidP="001032BF"/>
    <w:p w14:paraId="5ABA107B" w14:textId="77777777" w:rsidR="00BE4FA2" w:rsidRDefault="00BE4FA2" w:rsidP="001032BF"/>
    <w:p w14:paraId="6EFD15EE" w14:textId="77777777" w:rsidR="00BE4FA2" w:rsidRDefault="00BE4FA2" w:rsidP="001032BF"/>
    <w:p w14:paraId="150B0142" w14:textId="77777777" w:rsidR="00BE4FA2" w:rsidRDefault="00BE4FA2" w:rsidP="001032BF"/>
    <w:p w14:paraId="7D2759C8" w14:textId="77777777" w:rsidR="00BE4FA2" w:rsidRDefault="00BE4FA2" w:rsidP="001032BF"/>
    <w:p w14:paraId="6DDABBFE" w14:textId="77777777" w:rsidR="00BE4FA2" w:rsidRDefault="00BE4FA2" w:rsidP="001032BF"/>
    <w:p w14:paraId="226BA551" w14:textId="77777777" w:rsidR="00BE4FA2" w:rsidRDefault="00BE4FA2" w:rsidP="001032BF"/>
    <w:p w14:paraId="13C108AD" w14:textId="77777777" w:rsidR="00BE4FA2" w:rsidRDefault="00BE4FA2" w:rsidP="001032BF"/>
    <w:p w14:paraId="193E553B" w14:textId="77777777" w:rsidR="00BE4FA2" w:rsidRDefault="00BE4FA2" w:rsidP="001032BF"/>
    <w:p w14:paraId="15EE5AD5" w14:textId="77777777" w:rsidR="00BE4FA2" w:rsidRDefault="00BE4FA2" w:rsidP="001032BF"/>
    <w:p w14:paraId="49E55A2B" w14:textId="77777777" w:rsidR="00BE4FA2" w:rsidRDefault="00BE4FA2" w:rsidP="001032BF"/>
    <w:p w14:paraId="0A5D5A88" w14:textId="77777777" w:rsidR="00BE4FA2" w:rsidRDefault="00BE4FA2" w:rsidP="001032BF"/>
    <w:p w14:paraId="5EA72FD6" w14:textId="77777777" w:rsidR="00BE4FA2" w:rsidRDefault="00BE4FA2" w:rsidP="001032BF"/>
    <w:p w14:paraId="7F187F31" w14:textId="77777777" w:rsidR="00BE4FA2" w:rsidRDefault="00BE4FA2" w:rsidP="001032BF"/>
    <w:p w14:paraId="15411B7D" w14:textId="77777777" w:rsidR="00BE4FA2" w:rsidRDefault="00BE4FA2" w:rsidP="001032BF"/>
    <w:p w14:paraId="375E8A22" w14:textId="77777777" w:rsidR="00BE4FA2" w:rsidRDefault="00BE4FA2" w:rsidP="001032BF"/>
    <w:p w14:paraId="1460B9F6" w14:textId="77777777" w:rsidR="00BE4FA2" w:rsidRDefault="00BE4FA2" w:rsidP="001032BF"/>
    <w:p w14:paraId="1F1E1743" w14:textId="77777777" w:rsidR="00BE4FA2" w:rsidRDefault="00BE4FA2" w:rsidP="001032BF"/>
    <w:p w14:paraId="3C2896AF" w14:textId="77777777" w:rsidR="00BE4FA2" w:rsidRDefault="00BE4FA2" w:rsidP="001032BF"/>
    <w:p w14:paraId="29CD5241" w14:textId="77777777" w:rsidR="00BE4FA2" w:rsidRPr="001032BF" w:rsidRDefault="00BE4FA2" w:rsidP="001032BF"/>
    <w:p w14:paraId="554DF291" w14:textId="3DBB3A62" w:rsidR="00164583" w:rsidRPr="004838F5" w:rsidRDefault="00BE5486" w:rsidP="004838F5">
      <w:pPr>
        <w:pStyle w:val="Heading2"/>
      </w:pPr>
      <w:bookmarkStart w:id="26" w:name="_Toc214142190"/>
      <w:r w:rsidRPr="004838F5">
        <w:lastRenderedPageBreak/>
        <w:t>9</w:t>
      </w:r>
      <w:r w:rsidR="002474E3">
        <w:t>.</w:t>
      </w:r>
      <w:r w:rsidRPr="004838F5">
        <w:t xml:space="preserve"> </w:t>
      </w:r>
      <w:bookmarkStart w:id="27" w:name="_Hlk213942576"/>
      <w:r w:rsidR="004838F5" w:rsidRPr="004838F5">
        <w:t>Summary</w:t>
      </w:r>
      <w:bookmarkEnd w:id="26"/>
    </w:p>
    <w:p w14:paraId="0DE6F96C" w14:textId="1931279A" w:rsidR="004776AD" w:rsidRPr="004776AD" w:rsidRDefault="003A4622" w:rsidP="004776AD">
      <w:pPr>
        <w:rPr>
          <w:color w:val="000000" w:themeColor="text1"/>
        </w:rPr>
      </w:pPr>
      <w:r w:rsidRPr="005C3106">
        <w:t xml:space="preserve">This report assesses the roles of PCC and PW </w:t>
      </w:r>
      <w:r>
        <w:t>within the UK health and social care framework, with a focus</w:t>
      </w:r>
      <w:r w:rsidRPr="005C3106">
        <w:t xml:space="preserve"> on the ED. Findings from the </w:t>
      </w:r>
      <w:r w:rsidRPr="00A5548E">
        <w:t>BPS</w:t>
      </w:r>
      <w:r w:rsidR="00267B30">
        <w:t xml:space="preserve"> (1977) and GPCC </w:t>
      </w:r>
      <w:r w:rsidR="00A5548E">
        <w:t>(2011) models</w:t>
      </w:r>
      <w:r w:rsidRPr="002B1936">
        <w:rPr>
          <w:color w:val="EE0000"/>
        </w:rPr>
        <w:t xml:space="preserve"> </w:t>
      </w:r>
      <w:r w:rsidRPr="005C3106">
        <w:t xml:space="preserve">highlight the value of </w:t>
      </w:r>
      <w:r>
        <w:t>organised</w:t>
      </w:r>
      <w:r w:rsidRPr="005C3106">
        <w:t>, person-centred handovers and collaboration in EDs. An ethical analysis shows how core principles support PCC and PW, while a review of</w:t>
      </w:r>
      <w:r w:rsidR="003F79B1">
        <w:t xml:space="preserve"> relevant</w:t>
      </w:r>
      <w:r w:rsidRPr="005C3106">
        <w:t xml:space="preserve"> policies</w:t>
      </w:r>
      <w:r w:rsidR="003F79B1">
        <w:t xml:space="preserve"> and legislation</w:t>
      </w:r>
      <w:r w:rsidRPr="005C3106">
        <w:t xml:space="preserve"> reveals both facilitators and barriers to these strategies. The report concludes that PCC and PW have significant potential in emergency care despite existing challenges. </w:t>
      </w:r>
      <w:r w:rsidR="000B69C2" w:rsidRPr="005C3106">
        <w:t xml:space="preserve">Key recommendations include securing hospital funding, developing </w:t>
      </w:r>
      <w:r w:rsidR="000B69C2">
        <w:t>IPE</w:t>
      </w:r>
      <w:r w:rsidR="000B69C2" w:rsidRPr="005C3106">
        <w:t>, and enhancing collaboration</w:t>
      </w:r>
      <w:r w:rsidR="000B69C2">
        <w:t xml:space="preserve"> </w:t>
      </w:r>
      <w:r w:rsidR="000B69C2" w:rsidRPr="005C3106">
        <w:t>and governance</w:t>
      </w:r>
      <w:r w:rsidR="0044329B" w:rsidRPr="0044329B">
        <w:rPr>
          <w:color w:val="000000" w:themeColor="text1"/>
        </w:rPr>
        <w:t>.</w:t>
      </w:r>
      <w:r w:rsidR="0044329B">
        <w:rPr>
          <w:color w:val="000000" w:themeColor="text1"/>
        </w:rPr>
        <w:t xml:space="preserve"> </w:t>
      </w:r>
      <w:r w:rsidRPr="005C3106">
        <w:t xml:space="preserve">As health </w:t>
      </w:r>
      <w:r>
        <w:t xml:space="preserve">and social </w:t>
      </w:r>
      <w:r w:rsidRPr="005C3106">
        <w:t xml:space="preserve">systems evolve, integrating PCC and PW will be essential </w:t>
      </w:r>
      <w:r>
        <w:t>to providing effective, respectful, and compassionate care</w:t>
      </w:r>
      <w:r w:rsidR="003F79B1">
        <w:t>.</w:t>
      </w:r>
      <w:r w:rsidR="004776AD">
        <w:rPr>
          <w:color w:val="000000" w:themeColor="text1"/>
        </w:rPr>
        <w:t xml:space="preserve"> </w:t>
      </w:r>
    </w:p>
    <w:bookmarkEnd w:id="27"/>
    <w:p w14:paraId="77D23D51" w14:textId="77777777" w:rsidR="00397440" w:rsidRDefault="00397440" w:rsidP="009357F5">
      <w:pPr>
        <w:rPr>
          <w:color w:val="000000" w:themeColor="text1"/>
        </w:rPr>
      </w:pPr>
    </w:p>
    <w:p w14:paraId="06EBE2EA" w14:textId="77777777" w:rsidR="00C42252" w:rsidRDefault="00C42252" w:rsidP="00397440">
      <w:pPr>
        <w:rPr>
          <w:rFonts w:cs="Arial"/>
          <w:color w:val="EE0000"/>
        </w:rPr>
      </w:pPr>
    </w:p>
    <w:p w14:paraId="2EBB3A1F" w14:textId="77777777" w:rsidR="00561C72" w:rsidRDefault="00561C72" w:rsidP="00397440"/>
    <w:p w14:paraId="7D5CC52E" w14:textId="77777777" w:rsidR="00397440" w:rsidRDefault="00397440" w:rsidP="009357F5">
      <w:pPr>
        <w:rPr>
          <w:color w:val="000000" w:themeColor="text1"/>
        </w:rPr>
      </w:pPr>
    </w:p>
    <w:p w14:paraId="18D91ACE" w14:textId="77777777" w:rsidR="00397440" w:rsidRDefault="00397440" w:rsidP="009357F5">
      <w:pPr>
        <w:rPr>
          <w:color w:val="000000" w:themeColor="text1"/>
        </w:rPr>
      </w:pPr>
    </w:p>
    <w:p w14:paraId="259FA118" w14:textId="12671D3B" w:rsidR="009357F5" w:rsidRPr="009357F5" w:rsidRDefault="00320047" w:rsidP="009357F5">
      <w:r w:rsidRPr="00320047">
        <w:t xml:space="preserve"> </w:t>
      </w:r>
    </w:p>
    <w:p w14:paraId="63B00251" w14:textId="77F3E045" w:rsidR="006E70BB" w:rsidRPr="006E70BB" w:rsidRDefault="006E70BB" w:rsidP="006E70BB"/>
    <w:p w14:paraId="12A1F75E" w14:textId="618AD6D6" w:rsidR="00BE293F" w:rsidRPr="00BE293F" w:rsidRDefault="00BE293F" w:rsidP="00BE293F"/>
    <w:p w14:paraId="5246BD62" w14:textId="77777777" w:rsidR="00BE293F" w:rsidRDefault="00BE293F" w:rsidP="00C01E5C"/>
    <w:p w14:paraId="67A85B02" w14:textId="77777777" w:rsidR="00C01E5C" w:rsidRPr="00EA7FD0" w:rsidRDefault="00C01E5C" w:rsidP="002325E0">
      <w:pPr>
        <w:rPr>
          <w:rFonts w:cs="Arial"/>
          <w:lang w:val="en-US"/>
        </w:rPr>
      </w:pPr>
    </w:p>
    <w:p w14:paraId="7A7DB8B5" w14:textId="77777777" w:rsidR="00C01E5C" w:rsidRPr="00EA7FD0" w:rsidRDefault="00C01E5C" w:rsidP="002325E0">
      <w:pPr>
        <w:rPr>
          <w:rFonts w:cs="Arial"/>
          <w:lang w:val="en-US"/>
        </w:rPr>
      </w:pPr>
    </w:p>
    <w:p w14:paraId="7D302C04" w14:textId="77777777" w:rsidR="002325E0" w:rsidRDefault="002325E0" w:rsidP="00ED506A">
      <w:pPr>
        <w:rPr>
          <w:rFonts w:cs="Arial"/>
          <w:szCs w:val="22"/>
        </w:rPr>
      </w:pPr>
    </w:p>
    <w:p w14:paraId="3779A373" w14:textId="77777777" w:rsidR="004F37E9" w:rsidRDefault="004F37E9">
      <w:pPr>
        <w:rPr>
          <w:rFonts w:cs="Arial"/>
          <w:szCs w:val="22"/>
        </w:rPr>
      </w:pPr>
    </w:p>
    <w:p w14:paraId="1BD55B89" w14:textId="77777777" w:rsidR="00906932" w:rsidRDefault="00906932">
      <w:pPr>
        <w:rPr>
          <w:lang w:val="en-US"/>
        </w:rPr>
      </w:pPr>
    </w:p>
    <w:p w14:paraId="4BA2AB81" w14:textId="77777777" w:rsidR="00057363" w:rsidRDefault="00057363">
      <w:pPr>
        <w:rPr>
          <w:lang w:val="en-US"/>
        </w:rPr>
      </w:pPr>
    </w:p>
    <w:p w14:paraId="3A218D45" w14:textId="77777777" w:rsidR="008D7A88" w:rsidRDefault="008D7A88">
      <w:pPr>
        <w:rPr>
          <w:lang w:val="en-US"/>
        </w:rPr>
      </w:pPr>
    </w:p>
    <w:p w14:paraId="7F0D47E2" w14:textId="77777777" w:rsidR="008D7A88" w:rsidRDefault="008D7A88">
      <w:pPr>
        <w:rPr>
          <w:lang w:val="en-US"/>
        </w:rPr>
      </w:pPr>
    </w:p>
    <w:p w14:paraId="5928B9DF" w14:textId="02C85E46" w:rsidR="008D7A88" w:rsidRDefault="002474E3" w:rsidP="008D7A88">
      <w:pPr>
        <w:pStyle w:val="Heading2"/>
      </w:pPr>
      <w:bookmarkStart w:id="28" w:name="_Toc214142191"/>
      <w:r>
        <w:lastRenderedPageBreak/>
        <w:t xml:space="preserve">10. </w:t>
      </w:r>
      <w:r w:rsidR="007860F7" w:rsidRPr="00906932">
        <w:t>References</w:t>
      </w:r>
      <w:bookmarkEnd w:id="28"/>
      <w:r w:rsidR="007860F7" w:rsidRPr="00906932">
        <w:t xml:space="preserve"> </w:t>
      </w:r>
      <w:bookmarkEnd w:id="0"/>
    </w:p>
    <w:p w14:paraId="0A6F7E93" w14:textId="7DBFCA19" w:rsidR="008D7A88" w:rsidRDefault="008D7A88" w:rsidP="00A02FE9">
      <w:pPr>
        <w:rPr>
          <w:lang w:val="fr-FR"/>
        </w:rPr>
      </w:pPr>
      <w:r w:rsidRPr="007C2FD6">
        <w:t>Aacharya, R.P., Gastmans, C. and Denier, Y. (2011) 'Emergency department triage: an ethical analysis', </w:t>
      </w:r>
      <w:r w:rsidRPr="007C2FD6">
        <w:rPr>
          <w:i/>
          <w:iCs/>
        </w:rPr>
        <w:t>BMC Emergency Medicine</w:t>
      </w:r>
      <w:r w:rsidRPr="007C2FD6">
        <w:t xml:space="preserve">, 11(1), p.16. </w:t>
      </w:r>
      <w:r w:rsidRPr="007C2FD6">
        <w:rPr>
          <w:lang w:val="fr-FR"/>
        </w:rPr>
        <w:t>Available</w:t>
      </w:r>
      <w:r>
        <w:rPr>
          <w:lang w:val="fr-FR"/>
        </w:rPr>
        <w:t xml:space="preserve"> </w:t>
      </w:r>
      <w:r w:rsidRPr="007C2FD6">
        <w:rPr>
          <w:lang w:val="fr-FR"/>
        </w:rPr>
        <w:t>at: </w:t>
      </w:r>
      <w:hyperlink r:id="rId10" w:history="1">
        <w:r w:rsidRPr="006A739B">
          <w:rPr>
            <w:rStyle w:val="Hyperlink"/>
            <w:lang w:val="fr-FR"/>
          </w:rPr>
          <w:t>https://www.ncbi.nlm.nih.gov/pmc/articles/PMC3199257</w:t>
        </w:r>
      </w:hyperlink>
      <w:r>
        <w:rPr>
          <w:lang w:val="fr-FR"/>
        </w:rPr>
        <w:t xml:space="preserve">. </w:t>
      </w:r>
    </w:p>
    <w:p w14:paraId="725789B8" w14:textId="77777777" w:rsidR="008D7A88" w:rsidRDefault="008D7A88" w:rsidP="00A02FE9">
      <w:r w:rsidRPr="00186E64">
        <w:t>Alderwick, H., Hutchings, A., Briggs, A. and Mays, N. (2021) 'The impacts of collaboration between local health care and non-health care organizations and factors shaping how they work: a systematic review of reviews', </w:t>
      </w:r>
      <w:r w:rsidRPr="00186E64">
        <w:rPr>
          <w:i/>
          <w:iCs/>
        </w:rPr>
        <w:t>BMC public health</w:t>
      </w:r>
      <w:r w:rsidRPr="00186E64">
        <w:t>, 21(1), p.753. Available at: </w:t>
      </w:r>
      <w:hyperlink r:id="rId11" w:history="1">
        <w:r w:rsidRPr="006A739B">
          <w:rPr>
            <w:rStyle w:val="Hyperlink"/>
          </w:rPr>
          <w:t>https://doi.org/10.1186/s12889-021-10630-1</w:t>
        </w:r>
      </w:hyperlink>
      <w:r>
        <w:t xml:space="preserve">. </w:t>
      </w:r>
    </w:p>
    <w:p w14:paraId="234B3A27" w14:textId="77777777" w:rsidR="008D7A88" w:rsidRDefault="008D7A88" w:rsidP="00A02FE9">
      <w:r w:rsidRPr="00B25940">
        <w:t>Antova, I. (2020) 'Disability rights during Covid-19: Emergency law and guidelines in England', </w:t>
      </w:r>
      <w:r w:rsidRPr="00B25940">
        <w:rPr>
          <w:i/>
          <w:iCs/>
        </w:rPr>
        <w:t>Medical Law Review</w:t>
      </w:r>
      <w:r w:rsidRPr="00B25940">
        <w:t>, 28(4), pp.804-816. Available at: </w:t>
      </w:r>
      <w:hyperlink r:id="rId12" w:history="1">
        <w:r w:rsidRPr="00013D6D">
          <w:rPr>
            <w:rStyle w:val="Hyperlink"/>
          </w:rPr>
          <w:t>https://doi.org/10.1093/medlaw/fwaa026</w:t>
        </w:r>
      </w:hyperlink>
      <w:r>
        <w:t xml:space="preserve">. </w:t>
      </w:r>
    </w:p>
    <w:p w14:paraId="1802A9A3" w14:textId="77777777" w:rsidR="008D7A88" w:rsidRDefault="008D7A88" w:rsidP="00A02FE9">
      <w:r w:rsidRPr="006C19F8">
        <w:t>Barnard, A., Calabria, V. and Griffiths, L. (2023) </w:t>
      </w:r>
      <w:r w:rsidRPr="006C19F8">
        <w:rPr>
          <w:i/>
          <w:iCs/>
        </w:rPr>
        <w:t>Key Themes in Health and Social Care: A Companion to Learning</w:t>
      </w:r>
      <w:r w:rsidRPr="006C19F8">
        <w:t>. 2nd edn. Routledge.</w:t>
      </w:r>
    </w:p>
    <w:p w14:paraId="39327FEC" w14:textId="77777777" w:rsidR="008D7A88" w:rsidRDefault="008D7A88" w:rsidP="00A02FE9">
      <w:r w:rsidRPr="00004108">
        <w:t>Barnes, D., Boland, B., Linhart, K. and Wilson, K. (2017) 'Personalisation and social care assessment–the Care Act 2014', </w:t>
      </w:r>
      <w:r w:rsidRPr="00004108">
        <w:rPr>
          <w:i/>
          <w:iCs/>
        </w:rPr>
        <w:t>BJPsych Bulletin</w:t>
      </w:r>
      <w:r w:rsidRPr="00004108">
        <w:t>, 41(3), pp.176-180. Available at: </w:t>
      </w:r>
      <w:hyperlink r:id="rId13" w:history="1">
        <w:r w:rsidRPr="00013D6D">
          <w:rPr>
            <w:rStyle w:val="Hyperlink"/>
          </w:rPr>
          <w:t>https://doi.org/10.1192/pb.bp.116.053660</w:t>
        </w:r>
      </w:hyperlink>
      <w:r>
        <w:t xml:space="preserve">. </w:t>
      </w:r>
    </w:p>
    <w:p w14:paraId="616252EE" w14:textId="77777777" w:rsidR="008D7A88" w:rsidRDefault="008D7A88" w:rsidP="00A02FE9">
      <w:r w:rsidRPr="00B123D1">
        <w:t>Beauchamp, T.L. and Childress, J.F. (2019) </w:t>
      </w:r>
      <w:r w:rsidRPr="00B123D1">
        <w:rPr>
          <w:i/>
          <w:iCs/>
        </w:rPr>
        <w:t>Principles of Biomedical Ethics</w:t>
      </w:r>
      <w:r w:rsidRPr="00B123D1">
        <w:t>. </w:t>
      </w:r>
      <w:r>
        <w:t>8th</w:t>
      </w:r>
      <w:r w:rsidRPr="006C19F8">
        <w:t xml:space="preserve"> edn</w:t>
      </w:r>
      <w:r>
        <w:t xml:space="preserve">. </w:t>
      </w:r>
      <w:r w:rsidRPr="00B123D1">
        <w:t>Oxford University Press.</w:t>
      </w:r>
    </w:p>
    <w:p w14:paraId="14145845" w14:textId="77777777" w:rsidR="008D7A88" w:rsidRDefault="008D7A88" w:rsidP="00A02FE9">
      <w:r w:rsidRPr="005E494A">
        <w:t>Berntsen, G.R., Yaron, S., Chetty, M., Canfield, C., Ako-Egbe, L., Phan, P., Curran, C. and Castro, I. (2021) 'Person-centered care (PCC): The people’s perspective', </w:t>
      </w:r>
      <w:r w:rsidRPr="005E494A">
        <w:rPr>
          <w:i/>
          <w:iCs/>
        </w:rPr>
        <w:t>International Journal for Quality in Health Care</w:t>
      </w:r>
      <w:r w:rsidRPr="005E494A">
        <w:t xml:space="preserve">, 33(Supplement_2), pp.ii23-ii26. Available at: </w:t>
      </w:r>
      <w:hyperlink r:id="rId14" w:history="1">
        <w:r w:rsidRPr="00DD5009">
          <w:rPr>
            <w:rStyle w:val="Hyperlink"/>
          </w:rPr>
          <w:t>https://doi.org/10.1093/intqhc/mzab052</w:t>
        </w:r>
      </w:hyperlink>
      <w:r>
        <w:t xml:space="preserve">. </w:t>
      </w:r>
    </w:p>
    <w:p w14:paraId="6B8B0071" w14:textId="77777777" w:rsidR="008D7A88" w:rsidRDefault="008D7A88" w:rsidP="00A02FE9">
      <w:r w:rsidRPr="002277CE">
        <w:t>Byrne, A., Baldwin, A. and Harvey, C. (2020) 'Whose centre is it anyway? Defining person-centred care in nursing: An integrative review', </w:t>
      </w:r>
      <w:r w:rsidRPr="002277CE">
        <w:rPr>
          <w:i/>
          <w:iCs/>
        </w:rPr>
        <w:t>PloS one</w:t>
      </w:r>
      <w:r w:rsidRPr="002277CE">
        <w:t>, 15(3), p.e0229923. Available at: </w:t>
      </w:r>
      <w:hyperlink r:id="rId15" w:history="1">
        <w:r w:rsidRPr="006A739B">
          <w:rPr>
            <w:rStyle w:val="Hyperlink"/>
          </w:rPr>
          <w:t>https://doi.org/10.1371/journal.pone.0229923</w:t>
        </w:r>
      </w:hyperlink>
      <w:r>
        <w:t>.</w:t>
      </w:r>
    </w:p>
    <w:p w14:paraId="4E9CE3CA" w14:textId="77777777" w:rsidR="008D7A88" w:rsidRDefault="008D7A88" w:rsidP="007C1EEC">
      <w:pPr>
        <w:rPr>
          <w:color w:val="C00000"/>
        </w:rPr>
      </w:pPr>
      <w:r w:rsidRPr="00A62202">
        <w:t xml:space="preserve">Care Act (2014) Legislation.gov.uk. Available at: </w:t>
      </w:r>
      <w:hyperlink r:id="rId16" w:history="1">
        <w:r w:rsidRPr="00A62202">
          <w:rPr>
            <w:rStyle w:val="Hyperlink"/>
            <w:color w:val="auto"/>
          </w:rPr>
          <w:t>https://www.legislation.gov.uk/en/ukpga/2014/23/contents/enacted</w:t>
        </w:r>
      </w:hyperlink>
      <w:r w:rsidRPr="00A62202">
        <w:t xml:space="preserve"> (Accessed: 13 November 2025).</w:t>
      </w:r>
    </w:p>
    <w:p w14:paraId="73DB9638" w14:textId="77777777" w:rsidR="008D7A88" w:rsidRDefault="008D7A88" w:rsidP="00A02FE9">
      <w:r w:rsidRPr="00465852">
        <w:t>Dancour, E.E. (2024) </w:t>
      </w:r>
      <w:r w:rsidRPr="00465852">
        <w:rPr>
          <w:i/>
          <w:iCs/>
        </w:rPr>
        <w:t>Ethical issues in the ED</w:t>
      </w:r>
      <w:r w:rsidRPr="00465852">
        <w:t xml:space="preserve">. </w:t>
      </w:r>
      <w:r w:rsidRPr="00663228">
        <w:t>Available at: </w:t>
      </w:r>
      <w:hyperlink r:id="rId17" w:history="1">
        <w:r w:rsidRPr="00663228">
          <w:rPr>
            <w:rStyle w:val="Hyperlink"/>
          </w:rPr>
          <w:t>https://www.saem.org/about-saem/academies-interest-groups-affiliates2/cdem/for-students/online-education/m3-curriculum/professionalism/ethical-issues-in-the-ed</w:t>
        </w:r>
      </w:hyperlink>
      <w:r w:rsidRPr="00663228">
        <w:t xml:space="preserve"> </w:t>
      </w:r>
      <w:r w:rsidRPr="00465852">
        <w:t>(Accessed: 06 November 2025).</w:t>
      </w:r>
    </w:p>
    <w:p w14:paraId="4A1EDA61" w14:textId="77777777" w:rsidR="008D7A88" w:rsidRDefault="008D7A88" w:rsidP="00A02FE9">
      <w:r w:rsidRPr="00640E36">
        <w:lastRenderedPageBreak/>
        <w:t>de Leeuw, E., Clavier, C. and Breton, E. (2014) 'Health policy – why research it and how: health political science', </w:t>
      </w:r>
      <w:r w:rsidRPr="00640E36">
        <w:rPr>
          <w:i/>
          <w:iCs/>
        </w:rPr>
        <w:t>Health Research Policy and Systems</w:t>
      </w:r>
      <w:r w:rsidRPr="00640E36">
        <w:t>, 12, 55. Available at: </w:t>
      </w:r>
      <w:hyperlink r:id="rId18" w:history="1">
        <w:r w:rsidRPr="00013D6D">
          <w:rPr>
            <w:rStyle w:val="Hyperlink"/>
          </w:rPr>
          <w:t>https://doi.org/10.1186/1478-4505-12-55</w:t>
        </w:r>
      </w:hyperlink>
      <w:r>
        <w:t xml:space="preserve">. </w:t>
      </w:r>
    </w:p>
    <w:p w14:paraId="1CAC94C8" w14:textId="77777777" w:rsidR="008D7A88" w:rsidRPr="00A62202" w:rsidRDefault="008D7A88" w:rsidP="00AC351C">
      <w:r w:rsidRPr="00A62202">
        <w:t xml:space="preserve">Equality Act (2010) Legislation.gov.uk. Available at: </w:t>
      </w:r>
      <w:hyperlink r:id="rId19" w:history="1">
        <w:r w:rsidRPr="00A62202">
          <w:rPr>
            <w:rStyle w:val="Hyperlink"/>
            <w:color w:val="auto"/>
          </w:rPr>
          <w:t>https://www.legislation.gov.uk/ukpga/2010/15/contents</w:t>
        </w:r>
      </w:hyperlink>
      <w:r w:rsidRPr="00A62202">
        <w:t xml:space="preserve"> (Accessed: 13 November 2025).</w:t>
      </w:r>
    </w:p>
    <w:p w14:paraId="23D47275" w14:textId="77777777" w:rsidR="008D7A88" w:rsidRDefault="008D7A88" w:rsidP="00A02FE9">
      <w:r w:rsidRPr="009532F8">
        <w:t>Fridberg, H., Wallin, L. and Tistad, M. (2022) 'Operationalisation of person-centred care in a real-world setting: a case study with six embedded units', </w:t>
      </w:r>
      <w:r w:rsidRPr="009532F8">
        <w:rPr>
          <w:i/>
          <w:iCs/>
        </w:rPr>
        <w:t>BMC health services research</w:t>
      </w:r>
      <w:r w:rsidRPr="009532F8">
        <w:t>, 22(1), p.1160. Available at: </w:t>
      </w:r>
      <w:hyperlink r:id="rId20" w:history="1">
        <w:r w:rsidRPr="00DD5009">
          <w:rPr>
            <w:rStyle w:val="Hyperlink"/>
          </w:rPr>
          <w:t>https://doi.org/10.1186/s12913-022-08516-y</w:t>
        </w:r>
      </w:hyperlink>
      <w:r>
        <w:t xml:space="preserve">. </w:t>
      </w:r>
    </w:p>
    <w:p w14:paraId="2837B604" w14:textId="77777777" w:rsidR="008D7A88" w:rsidRDefault="008D7A88" w:rsidP="00A02FE9">
      <w:r w:rsidRPr="00537C85">
        <w:t>Gupta, A., Arya, S., Yadav, P., Gupta, A., Raj, A., Maurya, T. and Kaur, P. (2025) 'Barriers, Challenges, and Facilitators Experienced by Healthcare Professionals in Providing Immediate and Efficient Care in the Emergency Department: A Mixed-Methods Study', </w:t>
      </w:r>
      <w:r w:rsidRPr="00537C85">
        <w:rPr>
          <w:i/>
          <w:iCs/>
        </w:rPr>
        <w:t>Cureus</w:t>
      </w:r>
      <w:r w:rsidRPr="00537C85">
        <w:t xml:space="preserve">, 17(6), e86089. </w:t>
      </w:r>
      <w:hyperlink r:id="rId21" w:history="1">
        <w:r w:rsidRPr="006A739B">
          <w:rPr>
            <w:rStyle w:val="Hyperlink"/>
          </w:rPr>
          <w:t>https://doi.org/10.7759/cureus.86089</w:t>
        </w:r>
      </w:hyperlink>
      <w:r>
        <w:t xml:space="preserve">. </w:t>
      </w:r>
    </w:p>
    <w:p w14:paraId="7C4E842D" w14:textId="77777777" w:rsidR="008D7A88" w:rsidRPr="00A62202" w:rsidRDefault="008D7A88" w:rsidP="007C1EEC">
      <w:r w:rsidRPr="00A62202">
        <w:t xml:space="preserve">Health and Care Act (2022) Legislation.gov.uk. Available at: </w:t>
      </w:r>
      <w:hyperlink r:id="rId22" w:history="1">
        <w:r w:rsidRPr="00A62202">
          <w:rPr>
            <w:rStyle w:val="Hyperlink"/>
            <w:color w:val="auto"/>
          </w:rPr>
          <w:t>https://www.legislation.gov.uk/ukpga/2022/31</w:t>
        </w:r>
      </w:hyperlink>
      <w:r w:rsidRPr="00A62202">
        <w:t xml:space="preserve"> (Accessed: 13 November 2025).</w:t>
      </w:r>
    </w:p>
    <w:p w14:paraId="6B31B28C" w14:textId="77777777" w:rsidR="008D7A88" w:rsidRDefault="008D7A88" w:rsidP="00EA7655">
      <w:r w:rsidRPr="004D6430">
        <w:t>Hess, E.P., Hollander, J.E., Schaffer, J.T., Kline, J.A., Torres, C.A., Diercks, D.B., Jones, R., Owen, K.P., Meisel, Z.F., Demers, M. and Leblanc, A. (2016) 'Shared decision making in patients with low risk chest pain: prospective randomized pragmatic trial', </w:t>
      </w:r>
      <w:r w:rsidRPr="004D6430">
        <w:rPr>
          <w:i/>
          <w:iCs/>
        </w:rPr>
        <w:t>BMJ</w:t>
      </w:r>
      <w:r w:rsidRPr="004D6430">
        <w:t>, 355. Available at: </w:t>
      </w:r>
      <w:hyperlink r:id="rId23" w:history="1">
        <w:r w:rsidRPr="00247F08">
          <w:rPr>
            <w:rStyle w:val="Hyperlink"/>
          </w:rPr>
          <w:t>https://doi.org/10.1136/bmj.i6165</w:t>
        </w:r>
      </w:hyperlink>
      <w:r>
        <w:t xml:space="preserve">. </w:t>
      </w:r>
    </w:p>
    <w:p w14:paraId="6C9B9CF8" w14:textId="77777777" w:rsidR="008D7A88" w:rsidRDefault="008D7A88" w:rsidP="00A02FE9">
      <w:r w:rsidRPr="00C50810">
        <w:t>Kamal, E., El-Maradny, Y., Elgamal, L.A., Alnagdy, M.A., Salem, M.R. and Ashmawy, R. (2025) 'Interprofessional training in medical education: competency, collaboration, and multi-level analysis across seven governorates, Egypt', </w:t>
      </w:r>
      <w:r w:rsidRPr="00C50810">
        <w:rPr>
          <w:i/>
          <w:iCs/>
        </w:rPr>
        <w:t>BMC Medical Education</w:t>
      </w:r>
      <w:r w:rsidRPr="00C50810">
        <w:t>, 25(1), p.787. Available at: </w:t>
      </w:r>
      <w:hyperlink r:id="rId24" w:history="1">
        <w:r w:rsidRPr="00F62D75">
          <w:rPr>
            <w:rStyle w:val="Hyperlink"/>
          </w:rPr>
          <w:t>https://doi.org/10.1186/s12909-025-07369-3</w:t>
        </w:r>
      </w:hyperlink>
      <w:r>
        <w:t xml:space="preserve">. </w:t>
      </w:r>
    </w:p>
    <w:p w14:paraId="28E1B687" w14:textId="77777777" w:rsidR="008D7A88" w:rsidRDefault="008D7A88" w:rsidP="00A02FE9">
      <w:r w:rsidRPr="008D55A4">
        <w:t>Khorram-Manesh, A., Gray, L., Goniewicz, K., Cocco, A., Ranse, J., Phattharapornjaroen, P., Achour, N., Sørensen, J., Peyravi, M., Hertelendy, A.J. and Kupietz, K. (2024) 'Care in emergencies and disasters: Can it be person-centered?', </w:t>
      </w:r>
      <w:r w:rsidRPr="008D55A4">
        <w:rPr>
          <w:i/>
          <w:iCs/>
        </w:rPr>
        <w:t>Patient education and counseling</w:t>
      </w:r>
      <w:r w:rsidRPr="008D55A4">
        <w:t>, 118, p.108046. Available at: </w:t>
      </w:r>
      <w:hyperlink r:id="rId25" w:history="1">
        <w:r w:rsidRPr="00DD5009">
          <w:rPr>
            <w:rStyle w:val="Hyperlink"/>
          </w:rPr>
          <w:t>https://doi.org/doi:10.1016/j.pec.2023.108046</w:t>
        </w:r>
      </w:hyperlink>
      <w:r>
        <w:t xml:space="preserve">. </w:t>
      </w:r>
    </w:p>
    <w:p w14:paraId="76242A30" w14:textId="77777777" w:rsidR="008D7A88" w:rsidRDefault="008D7A88" w:rsidP="00A02FE9">
      <w:r w:rsidRPr="00BB03EE">
        <w:t>Matzer, F., Wisiak, U.V., Graninger, M., Söllner, W., Stilling, H.P., Glawischnig-Goschnik, M., Lueger, A. and Fazekas, C. (2012) 'Biopsychosocial health care needs at the emergency room: challenge of complexity', </w:t>
      </w:r>
      <w:r w:rsidRPr="00BB03EE">
        <w:rPr>
          <w:i/>
          <w:iCs/>
        </w:rPr>
        <w:t>PLoS One</w:t>
      </w:r>
      <w:r w:rsidRPr="00BB03EE">
        <w:t xml:space="preserve">, 7(8):e41775. Available at: </w:t>
      </w:r>
      <w:hyperlink r:id="rId26" w:history="1">
        <w:r w:rsidRPr="00DD5009">
          <w:rPr>
            <w:rStyle w:val="Hyperlink"/>
          </w:rPr>
          <w:t>https://doi.org/10.1371/journal.pone.0041775</w:t>
        </w:r>
      </w:hyperlink>
      <w:r>
        <w:t xml:space="preserve">. </w:t>
      </w:r>
    </w:p>
    <w:p w14:paraId="647368C6" w14:textId="77777777" w:rsidR="008D7A88" w:rsidRDefault="008D7A88" w:rsidP="00A02FE9">
      <w:r w:rsidRPr="004A0451">
        <w:t>Mezzich, J., Snaedal, J., Van Weel, C. and Heath, I. (2010) 'Toward person-centered medicine: from disease to patient to person', </w:t>
      </w:r>
      <w:r w:rsidRPr="004A0451">
        <w:rPr>
          <w:i/>
          <w:iCs/>
        </w:rPr>
        <w:t>Mount Sinai Journal of Medicine</w:t>
      </w:r>
      <w:r w:rsidRPr="004A0451">
        <w:t>, 77(3), pp. 304–306. Available at: </w:t>
      </w:r>
      <w:hyperlink r:id="rId27" w:history="1">
        <w:r w:rsidRPr="00DD5009">
          <w:rPr>
            <w:rStyle w:val="Hyperlink"/>
          </w:rPr>
          <w:t>https://doi.org/10.1002/msj.20187</w:t>
        </w:r>
      </w:hyperlink>
      <w:r>
        <w:t xml:space="preserve">. </w:t>
      </w:r>
    </w:p>
    <w:p w14:paraId="3A875F27" w14:textId="77777777" w:rsidR="008D7A88" w:rsidRDefault="008D7A88" w:rsidP="00A02FE9">
      <w:r w:rsidRPr="00EE31FE">
        <w:lastRenderedPageBreak/>
        <w:t>Milton, J., Åberg, N.D., Andersson, A.E., Gillespie, B.M. and Oxelmark, L. (2023) 'Patients’ perspectives on care, communication, and teamwork in the emergency department', </w:t>
      </w:r>
      <w:r w:rsidRPr="00EE31FE">
        <w:rPr>
          <w:i/>
          <w:iCs/>
        </w:rPr>
        <w:t>International emergency nursing</w:t>
      </w:r>
      <w:r w:rsidRPr="00EE31FE">
        <w:t>, 66, p.101238. Available at: </w:t>
      </w:r>
      <w:hyperlink r:id="rId28" w:history="1">
        <w:r w:rsidRPr="00DD5009">
          <w:rPr>
            <w:rStyle w:val="Hyperlink"/>
          </w:rPr>
          <w:t>https://doi.org/10.1016/j.ienj.2022.101238</w:t>
        </w:r>
      </w:hyperlink>
      <w:r w:rsidRPr="00EE31FE">
        <w:t>.</w:t>
      </w:r>
    </w:p>
    <w:p w14:paraId="765A323B" w14:textId="77777777" w:rsidR="008D7A88" w:rsidRDefault="008D7A88" w:rsidP="00A02FE9">
      <w:r w:rsidRPr="00BD08B0">
        <w:t>National Health Service (NHS) (n.d.) </w:t>
      </w:r>
      <w:r w:rsidRPr="00BD08B0">
        <w:rPr>
          <w:i/>
          <w:iCs/>
        </w:rPr>
        <w:t>Working in partnership</w:t>
      </w:r>
      <w:r w:rsidRPr="00BD08B0">
        <w:t xml:space="preserve">. Available at: </w:t>
      </w:r>
      <w:hyperlink r:id="rId29" w:history="1">
        <w:r w:rsidRPr="006A739B">
          <w:rPr>
            <w:rStyle w:val="Hyperlink"/>
          </w:rPr>
          <w:t>https://www.england.nhs.uk/integratedcare/what-is-integrated-care/working-in-partnership</w:t>
        </w:r>
      </w:hyperlink>
      <w:r>
        <w:t xml:space="preserve"> </w:t>
      </w:r>
      <w:r w:rsidRPr="00BD08B0">
        <w:t>(Accessed: 10 November 2025).</w:t>
      </w:r>
    </w:p>
    <w:p w14:paraId="7D46042E" w14:textId="77777777" w:rsidR="008D7A88" w:rsidRDefault="008D7A88" w:rsidP="00A02FE9">
      <w:r w:rsidRPr="00D86001">
        <w:t>NHS (2023) </w:t>
      </w:r>
      <w:r w:rsidRPr="00D86001">
        <w:rPr>
          <w:i/>
          <w:iCs/>
        </w:rPr>
        <w:t>Delivery plan for recovering urgent and emergency care services – January 2023</w:t>
      </w:r>
      <w:r w:rsidRPr="00D86001">
        <w:t>. Available at: </w:t>
      </w:r>
      <w:hyperlink r:id="rId30" w:history="1">
        <w:r w:rsidRPr="00B867A1">
          <w:rPr>
            <w:rStyle w:val="Hyperlink"/>
          </w:rPr>
          <w:t>https://www.england.nhs.uk/long-read/delivery-plan-for-recovering-urgent-and-emergency-care-services-january-2023</w:t>
        </w:r>
      </w:hyperlink>
      <w:r>
        <w:t xml:space="preserve"> </w:t>
      </w:r>
      <w:r w:rsidRPr="00D86001">
        <w:t>(Accessed: 11 November 2025).</w:t>
      </w:r>
      <w:r>
        <w:rPr>
          <w:color w:val="EE0000"/>
        </w:rPr>
        <w:t xml:space="preserve"> </w:t>
      </w:r>
      <w:r w:rsidRPr="00A62202">
        <w:t>P4HNetwork (2024)</w:t>
      </w:r>
      <w:r w:rsidRPr="00CD144E">
        <w:t> </w:t>
      </w:r>
      <w:r w:rsidRPr="00CD144E">
        <w:rPr>
          <w:i/>
          <w:iCs/>
        </w:rPr>
        <w:t>UK Health and Care Act 2022</w:t>
      </w:r>
      <w:r w:rsidRPr="00CD144E">
        <w:t>. Available at: </w:t>
      </w:r>
      <w:hyperlink r:id="rId31" w:history="1">
        <w:r w:rsidRPr="00013D6D">
          <w:rPr>
            <w:rStyle w:val="Hyperlink"/>
          </w:rPr>
          <w:t>https://p4h.world/en/documents/uk-health-and-care-act-2022</w:t>
        </w:r>
      </w:hyperlink>
      <w:r>
        <w:t xml:space="preserve"> </w:t>
      </w:r>
      <w:r w:rsidRPr="00CD144E">
        <w:t>(Accessed: 11 November 2025).</w:t>
      </w:r>
      <w:r>
        <w:t xml:space="preserve"> </w:t>
      </w:r>
    </w:p>
    <w:p w14:paraId="021B5792" w14:textId="77777777" w:rsidR="008D7A88" w:rsidRDefault="008D7A88" w:rsidP="00A02FE9">
      <w:r w:rsidRPr="00BF349A">
        <w:t>Read, S., Heslop, P., Turner, S., Mason-Angelow, V., Tilbury, N., Miles, C. and Hatton, C. (2018) 'Disabled people’s experiences of accessing reasonable adjustments in hospitals: a qualitative study', </w:t>
      </w:r>
      <w:r w:rsidRPr="00BF349A">
        <w:rPr>
          <w:i/>
          <w:iCs/>
        </w:rPr>
        <w:t>BMC Health Services Research</w:t>
      </w:r>
      <w:r w:rsidRPr="00BF349A">
        <w:t>, 18(1), p.931. Available at: </w:t>
      </w:r>
      <w:hyperlink r:id="rId32" w:history="1">
        <w:r w:rsidRPr="00013D6D">
          <w:rPr>
            <w:rStyle w:val="Hyperlink"/>
          </w:rPr>
          <w:t>https://doi.org/10.1186/s12913-018-3757-7</w:t>
        </w:r>
      </w:hyperlink>
      <w:r>
        <w:t xml:space="preserve">. </w:t>
      </w:r>
    </w:p>
    <w:p w14:paraId="6DFB1D14" w14:textId="77777777" w:rsidR="008D7A88" w:rsidRDefault="008D7A88" w:rsidP="00A02FE9">
      <w:r w:rsidRPr="00E03751">
        <w:t>Samadbeik, M., Staib, A., Boyle, J., Khanna, S., Bosley, E., Bodnar, D., Lind, J., Austin, J.A., Tanner, S., Meshkat, Y. and de Courten, B. (2024) 'Patient flow in emergency departments: a comprehensive umbrella review of solutions and challenges across the health system', </w:t>
      </w:r>
      <w:r w:rsidRPr="00E03751">
        <w:rPr>
          <w:i/>
          <w:iCs/>
        </w:rPr>
        <w:t>BMC Health Services Research</w:t>
      </w:r>
      <w:r w:rsidRPr="00E03751">
        <w:t xml:space="preserve">, 24(1), p.274. Available at: </w:t>
      </w:r>
      <w:hyperlink r:id="rId33" w:history="1">
        <w:r w:rsidRPr="00F62D75">
          <w:rPr>
            <w:rStyle w:val="Hyperlink"/>
          </w:rPr>
          <w:t>https://doi.org/10.1186/s12913-024-10725-6</w:t>
        </w:r>
      </w:hyperlink>
      <w:r>
        <w:t xml:space="preserve">. </w:t>
      </w:r>
    </w:p>
    <w:p w14:paraId="55978C71" w14:textId="77777777" w:rsidR="008D7A88" w:rsidRDefault="008D7A88" w:rsidP="00A02FE9">
      <w:r w:rsidRPr="000602CF">
        <w:t>Santana, M.J., Manalili, K., Jolley, R.J., Zelinsky, S., Quan, H. and Lu, M. (2018) 'How to practice person</w:t>
      </w:r>
      <w:r w:rsidRPr="000602CF">
        <w:rPr>
          <w:rFonts w:ascii="Cambria Math" w:hAnsi="Cambria Math" w:cs="Cambria Math"/>
        </w:rPr>
        <w:t>‐</w:t>
      </w:r>
      <w:r w:rsidRPr="000602CF">
        <w:t>centred care: A conceptual framework',</w:t>
      </w:r>
      <w:r w:rsidRPr="000602CF">
        <w:rPr>
          <w:rFonts w:cs="Arial"/>
        </w:rPr>
        <w:t> </w:t>
      </w:r>
      <w:r w:rsidRPr="000602CF">
        <w:rPr>
          <w:i/>
          <w:iCs/>
        </w:rPr>
        <w:t>Health Expectations</w:t>
      </w:r>
      <w:r w:rsidRPr="000602CF">
        <w:t>, 21(2), pp.429-440. Available at: </w:t>
      </w:r>
      <w:hyperlink r:id="rId34" w:history="1">
        <w:r w:rsidRPr="006A739B">
          <w:rPr>
            <w:rStyle w:val="Hyperlink"/>
          </w:rPr>
          <w:t>https://doi.org/10.1111/hex.12640</w:t>
        </w:r>
      </w:hyperlink>
      <w:r>
        <w:t xml:space="preserve">. </w:t>
      </w:r>
    </w:p>
    <w:p w14:paraId="31F3A57E" w14:textId="77777777" w:rsidR="008D7A88" w:rsidRDefault="008D7A88" w:rsidP="00A02FE9">
      <w:r w:rsidRPr="006633C6">
        <w:t>Tomaselli, G., Buttigieg, S.C., Rosano, A., Cassar, M. and Grima, G. (2020) 'Person-centered care from a relational ethics perspective for the delivery of high quality and safe healthcare: a scoping review', </w:t>
      </w:r>
      <w:r w:rsidRPr="006633C6">
        <w:rPr>
          <w:i/>
          <w:iCs/>
        </w:rPr>
        <w:t>Frontiers in public health</w:t>
      </w:r>
      <w:r w:rsidRPr="006633C6">
        <w:t>, 8, p.44. Available at: </w:t>
      </w:r>
      <w:hyperlink r:id="rId35" w:history="1">
        <w:r w:rsidRPr="006A739B">
          <w:rPr>
            <w:rStyle w:val="Hyperlink"/>
          </w:rPr>
          <w:t>https://doi.org/10.3389/fpubh.2020.00044</w:t>
        </w:r>
      </w:hyperlink>
      <w:r>
        <w:t xml:space="preserve">. </w:t>
      </w:r>
    </w:p>
    <w:p w14:paraId="6B208F77" w14:textId="77777777" w:rsidR="008D7A88" w:rsidRDefault="008D7A88" w:rsidP="00A02FE9">
      <w:r w:rsidRPr="00FF565E">
        <w:t>Varkey, B. (2021) 'Principles of clinical ethics and their application to practice', </w:t>
      </w:r>
      <w:r w:rsidRPr="00FF565E">
        <w:rPr>
          <w:i/>
          <w:iCs/>
        </w:rPr>
        <w:t>Medical principles and practice</w:t>
      </w:r>
      <w:r w:rsidRPr="00FF565E">
        <w:t>, 30(1), pp.17-28. Available at: </w:t>
      </w:r>
      <w:hyperlink r:id="rId36" w:history="1">
        <w:r w:rsidRPr="006A739B">
          <w:rPr>
            <w:rStyle w:val="Hyperlink"/>
          </w:rPr>
          <w:t>https://doi.org/10.1159/000509119</w:t>
        </w:r>
      </w:hyperlink>
      <w:r>
        <w:t>.</w:t>
      </w:r>
    </w:p>
    <w:p w14:paraId="5B2CA703" w14:textId="77777777" w:rsidR="008D7A88" w:rsidRDefault="008D7A88" w:rsidP="00A02FE9">
      <w:r w:rsidRPr="00320047">
        <w:lastRenderedPageBreak/>
        <w:t>Wade, D.T. and Halligan, P.W. (2017) 'The biopsychosocial model of illness: a model whose time has come', </w:t>
      </w:r>
      <w:r w:rsidRPr="00320047">
        <w:rPr>
          <w:i/>
          <w:iCs/>
        </w:rPr>
        <w:t>Clinical rehabilitation</w:t>
      </w:r>
      <w:r w:rsidRPr="00320047">
        <w:t>, 31(8), pp.995-1004. Available at: </w:t>
      </w:r>
      <w:hyperlink r:id="rId37" w:history="1">
        <w:r w:rsidRPr="00DD5009">
          <w:rPr>
            <w:rStyle w:val="Hyperlink"/>
          </w:rPr>
          <w:t>https://doi.org/10.1177/0269215517709890</w:t>
        </w:r>
      </w:hyperlink>
      <w:r>
        <w:t xml:space="preserve">. </w:t>
      </w:r>
    </w:p>
    <w:p w14:paraId="5B1015C0" w14:textId="77777777" w:rsidR="008D7A88" w:rsidRDefault="008D7A88" w:rsidP="00A02FE9">
      <w:r w:rsidRPr="00087C27">
        <w:t>Walsh, A., Bodaghkhani, E., Etchegary, H., Alcock, L., Patey, C., Senior, D. and Asghari, S. (2022) 'Patient-centered care in the emergency department: a systematic review and meta-ethnographic synthesis', </w:t>
      </w:r>
      <w:r w:rsidRPr="00087C27">
        <w:rPr>
          <w:i/>
          <w:iCs/>
        </w:rPr>
        <w:t>International journal of emergency medicine</w:t>
      </w:r>
      <w:r w:rsidRPr="00087C27">
        <w:t>, 15(1), p.36. Available at: </w:t>
      </w:r>
      <w:hyperlink r:id="rId38" w:history="1">
        <w:r w:rsidRPr="00DD5009">
          <w:rPr>
            <w:rStyle w:val="Hyperlink"/>
          </w:rPr>
          <w:t>https://doi.org/10.1186/s12245-022-00438-0</w:t>
        </w:r>
      </w:hyperlink>
      <w:r>
        <w:t xml:space="preserve">. </w:t>
      </w:r>
    </w:p>
    <w:p w14:paraId="131F43AA" w14:textId="77777777" w:rsidR="008D7A88" w:rsidRDefault="008D7A88" w:rsidP="00A02FE9">
      <w:r w:rsidRPr="00DF6069">
        <w:t>World Health Organization (WHO) (2025) </w:t>
      </w:r>
      <w:r w:rsidRPr="00DF6069">
        <w:rPr>
          <w:i/>
          <w:iCs/>
        </w:rPr>
        <w:t>Partnerships</w:t>
      </w:r>
      <w:r w:rsidRPr="00DF6069">
        <w:t>. Available at: </w:t>
      </w:r>
      <w:hyperlink r:id="rId39" w:history="1">
        <w:r w:rsidRPr="006A739B">
          <w:rPr>
            <w:rStyle w:val="Hyperlink"/>
          </w:rPr>
          <w:t>https://www.who.int/westernpacific/about/partnerships</w:t>
        </w:r>
      </w:hyperlink>
      <w:r>
        <w:t xml:space="preserve"> </w:t>
      </w:r>
      <w:r w:rsidRPr="00DF6069">
        <w:t>(Accessed: 10 November 2025).</w:t>
      </w:r>
    </w:p>
    <w:p w14:paraId="31738D3A" w14:textId="77777777" w:rsidR="008D7A88" w:rsidRDefault="008D7A88" w:rsidP="00A02FE9">
      <w:r w:rsidRPr="006D5B4A">
        <w:t>Zamani, H., Parvaresh, F. and Isfahani, M.N. (2025) 'Optimizing patient flow logistics: strategic challenges, tactical solutions, and future directions', </w:t>
      </w:r>
      <w:r w:rsidRPr="006D5B4A">
        <w:rPr>
          <w:i/>
          <w:iCs/>
        </w:rPr>
        <w:t>BMC Health Services Research</w:t>
      </w:r>
      <w:r w:rsidRPr="006D5B4A">
        <w:t>, 25(1), pp.1-27. Available at: </w:t>
      </w:r>
      <w:hyperlink r:id="rId40" w:history="1">
        <w:r w:rsidRPr="00F62D75">
          <w:rPr>
            <w:rStyle w:val="Hyperlink"/>
          </w:rPr>
          <w:t>https://doi.org/10.1186/s12913-025-13516-9</w:t>
        </w:r>
      </w:hyperlink>
      <w:r>
        <w:t xml:space="preserve">. </w:t>
      </w:r>
    </w:p>
    <w:p w14:paraId="112437CB" w14:textId="77777777" w:rsidR="00AC351C" w:rsidRDefault="00AC351C" w:rsidP="007C1EEC"/>
    <w:p w14:paraId="402D0B0C" w14:textId="77777777" w:rsidR="007C1EEC" w:rsidRDefault="007C1EEC" w:rsidP="00A02FE9"/>
    <w:p w14:paraId="7C3EA56A" w14:textId="77777777" w:rsidR="003C7FE2" w:rsidRDefault="003C7FE2" w:rsidP="00A02FE9"/>
    <w:sectPr w:rsidR="003C7FE2" w:rsidSect="00853104">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47D2C" w14:textId="77777777" w:rsidR="00E962AA" w:rsidRDefault="00E962AA" w:rsidP="00387EA6">
      <w:pPr>
        <w:spacing w:after="0" w:line="240" w:lineRule="auto"/>
      </w:pPr>
      <w:r>
        <w:separator/>
      </w:r>
    </w:p>
  </w:endnote>
  <w:endnote w:type="continuationSeparator" w:id="0">
    <w:p w14:paraId="3F0DD419" w14:textId="77777777" w:rsidR="00E962AA" w:rsidRDefault="00E962AA" w:rsidP="00387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5118552"/>
      <w:docPartObj>
        <w:docPartGallery w:val="Page Numbers (Bottom of Page)"/>
        <w:docPartUnique/>
      </w:docPartObj>
    </w:sdtPr>
    <w:sdtEndPr>
      <w:rPr>
        <w:color w:val="7F7F7F" w:themeColor="background1" w:themeShade="7F"/>
        <w:spacing w:val="60"/>
      </w:rPr>
    </w:sdtEndPr>
    <w:sdtContent>
      <w:p w14:paraId="0AC4C1AA" w14:textId="63077EFE" w:rsidR="007F6584" w:rsidRDefault="007F658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1E9C31D" w14:textId="77777777" w:rsidR="007F6584" w:rsidRDefault="007F6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D9770" w14:textId="77777777" w:rsidR="00E962AA" w:rsidRDefault="00E962AA" w:rsidP="00387EA6">
      <w:pPr>
        <w:spacing w:after="0" w:line="240" w:lineRule="auto"/>
      </w:pPr>
      <w:r>
        <w:separator/>
      </w:r>
    </w:p>
  </w:footnote>
  <w:footnote w:type="continuationSeparator" w:id="0">
    <w:p w14:paraId="3FF41351" w14:textId="77777777" w:rsidR="00E962AA" w:rsidRDefault="00E962AA" w:rsidP="00387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41A2C"/>
    <w:multiLevelType w:val="hybridMultilevel"/>
    <w:tmpl w:val="6F045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34F95"/>
    <w:multiLevelType w:val="hybridMultilevel"/>
    <w:tmpl w:val="BF42E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3E1B18"/>
    <w:multiLevelType w:val="hybridMultilevel"/>
    <w:tmpl w:val="57362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337D6"/>
    <w:multiLevelType w:val="hybridMultilevel"/>
    <w:tmpl w:val="82043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5A58AB"/>
    <w:multiLevelType w:val="hybridMultilevel"/>
    <w:tmpl w:val="DB1A0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2D0F9F"/>
    <w:multiLevelType w:val="hybridMultilevel"/>
    <w:tmpl w:val="EF28701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9A2E1E"/>
    <w:multiLevelType w:val="hybridMultilevel"/>
    <w:tmpl w:val="F77A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D1D24"/>
    <w:multiLevelType w:val="hybridMultilevel"/>
    <w:tmpl w:val="5AAE3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9B7C41"/>
    <w:multiLevelType w:val="hybridMultilevel"/>
    <w:tmpl w:val="54500B18"/>
    <w:lvl w:ilvl="0" w:tplc="16E0CD4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B44A4A"/>
    <w:multiLevelType w:val="hybridMultilevel"/>
    <w:tmpl w:val="8BEE9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705B59"/>
    <w:multiLevelType w:val="hybridMultilevel"/>
    <w:tmpl w:val="632AE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634D69"/>
    <w:multiLevelType w:val="hybridMultilevel"/>
    <w:tmpl w:val="E7C2A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1F47D5"/>
    <w:multiLevelType w:val="hybridMultilevel"/>
    <w:tmpl w:val="30E41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FF4640"/>
    <w:multiLevelType w:val="hybridMultilevel"/>
    <w:tmpl w:val="A1941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12759E"/>
    <w:multiLevelType w:val="hybridMultilevel"/>
    <w:tmpl w:val="E7706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E552DB"/>
    <w:multiLevelType w:val="hybridMultilevel"/>
    <w:tmpl w:val="B622C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064487">
    <w:abstractNumId w:val="10"/>
  </w:num>
  <w:num w:numId="2" w16cid:durableId="1060441207">
    <w:abstractNumId w:val="13"/>
  </w:num>
  <w:num w:numId="3" w16cid:durableId="1816802238">
    <w:abstractNumId w:val="5"/>
  </w:num>
  <w:num w:numId="4" w16cid:durableId="1186481913">
    <w:abstractNumId w:val="1"/>
  </w:num>
  <w:num w:numId="5" w16cid:durableId="1193684621">
    <w:abstractNumId w:val="0"/>
  </w:num>
  <w:num w:numId="6" w16cid:durableId="70391240">
    <w:abstractNumId w:val="7"/>
  </w:num>
  <w:num w:numId="7" w16cid:durableId="754327677">
    <w:abstractNumId w:val="2"/>
  </w:num>
  <w:num w:numId="8" w16cid:durableId="1592660810">
    <w:abstractNumId w:val="8"/>
  </w:num>
  <w:num w:numId="9" w16cid:durableId="1929731022">
    <w:abstractNumId w:val="3"/>
  </w:num>
  <w:num w:numId="10" w16cid:durableId="5058116">
    <w:abstractNumId w:val="12"/>
  </w:num>
  <w:num w:numId="11" w16cid:durableId="2074499604">
    <w:abstractNumId w:val="4"/>
  </w:num>
  <w:num w:numId="12" w16cid:durableId="2146005384">
    <w:abstractNumId w:val="11"/>
  </w:num>
  <w:num w:numId="13" w16cid:durableId="1443572199">
    <w:abstractNumId w:val="6"/>
  </w:num>
  <w:num w:numId="14" w16cid:durableId="1869444073">
    <w:abstractNumId w:val="15"/>
  </w:num>
  <w:num w:numId="15" w16cid:durableId="1382099848">
    <w:abstractNumId w:val="9"/>
  </w:num>
  <w:num w:numId="16" w16cid:durableId="6785814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ADE"/>
    <w:rsid w:val="00004108"/>
    <w:rsid w:val="00011646"/>
    <w:rsid w:val="000136CF"/>
    <w:rsid w:val="00014513"/>
    <w:rsid w:val="00020F84"/>
    <w:rsid w:val="00030994"/>
    <w:rsid w:val="0003175E"/>
    <w:rsid w:val="000317C7"/>
    <w:rsid w:val="00031D64"/>
    <w:rsid w:val="000345D3"/>
    <w:rsid w:val="00041260"/>
    <w:rsid w:val="00043AED"/>
    <w:rsid w:val="00044D1D"/>
    <w:rsid w:val="00056088"/>
    <w:rsid w:val="00057363"/>
    <w:rsid w:val="000602CF"/>
    <w:rsid w:val="00060904"/>
    <w:rsid w:val="00061087"/>
    <w:rsid w:val="0006204C"/>
    <w:rsid w:val="0006316A"/>
    <w:rsid w:val="00071304"/>
    <w:rsid w:val="00075C17"/>
    <w:rsid w:val="000762EB"/>
    <w:rsid w:val="00081E9D"/>
    <w:rsid w:val="0008766D"/>
    <w:rsid w:val="00087C27"/>
    <w:rsid w:val="000913E0"/>
    <w:rsid w:val="00091D8A"/>
    <w:rsid w:val="000A44E5"/>
    <w:rsid w:val="000B0ED2"/>
    <w:rsid w:val="000B1D5D"/>
    <w:rsid w:val="000B41D0"/>
    <w:rsid w:val="000B69C2"/>
    <w:rsid w:val="000B7765"/>
    <w:rsid w:val="000C06EA"/>
    <w:rsid w:val="000C37B4"/>
    <w:rsid w:val="000C42D0"/>
    <w:rsid w:val="000D144F"/>
    <w:rsid w:val="000D41CF"/>
    <w:rsid w:val="000D4EF6"/>
    <w:rsid w:val="000D591B"/>
    <w:rsid w:val="000E1928"/>
    <w:rsid w:val="000E1C06"/>
    <w:rsid w:val="000E2B0B"/>
    <w:rsid w:val="000E4FD0"/>
    <w:rsid w:val="000E74BF"/>
    <w:rsid w:val="000E7ED7"/>
    <w:rsid w:val="000F2959"/>
    <w:rsid w:val="000F336A"/>
    <w:rsid w:val="000F4E8D"/>
    <w:rsid w:val="000F5CCB"/>
    <w:rsid w:val="001032BF"/>
    <w:rsid w:val="001039BE"/>
    <w:rsid w:val="00105650"/>
    <w:rsid w:val="00105C04"/>
    <w:rsid w:val="001149AF"/>
    <w:rsid w:val="00115012"/>
    <w:rsid w:val="001163DC"/>
    <w:rsid w:val="00116910"/>
    <w:rsid w:val="00116A0C"/>
    <w:rsid w:val="00120345"/>
    <w:rsid w:val="0012226D"/>
    <w:rsid w:val="0012421D"/>
    <w:rsid w:val="00136750"/>
    <w:rsid w:val="001369F7"/>
    <w:rsid w:val="00141E60"/>
    <w:rsid w:val="001460A4"/>
    <w:rsid w:val="00146525"/>
    <w:rsid w:val="00152544"/>
    <w:rsid w:val="00155E11"/>
    <w:rsid w:val="00161BA2"/>
    <w:rsid w:val="00164583"/>
    <w:rsid w:val="00164F6C"/>
    <w:rsid w:val="00165783"/>
    <w:rsid w:val="00174A7F"/>
    <w:rsid w:val="00181C53"/>
    <w:rsid w:val="00182037"/>
    <w:rsid w:val="001829F6"/>
    <w:rsid w:val="00183668"/>
    <w:rsid w:val="00186E64"/>
    <w:rsid w:val="00187288"/>
    <w:rsid w:val="00187AD3"/>
    <w:rsid w:val="00187E97"/>
    <w:rsid w:val="00192F61"/>
    <w:rsid w:val="001937DA"/>
    <w:rsid w:val="00194805"/>
    <w:rsid w:val="001A1A5D"/>
    <w:rsid w:val="001A3BE2"/>
    <w:rsid w:val="001A4659"/>
    <w:rsid w:val="001A6824"/>
    <w:rsid w:val="001B31C8"/>
    <w:rsid w:val="001B77AF"/>
    <w:rsid w:val="001C00C0"/>
    <w:rsid w:val="001C1AE7"/>
    <w:rsid w:val="001C3458"/>
    <w:rsid w:val="001C4511"/>
    <w:rsid w:val="001C714D"/>
    <w:rsid w:val="001D179A"/>
    <w:rsid w:val="001E041D"/>
    <w:rsid w:val="001E051B"/>
    <w:rsid w:val="001E118A"/>
    <w:rsid w:val="001E1517"/>
    <w:rsid w:val="001E16DF"/>
    <w:rsid w:val="001E5EF7"/>
    <w:rsid w:val="001F4322"/>
    <w:rsid w:val="001F7EE8"/>
    <w:rsid w:val="00200E36"/>
    <w:rsid w:val="002017E9"/>
    <w:rsid w:val="002028EA"/>
    <w:rsid w:val="00202CFD"/>
    <w:rsid w:val="00203363"/>
    <w:rsid w:val="002053C5"/>
    <w:rsid w:val="0020597C"/>
    <w:rsid w:val="002106A5"/>
    <w:rsid w:val="00211208"/>
    <w:rsid w:val="00217280"/>
    <w:rsid w:val="002172EC"/>
    <w:rsid w:val="00220E2A"/>
    <w:rsid w:val="002277CE"/>
    <w:rsid w:val="002325E0"/>
    <w:rsid w:val="0023378E"/>
    <w:rsid w:val="00235F72"/>
    <w:rsid w:val="00236395"/>
    <w:rsid w:val="00236E8B"/>
    <w:rsid w:val="00237220"/>
    <w:rsid w:val="00241D9E"/>
    <w:rsid w:val="002474E3"/>
    <w:rsid w:val="00251DFA"/>
    <w:rsid w:val="00252450"/>
    <w:rsid w:val="002545A2"/>
    <w:rsid w:val="0025721E"/>
    <w:rsid w:val="00262391"/>
    <w:rsid w:val="002635D5"/>
    <w:rsid w:val="00266BA8"/>
    <w:rsid w:val="00267B30"/>
    <w:rsid w:val="002725B6"/>
    <w:rsid w:val="00272810"/>
    <w:rsid w:val="00272F7E"/>
    <w:rsid w:val="00275D74"/>
    <w:rsid w:val="002824CF"/>
    <w:rsid w:val="00286859"/>
    <w:rsid w:val="00293044"/>
    <w:rsid w:val="002A05E1"/>
    <w:rsid w:val="002A201F"/>
    <w:rsid w:val="002A5676"/>
    <w:rsid w:val="002B1936"/>
    <w:rsid w:val="002B47F4"/>
    <w:rsid w:val="002B5E01"/>
    <w:rsid w:val="002C066E"/>
    <w:rsid w:val="002C72D5"/>
    <w:rsid w:val="002D39BB"/>
    <w:rsid w:val="002D6883"/>
    <w:rsid w:val="002D6B16"/>
    <w:rsid w:val="002E539E"/>
    <w:rsid w:val="002E6571"/>
    <w:rsid w:val="002E6CAC"/>
    <w:rsid w:val="002E7804"/>
    <w:rsid w:val="002F1146"/>
    <w:rsid w:val="002F7764"/>
    <w:rsid w:val="00306442"/>
    <w:rsid w:val="003066D0"/>
    <w:rsid w:val="00312545"/>
    <w:rsid w:val="003166CC"/>
    <w:rsid w:val="00317AF0"/>
    <w:rsid w:val="00317D56"/>
    <w:rsid w:val="00317F97"/>
    <w:rsid w:val="00320047"/>
    <w:rsid w:val="00325CE6"/>
    <w:rsid w:val="003279BF"/>
    <w:rsid w:val="00340884"/>
    <w:rsid w:val="00341F38"/>
    <w:rsid w:val="0034578D"/>
    <w:rsid w:val="00346D23"/>
    <w:rsid w:val="0034743A"/>
    <w:rsid w:val="00351057"/>
    <w:rsid w:val="00355CCE"/>
    <w:rsid w:val="0035632B"/>
    <w:rsid w:val="00356492"/>
    <w:rsid w:val="0035689A"/>
    <w:rsid w:val="0035760D"/>
    <w:rsid w:val="003626B6"/>
    <w:rsid w:val="00362987"/>
    <w:rsid w:val="00364D31"/>
    <w:rsid w:val="00373F90"/>
    <w:rsid w:val="00374F2D"/>
    <w:rsid w:val="00376DA4"/>
    <w:rsid w:val="00380911"/>
    <w:rsid w:val="00381E72"/>
    <w:rsid w:val="00383A8C"/>
    <w:rsid w:val="00384C27"/>
    <w:rsid w:val="003853C8"/>
    <w:rsid w:val="00385AAF"/>
    <w:rsid w:val="00386F5E"/>
    <w:rsid w:val="00387EA6"/>
    <w:rsid w:val="003901A9"/>
    <w:rsid w:val="00393506"/>
    <w:rsid w:val="00396F21"/>
    <w:rsid w:val="003973A1"/>
    <w:rsid w:val="00397440"/>
    <w:rsid w:val="00397CCD"/>
    <w:rsid w:val="003A3826"/>
    <w:rsid w:val="003A4622"/>
    <w:rsid w:val="003A567D"/>
    <w:rsid w:val="003B6C6C"/>
    <w:rsid w:val="003C2975"/>
    <w:rsid w:val="003C7FE2"/>
    <w:rsid w:val="003D003D"/>
    <w:rsid w:val="003D5245"/>
    <w:rsid w:val="003D57D9"/>
    <w:rsid w:val="003D6673"/>
    <w:rsid w:val="003D7CDA"/>
    <w:rsid w:val="003E5131"/>
    <w:rsid w:val="003E55C2"/>
    <w:rsid w:val="003E7795"/>
    <w:rsid w:val="003E7F5B"/>
    <w:rsid w:val="003F03EB"/>
    <w:rsid w:val="003F251E"/>
    <w:rsid w:val="003F79B1"/>
    <w:rsid w:val="00400ABD"/>
    <w:rsid w:val="00402DE8"/>
    <w:rsid w:val="004030A9"/>
    <w:rsid w:val="00413061"/>
    <w:rsid w:val="00420151"/>
    <w:rsid w:val="00421D4D"/>
    <w:rsid w:val="00424390"/>
    <w:rsid w:val="004324D1"/>
    <w:rsid w:val="00434939"/>
    <w:rsid w:val="00437552"/>
    <w:rsid w:val="004403FC"/>
    <w:rsid w:val="004425CF"/>
    <w:rsid w:val="0044329B"/>
    <w:rsid w:val="00446196"/>
    <w:rsid w:val="0044739A"/>
    <w:rsid w:val="0045020E"/>
    <w:rsid w:val="00454E9E"/>
    <w:rsid w:val="00456B3C"/>
    <w:rsid w:val="00465852"/>
    <w:rsid w:val="004662F7"/>
    <w:rsid w:val="00474B67"/>
    <w:rsid w:val="0047586E"/>
    <w:rsid w:val="004776AD"/>
    <w:rsid w:val="0048120B"/>
    <w:rsid w:val="004838F5"/>
    <w:rsid w:val="00485E1A"/>
    <w:rsid w:val="00486F6E"/>
    <w:rsid w:val="00486FA1"/>
    <w:rsid w:val="00490457"/>
    <w:rsid w:val="004911FE"/>
    <w:rsid w:val="00493F45"/>
    <w:rsid w:val="00495374"/>
    <w:rsid w:val="0049605B"/>
    <w:rsid w:val="004A028F"/>
    <w:rsid w:val="004A0451"/>
    <w:rsid w:val="004A299E"/>
    <w:rsid w:val="004A5EBB"/>
    <w:rsid w:val="004B02F6"/>
    <w:rsid w:val="004B22AE"/>
    <w:rsid w:val="004C3107"/>
    <w:rsid w:val="004C47C2"/>
    <w:rsid w:val="004C5B56"/>
    <w:rsid w:val="004D048F"/>
    <w:rsid w:val="004D62A7"/>
    <w:rsid w:val="004D797D"/>
    <w:rsid w:val="004E1EBD"/>
    <w:rsid w:val="004E4B62"/>
    <w:rsid w:val="004F02BE"/>
    <w:rsid w:val="004F1218"/>
    <w:rsid w:val="004F26DE"/>
    <w:rsid w:val="004F3302"/>
    <w:rsid w:val="004F37E9"/>
    <w:rsid w:val="004F412B"/>
    <w:rsid w:val="004F5DDE"/>
    <w:rsid w:val="004F7F6D"/>
    <w:rsid w:val="00500289"/>
    <w:rsid w:val="005011AE"/>
    <w:rsid w:val="00501D0B"/>
    <w:rsid w:val="0050793C"/>
    <w:rsid w:val="00507C77"/>
    <w:rsid w:val="00511E7E"/>
    <w:rsid w:val="00523D88"/>
    <w:rsid w:val="005322C2"/>
    <w:rsid w:val="00537C85"/>
    <w:rsid w:val="00545AD4"/>
    <w:rsid w:val="00546EC8"/>
    <w:rsid w:val="005516D9"/>
    <w:rsid w:val="00554818"/>
    <w:rsid w:val="005566CA"/>
    <w:rsid w:val="005611B0"/>
    <w:rsid w:val="00561C72"/>
    <w:rsid w:val="00563C6C"/>
    <w:rsid w:val="005658BB"/>
    <w:rsid w:val="00566E20"/>
    <w:rsid w:val="005713B2"/>
    <w:rsid w:val="00572EA7"/>
    <w:rsid w:val="00576063"/>
    <w:rsid w:val="005769AF"/>
    <w:rsid w:val="005770B5"/>
    <w:rsid w:val="005777E7"/>
    <w:rsid w:val="005863C0"/>
    <w:rsid w:val="00590463"/>
    <w:rsid w:val="0059124A"/>
    <w:rsid w:val="00595F17"/>
    <w:rsid w:val="005A4AA2"/>
    <w:rsid w:val="005A584C"/>
    <w:rsid w:val="005A68E7"/>
    <w:rsid w:val="005A6BC3"/>
    <w:rsid w:val="005B338C"/>
    <w:rsid w:val="005B3C24"/>
    <w:rsid w:val="005C0831"/>
    <w:rsid w:val="005C0D31"/>
    <w:rsid w:val="005C176D"/>
    <w:rsid w:val="005C1CB3"/>
    <w:rsid w:val="005C2353"/>
    <w:rsid w:val="005C6DAB"/>
    <w:rsid w:val="005C7890"/>
    <w:rsid w:val="005D1009"/>
    <w:rsid w:val="005D496F"/>
    <w:rsid w:val="005D70EC"/>
    <w:rsid w:val="005E3127"/>
    <w:rsid w:val="005E3CF4"/>
    <w:rsid w:val="005E3DD8"/>
    <w:rsid w:val="005E458B"/>
    <w:rsid w:val="005E494A"/>
    <w:rsid w:val="005E495A"/>
    <w:rsid w:val="005E570E"/>
    <w:rsid w:val="005E7769"/>
    <w:rsid w:val="005F2065"/>
    <w:rsid w:val="005F4849"/>
    <w:rsid w:val="005F6D3E"/>
    <w:rsid w:val="005F6F4B"/>
    <w:rsid w:val="005F7E85"/>
    <w:rsid w:val="0060553B"/>
    <w:rsid w:val="00607210"/>
    <w:rsid w:val="00611063"/>
    <w:rsid w:val="00614367"/>
    <w:rsid w:val="00615A01"/>
    <w:rsid w:val="00617219"/>
    <w:rsid w:val="00620204"/>
    <w:rsid w:val="006230AA"/>
    <w:rsid w:val="006244DC"/>
    <w:rsid w:val="006273CC"/>
    <w:rsid w:val="00630FDC"/>
    <w:rsid w:val="00633494"/>
    <w:rsid w:val="006344D9"/>
    <w:rsid w:val="00634A36"/>
    <w:rsid w:val="0063713E"/>
    <w:rsid w:val="006374AB"/>
    <w:rsid w:val="00640E36"/>
    <w:rsid w:val="0064723D"/>
    <w:rsid w:val="006517C9"/>
    <w:rsid w:val="00652846"/>
    <w:rsid w:val="00653680"/>
    <w:rsid w:val="00653CF5"/>
    <w:rsid w:val="00655728"/>
    <w:rsid w:val="00656220"/>
    <w:rsid w:val="00661057"/>
    <w:rsid w:val="006629C5"/>
    <w:rsid w:val="00663228"/>
    <w:rsid w:val="006633C6"/>
    <w:rsid w:val="00663C3A"/>
    <w:rsid w:val="00667D95"/>
    <w:rsid w:val="00671478"/>
    <w:rsid w:val="00675A9D"/>
    <w:rsid w:val="00680C35"/>
    <w:rsid w:val="0068110F"/>
    <w:rsid w:val="00683CDE"/>
    <w:rsid w:val="006875B0"/>
    <w:rsid w:val="0069306C"/>
    <w:rsid w:val="00694F43"/>
    <w:rsid w:val="006971D2"/>
    <w:rsid w:val="006A17EB"/>
    <w:rsid w:val="006A5E4A"/>
    <w:rsid w:val="006A74FC"/>
    <w:rsid w:val="006B403E"/>
    <w:rsid w:val="006B4973"/>
    <w:rsid w:val="006B7BAF"/>
    <w:rsid w:val="006C10C0"/>
    <w:rsid w:val="006C12A1"/>
    <w:rsid w:val="006C19F8"/>
    <w:rsid w:val="006C2C0A"/>
    <w:rsid w:val="006C2E4C"/>
    <w:rsid w:val="006C4BD5"/>
    <w:rsid w:val="006C5069"/>
    <w:rsid w:val="006C5659"/>
    <w:rsid w:val="006C58AA"/>
    <w:rsid w:val="006C59A5"/>
    <w:rsid w:val="006C5F30"/>
    <w:rsid w:val="006C63E8"/>
    <w:rsid w:val="006D5011"/>
    <w:rsid w:val="006D5B4A"/>
    <w:rsid w:val="006D71AD"/>
    <w:rsid w:val="006E148B"/>
    <w:rsid w:val="006E1B14"/>
    <w:rsid w:val="006E1F93"/>
    <w:rsid w:val="006E70BB"/>
    <w:rsid w:val="006F1945"/>
    <w:rsid w:val="006F2024"/>
    <w:rsid w:val="006F2B2B"/>
    <w:rsid w:val="006F5875"/>
    <w:rsid w:val="006F5CA9"/>
    <w:rsid w:val="00702248"/>
    <w:rsid w:val="0070593E"/>
    <w:rsid w:val="00710590"/>
    <w:rsid w:val="007118CA"/>
    <w:rsid w:val="00713246"/>
    <w:rsid w:val="00713A0A"/>
    <w:rsid w:val="00716EA0"/>
    <w:rsid w:val="00723835"/>
    <w:rsid w:val="00726255"/>
    <w:rsid w:val="0073250F"/>
    <w:rsid w:val="00734B9E"/>
    <w:rsid w:val="0073579D"/>
    <w:rsid w:val="007379FB"/>
    <w:rsid w:val="00740D2D"/>
    <w:rsid w:val="007417BE"/>
    <w:rsid w:val="007443D9"/>
    <w:rsid w:val="0074693F"/>
    <w:rsid w:val="00750A83"/>
    <w:rsid w:val="00753DC0"/>
    <w:rsid w:val="00754159"/>
    <w:rsid w:val="00756659"/>
    <w:rsid w:val="007623A6"/>
    <w:rsid w:val="00763312"/>
    <w:rsid w:val="0076595E"/>
    <w:rsid w:val="00765CC3"/>
    <w:rsid w:val="00776CA9"/>
    <w:rsid w:val="00776E3A"/>
    <w:rsid w:val="00777101"/>
    <w:rsid w:val="00777B79"/>
    <w:rsid w:val="007860F7"/>
    <w:rsid w:val="007A42E1"/>
    <w:rsid w:val="007B0DEF"/>
    <w:rsid w:val="007B10AE"/>
    <w:rsid w:val="007B4BA8"/>
    <w:rsid w:val="007B7608"/>
    <w:rsid w:val="007C1EEC"/>
    <w:rsid w:val="007C2FD6"/>
    <w:rsid w:val="007C53B6"/>
    <w:rsid w:val="007D1001"/>
    <w:rsid w:val="007D15EA"/>
    <w:rsid w:val="007D1E20"/>
    <w:rsid w:val="007D282D"/>
    <w:rsid w:val="007D5CAD"/>
    <w:rsid w:val="007D6C84"/>
    <w:rsid w:val="007F6584"/>
    <w:rsid w:val="007F7653"/>
    <w:rsid w:val="00802AC5"/>
    <w:rsid w:val="0080659B"/>
    <w:rsid w:val="00813E31"/>
    <w:rsid w:val="0081646D"/>
    <w:rsid w:val="00816B66"/>
    <w:rsid w:val="00816D0C"/>
    <w:rsid w:val="008208A3"/>
    <w:rsid w:val="00827E52"/>
    <w:rsid w:val="00830BA5"/>
    <w:rsid w:val="008321F4"/>
    <w:rsid w:val="00832764"/>
    <w:rsid w:val="00834358"/>
    <w:rsid w:val="0083594A"/>
    <w:rsid w:val="0083676B"/>
    <w:rsid w:val="00841CBA"/>
    <w:rsid w:val="00842264"/>
    <w:rsid w:val="00847845"/>
    <w:rsid w:val="00850DDB"/>
    <w:rsid w:val="00851A78"/>
    <w:rsid w:val="00853104"/>
    <w:rsid w:val="008531CA"/>
    <w:rsid w:val="00865122"/>
    <w:rsid w:val="00866C7D"/>
    <w:rsid w:val="00870168"/>
    <w:rsid w:val="00873694"/>
    <w:rsid w:val="0088360D"/>
    <w:rsid w:val="00886D8E"/>
    <w:rsid w:val="008879BF"/>
    <w:rsid w:val="008906BB"/>
    <w:rsid w:val="00890B4F"/>
    <w:rsid w:val="00893AB6"/>
    <w:rsid w:val="00895E7D"/>
    <w:rsid w:val="008A1381"/>
    <w:rsid w:val="008A1658"/>
    <w:rsid w:val="008A309F"/>
    <w:rsid w:val="008A5CD3"/>
    <w:rsid w:val="008A670E"/>
    <w:rsid w:val="008B1E8C"/>
    <w:rsid w:val="008B74CF"/>
    <w:rsid w:val="008C1A15"/>
    <w:rsid w:val="008C2A65"/>
    <w:rsid w:val="008C3DF6"/>
    <w:rsid w:val="008C65A3"/>
    <w:rsid w:val="008D4C83"/>
    <w:rsid w:val="008D55A4"/>
    <w:rsid w:val="008D6E4B"/>
    <w:rsid w:val="008D7A88"/>
    <w:rsid w:val="008E1E1F"/>
    <w:rsid w:val="008E4323"/>
    <w:rsid w:val="008E46D6"/>
    <w:rsid w:val="008E7688"/>
    <w:rsid w:val="008F121F"/>
    <w:rsid w:val="008F4EE3"/>
    <w:rsid w:val="008F66CE"/>
    <w:rsid w:val="00905E40"/>
    <w:rsid w:val="00906932"/>
    <w:rsid w:val="00911171"/>
    <w:rsid w:val="009148F3"/>
    <w:rsid w:val="00915E8A"/>
    <w:rsid w:val="00917EB8"/>
    <w:rsid w:val="00921D2B"/>
    <w:rsid w:val="00923557"/>
    <w:rsid w:val="00923D3E"/>
    <w:rsid w:val="00923DAD"/>
    <w:rsid w:val="00925E71"/>
    <w:rsid w:val="009272EA"/>
    <w:rsid w:val="00930AD6"/>
    <w:rsid w:val="0093243A"/>
    <w:rsid w:val="009357F5"/>
    <w:rsid w:val="00937C23"/>
    <w:rsid w:val="00945AC8"/>
    <w:rsid w:val="00946FBB"/>
    <w:rsid w:val="0095014B"/>
    <w:rsid w:val="00950D01"/>
    <w:rsid w:val="00951E87"/>
    <w:rsid w:val="009532F8"/>
    <w:rsid w:val="00954A36"/>
    <w:rsid w:val="00954C1D"/>
    <w:rsid w:val="00955557"/>
    <w:rsid w:val="009564A6"/>
    <w:rsid w:val="00964A64"/>
    <w:rsid w:val="00965D7F"/>
    <w:rsid w:val="00974DE0"/>
    <w:rsid w:val="00976DC5"/>
    <w:rsid w:val="00981B04"/>
    <w:rsid w:val="00982217"/>
    <w:rsid w:val="00986E87"/>
    <w:rsid w:val="0098729D"/>
    <w:rsid w:val="00992A54"/>
    <w:rsid w:val="00994487"/>
    <w:rsid w:val="009A1E4A"/>
    <w:rsid w:val="009A78DD"/>
    <w:rsid w:val="009B4C4C"/>
    <w:rsid w:val="009B50DE"/>
    <w:rsid w:val="009C1B66"/>
    <w:rsid w:val="009C46DC"/>
    <w:rsid w:val="009C4805"/>
    <w:rsid w:val="009C5F28"/>
    <w:rsid w:val="009C6C2A"/>
    <w:rsid w:val="009D0AA9"/>
    <w:rsid w:val="009D179A"/>
    <w:rsid w:val="009D3C75"/>
    <w:rsid w:val="009D4690"/>
    <w:rsid w:val="009D5516"/>
    <w:rsid w:val="009D59DE"/>
    <w:rsid w:val="009E10EF"/>
    <w:rsid w:val="009E15FB"/>
    <w:rsid w:val="009E1934"/>
    <w:rsid w:val="009E1C67"/>
    <w:rsid w:val="009E342B"/>
    <w:rsid w:val="009E6B8F"/>
    <w:rsid w:val="009F06B2"/>
    <w:rsid w:val="009F11B4"/>
    <w:rsid w:val="009F1CF5"/>
    <w:rsid w:val="009F46EA"/>
    <w:rsid w:val="009F4C13"/>
    <w:rsid w:val="009F5A22"/>
    <w:rsid w:val="00A00B40"/>
    <w:rsid w:val="00A01765"/>
    <w:rsid w:val="00A02FE9"/>
    <w:rsid w:val="00A03AAF"/>
    <w:rsid w:val="00A10339"/>
    <w:rsid w:val="00A140D4"/>
    <w:rsid w:val="00A23812"/>
    <w:rsid w:val="00A30509"/>
    <w:rsid w:val="00A335D3"/>
    <w:rsid w:val="00A336F9"/>
    <w:rsid w:val="00A342FB"/>
    <w:rsid w:val="00A35737"/>
    <w:rsid w:val="00A37B4C"/>
    <w:rsid w:val="00A52CE1"/>
    <w:rsid w:val="00A52DE6"/>
    <w:rsid w:val="00A5548E"/>
    <w:rsid w:val="00A558CE"/>
    <w:rsid w:val="00A60AA5"/>
    <w:rsid w:val="00A62202"/>
    <w:rsid w:val="00A65D82"/>
    <w:rsid w:val="00A67E1E"/>
    <w:rsid w:val="00A722B4"/>
    <w:rsid w:val="00A73531"/>
    <w:rsid w:val="00A74978"/>
    <w:rsid w:val="00A7532B"/>
    <w:rsid w:val="00A76837"/>
    <w:rsid w:val="00A77D3B"/>
    <w:rsid w:val="00A817A9"/>
    <w:rsid w:val="00A84F77"/>
    <w:rsid w:val="00A85C73"/>
    <w:rsid w:val="00A94872"/>
    <w:rsid w:val="00A95316"/>
    <w:rsid w:val="00AA0566"/>
    <w:rsid w:val="00AA276A"/>
    <w:rsid w:val="00AA5954"/>
    <w:rsid w:val="00AA6CC5"/>
    <w:rsid w:val="00AB0797"/>
    <w:rsid w:val="00AB1E34"/>
    <w:rsid w:val="00AB3C24"/>
    <w:rsid w:val="00AB4F03"/>
    <w:rsid w:val="00AC19BD"/>
    <w:rsid w:val="00AC351C"/>
    <w:rsid w:val="00AC3972"/>
    <w:rsid w:val="00AD4AE0"/>
    <w:rsid w:val="00AD517E"/>
    <w:rsid w:val="00AD5BCF"/>
    <w:rsid w:val="00AD65E5"/>
    <w:rsid w:val="00AE2D95"/>
    <w:rsid w:val="00AE3D24"/>
    <w:rsid w:val="00AE5ED6"/>
    <w:rsid w:val="00AE742F"/>
    <w:rsid w:val="00AF027C"/>
    <w:rsid w:val="00AF03B1"/>
    <w:rsid w:val="00AF0860"/>
    <w:rsid w:val="00AF0B17"/>
    <w:rsid w:val="00AF4CCD"/>
    <w:rsid w:val="00B00309"/>
    <w:rsid w:val="00B00FFD"/>
    <w:rsid w:val="00B0318C"/>
    <w:rsid w:val="00B045B3"/>
    <w:rsid w:val="00B07044"/>
    <w:rsid w:val="00B123D1"/>
    <w:rsid w:val="00B139C0"/>
    <w:rsid w:val="00B1682B"/>
    <w:rsid w:val="00B17BC9"/>
    <w:rsid w:val="00B20AAE"/>
    <w:rsid w:val="00B2199D"/>
    <w:rsid w:val="00B22ADE"/>
    <w:rsid w:val="00B25940"/>
    <w:rsid w:val="00B25D88"/>
    <w:rsid w:val="00B36ACF"/>
    <w:rsid w:val="00B40F2B"/>
    <w:rsid w:val="00B4195F"/>
    <w:rsid w:val="00B429BA"/>
    <w:rsid w:val="00B43CEF"/>
    <w:rsid w:val="00B441E4"/>
    <w:rsid w:val="00B458CB"/>
    <w:rsid w:val="00B5091A"/>
    <w:rsid w:val="00B53915"/>
    <w:rsid w:val="00B553BE"/>
    <w:rsid w:val="00B61B8A"/>
    <w:rsid w:val="00B61F86"/>
    <w:rsid w:val="00B6257E"/>
    <w:rsid w:val="00B6313C"/>
    <w:rsid w:val="00B6485B"/>
    <w:rsid w:val="00B6581B"/>
    <w:rsid w:val="00B67B41"/>
    <w:rsid w:val="00B70D61"/>
    <w:rsid w:val="00B764A3"/>
    <w:rsid w:val="00B771D5"/>
    <w:rsid w:val="00B817AC"/>
    <w:rsid w:val="00B81A69"/>
    <w:rsid w:val="00B84B0B"/>
    <w:rsid w:val="00B9368B"/>
    <w:rsid w:val="00B96CF0"/>
    <w:rsid w:val="00BA09CA"/>
    <w:rsid w:val="00BA2F88"/>
    <w:rsid w:val="00BB01E8"/>
    <w:rsid w:val="00BB03EE"/>
    <w:rsid w:val="00BB5BB7"/>
    <w:rsid w:val="00BC745D"/>
    <w:rsid w:val="00BD08B0"/>
    <w:rsid w:val="00BD0AA7"/>
    <w:rsid w:val="00BD15DD"/>
    <w:rsid w:val="00BD6C41"/>
    <w:rsid w:val="00BE293F"/>
    <w:rsid w:val="00BE4FA2"/>
    <w:rsid w:val="00BE5432"/>
    <w:rsid w:val="00BE5486"/>
    <w:rsid w:val="00BE5988"/>
    <w:rsid w:val="00BE66DD"/>
    <w:rsid w:val="00BE797D"/>
    <w:rsid w:val="00BF349A"/>
    <w:rsid w:val="00BF4940"/>
    <w:rsid w:val="00C01E5C"/>
    <w:rsid w:val="00C0334B"/>
    <w:rsid w:val="00C1094E"/>
    <w:rsid w:val="00C11848"/>
    <w:rsid w:val="00C126A4"/>
    <w:rsid w:val="00C12A45"/>
    <w:rsid w:val="00C14133"/>
    <w:rsid w:val="00C1530B"/>
    <w:rsid w:val="00C22B48"/>
    <w:rsid w:val="00C23A08"/>
    <w:rsid w:val="00C26728"/>
    <w:rsid w:val="00C30F03"/>
    <w:rsid w:val="00C33598"/>
    <w:rsid w:val="00C35D84"/>
    <w:rsid w:val="00C41FE3"/>
    <w:rsid w:val="00C42252"/>
    <w:rsid w:val="00C45B2A"/>
    <w:rsid w:val="00C50810"/>
    <w:rsid w:val="00C52236"/>
    <w:rsid w:val="00C52FCE"/>
    <w:rsid w:val="00C550D9"/>
    <w:rsid w:val="00C57E35"/>
    <w:rsid w:val="00C616D3"/>
    <w:rsid w:val="00C62E9C"/>
    <w:rsid w:val="00C635C6"/>
    <w:rsid w:val="00C63BF8"/>
    <w:rsid w:val="00C73271"/>
    <w:rsid w:val="00C750D0"/>
    <w:rsid w:val="00C75229"/>
    <w:rsid w:val="00C7587A"/>
    <w:rsid w:val="00C82367"/>
    <w:rsid w:val="00C84E9E"/>
    <w:rsid w:val="00C87CC4"/>
    <w:rsid w:val="00C9090D"/>
    <w:rsid w:val="00C93E1B"/>
    <w:rsid w:val="00CA2315"/>
    <w:rsid w:val="00CA2BEF"/>
    <w:rsid w:val="00CA52D2"/>
    <w:rsid w:val="00CA556B"/>
    <w:rsid w:val="00CA5EDF"/>
    <w:rsid w:val="00CB73DD"/>
    <w:rsid w:val="00CC2F5B"/>
    <w:rsid w:val="00CD144E"/>
    <w:rsid w:val="00CD1BC1"/>
    <w:rsid w:val="00CD4D23"/>
    <w:rsid w:val="00CD6B0B"/>
    <w:rsid w:val="00CD6DA6"/>
    <w:rsid w:val="00CE38C7"/>
    <w:rsid w:val="00CE3A39"/>
    <w:rsid w:val="00CE5B0C"/>
    <w:rsid w:val="00CE6665"/>
    <w:rsid w:val="00CE6B9F"/>
    <w:rsid w:val="00CF2872"/>
    <w:rsid w:val="00CF30AA"/>
    <w:rsid w:val="00CF3C9B"/>
    <w:rsid w:val="00CF41F9"/>
    <w:rsid w:val="00CF4D6C"/>
    <w:rsid w:val="00CF5772"/>
    <w:rsid w:val="00CF7BC4"/>
    <w:rsid w:val="00D00ADD"/>
    <w:rsid w:val="00D0712D"/>
    <w:rsid w:val="00D11ADC"/>
    <w:rsid w:val="00D13FF3"/>
    <w:rsid w:val="00D14CA8"/>
    <w:rsid w:val="00D14F1E"/>
    <w:rsid w:val="00D20078"/>
    <w:rsid w:val="00D2348C"/>
    <w:rsid w:val="00D26742"/>
    <w:rsid w:val="00D26927"/>
    <w:rsid w:val="00D3745B"/>
    <w:rsid w:val="00D37EFB"/>
    <w:rsid w:val="00D4014F"/>
    <w:rsid w:val="00D421F9"/>
    <w:rsid w:val="00D45514"/>
    <w:rsid w:val="00D45A8A"/>
    <w:rsid w:val="00D473A3"/>
    <w:rsid w:val="00D508F2"/>
    <w:rsid w:val="00D53B21"/>
    <w:rsid w:val="00D545E3"/>
    <w:rsid w:val="00D54600"/>
    <w:rsid w:val="00D54EC0"/>
    <w:rsid w:val="00D634FB"/>
    <w:rsid w:val="00D63D41"/>
    <w:rsid w:val="00D663AA"/>
    <w:rsid w:val="00D70C79"/>
    <w:rsid w:val="00D71062"/>
    <w:rsid w:val="00D7492E"/>
    <w:rsid w:val="00D840EA"/>
    <w:rsid w:val="00D86001"/>
    <w:rsid w:val="00D936B0"/>
    <w:rsid w:val="00D970A1"/>
    <w:rsid w:val="00DA062E"/>
    <w:rsid w:val="00DA79C5"/>
    <w:rsid w:val="00DB314E"/>
    <w:rsid w:val="00DB55EF"/>
    <w:rsid w:val="00DB6635"/>
    <w:rsid w:val="00DC2795"/>
    <w:rsid w:val="00DC30E5"/>
    <w:rsid w:val="00DC5736"/>
    <w:rsid w:val="00DD084B"/>
    <w:rsid w:val="00DD2142"/>
    <w:rsid w:val="00DD6261"/>
    <w:rsid w:val="00DD6E2E"/>
    <w:rsid w:val="00DF09F4"/>
    <w:rsid w:val="00DF5497"/>
    <w:rsid w:val="00DF6069"/>
    <w:rsid w:val="00E03751"/>
    <w:rsid w:val="00E06DDD"/>
    <w:rsid w:val="00E1179F"/>
    <w:rsid w:val="00E150A0"/>
    <w:rsid w:val="00E15D01"/>
    <w:rsid w:val="00E169C5"/>
    <w:rsid w:val="00E251EB"/>
    <w:rsid w:val="00E25F34"/>
    <w:rsid w:val="00E304C2"/>
    <w:rsid w:val="00E33AC8"/>
    <w:rsid w:val="00E344F9"/>
    <w:rsid w:val="00E35496"/>
    <w:rsid w:val="00E375EC"/>
    <w:rsid w:val="00E378F8"/>
    <w:rsid w:val="00E41818"/>
    <w:rsid w:val="00E43A1B"/>
    <w:rsid w:val="00E46422"/>
    <w:rsid w:val="00E51FEF"/>
    <w:rsid w:val="00E66373"/>
    <w:rsid w:val="00E66591"/>
    <w:rsid w:val="00E67EE5"/>
    <w:rsid w:val="00E75997"/>
    <w:rsid w:val="00E814BB"/>
    <w:rsid w:val="00E81BE1"/>
    <w:rsid w:val="00E81E08"/>
    <w:rsid w:val="00E863BA"/>
    <w:rsid w:val="00E902B7"/>
    <w:rsid w:val="00E9060D"/>
    <w:rsid w:val="00E91CF6"/>
    <w:rsid w:val="00E9360A"/>
    <w:rsid w:val="00E9387B"/>
    <w:rsid w:val="00E9441A"/>
    <w:rsid w:val="00E962AA"/>
    <w:rsid w:val="00EA0E18"/>
    <w:rsid w:val="00EA57C0"/>
    <w:rsid w:val="00EA586C"/>
    <w:rsid w:val="00EA6309"/>
    <w:rsid w:val="00EA7655"/>
    <w:rsid w:val="00EA7FD0"/>
    <w:rsid w:val="00EB16BA"/>
    <w:rsid w:val="00EB1A85"/>
    <w:rsid w:val="00EB1AAD"/>
    <w:rsid w:val="00EB5776"/>
    <w:rsid w:val="00EC4F1A"/>
    <w:rsid w:val="00EC563A"/>
    <w:rsid w:val="00EC63D9"/>
    <w:rsid w:val="00ED0FB4"/>
    <w:rsid w:val="00ED3778"/>
    <w:rsid w:val="00ED3CFE"/>
    <w:rsid w:val="00ED4FA2"/>
    <w:rsid w:val="00ED506A"/>
    <w:rsid w:val="00ED77F5"/>
    <w:rsid w:val="00EE049C"/>
    <w:rsid w:val="00EE0812"/>
    <w:rsid w:val="00EE1A41"/>
    <w:rsid w:val="00EE31FE"/>
    <w:rsid w:val="00EE5411"/>
    <w:rsid w:val="00EE5B54"/>
    <w:rsid w:val="00EE76FF"/>
    <w:rsid w:val="00EF2C4B"/>
    <w:rsid w:val="00EF319E"/>
    <w:rsid w:val="00EF4D9A"/>
    <w:rsid w:val="00EF7693"/>
    <w:rsid w:val="00F07814"/>
    <w:rsid w:val="00F10015"/>
    <w:rsid w:val="00F16C21"/>
    <w:rsid w:val="00F23AE8"/>
    <w:rsid w:val="00F2512A"/>
    <w:rsid w:val="00F25F87"/>
    <w:rsid w:val="00F34689"/>
    <w:rsid w:val="00F34CF0"/>
    <w:rsid w:val="00F36FC6"/>
    <w:rsid w:val="00F46989"/>
    <w:rsid w:val="00F46B2B"/>
    <w:rsid w:val="00F47E74"/>
    <w:rsid w:val="00F53B46"/>
    <w:rsid w:val="00F55D6E"/>
    <w:rsid w:val="00F61DEF"/>
    <w:rsid w:val="00F6490D"/>
    <w:rsid w:val="00F64DE4"/>
    <w:rsid w:val="00F65C3F"/>
    <w:rsid w:val="00F676F9"/>
    <w:rsid w:val="00F75353"/>
    <w:rsid w:val="00F81597"/>
    <w:rsid w:val="00F82A98"/>
    <w:rsid w:val="00F83F90"/>
    <w:rsid w:val="00F84650"/>
    <w:rsid w:val="00F86BA0"/>
    <w:rsid w:val="00F8753C"/>
    <w:rsid w:val="00F92B55"/>
    <w:rsid w:val="00F95F4C"/>
    <w:rsid w:val="00FA09C5"/>
    <w:rsid w:val="00FA0ED1"/>
    <w:rsid w:val="00FA4349"/>
    <w:rsid w:val="00FA51FF"/>
    <w:rsid w:val="00FA7841"/>
    <w:rsid w:val="00FB0652"/>
    <w:rsid w:val="00FB5271"/>
    <w:rsid w:val="00FC3BA3"/>
    <w:rsid w:val="00FC45CB"/>
    <w:rsid w:val="00FC4D29"/>
    <w:rsid w:val="00FC7872"/>
    <w:rsid w:val="00FD02DB"/>
    <w:rsid w:val="00FD1BB3"/>
    <w:rsid w:val="00FD3CCD"/>
    <w:rsid w:val="00FD5A4E"/>
    <w:rsid w:val="00FD5E08"/>
    <w:rsid w:val="00FE2CDA"/>
    <w:rsid w:val="00FE31D4"/>
    <w:rsid w:val="00FE4958"/>
    <w:rsid w:val="00FE601D"/>
    <w:rsid w:val="00FE7D9D"/>
    <w:rsid w:val="00FF3C13"/>
    <w:rsid w:val="00FF4C7F"/>
    <w:rsid w:val="00FF5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D0F5D9"/>
  <w15:chartTrackingRefBased/>
  <w15:docId w15:val="{EB46EBF3-CD86-48EF-8B44-3A6ADD7C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0F7"/>
    <w:rPr>
      <w:rFonts w:ascii="Arial" w:hAnsi="Arial"/>
      <w:sz w:val="22"/>
    </w:rPr>
  </w:style>
  <w:style w:type="paragraph" w:styleId="Heading1">
    <w:name w:val="heading 1"/>
    <w:basedOn w:val="Normal"/>
    <w:next w:val="Normal"/>
    <w:link w:val="Heading1Char"/>
    <w:uiPriority w:val="9"/>
    <w:qFormat/>
    <w:rsid w:val="00420151"/>
    <w:pPr>
      <w:keepNext/>
      <w:keepLines/>
      <w:spacing w:before="360" w:after="80"/>
      <w:jc w:val="center"/>
      <w:outlineLvl w:val="0"/>
    </w:pPr>
    <w:rPr>
      <w:rFonts w:eastAsiaTheme="majorEastAsia" w:cstheme="majorBidi"/>
      <w:b/>
      <w:color w:val="000000" w:themeColor="text1"/>
      <w:sz w:val="56"/>
      <w:szCs w:val="40"/>
    </w:rPr>
  </w:style>
  <w:style w:type="paragraph" w:styleId="Heading2">
    <w:name w:val="heading 2"/>
    <w:basedOn w:val="Normal"/>
    <w:next w:val="Normal"/>
    <w:link w:val="Heading2Char"/>
    <w:uiPriority w:val="9"/>
    <w:unhideWhenUsed/>
    <w:qFormat/>
    <w:rsid w:val="00607210"/>
    <w:pPr>
      <w:keepNext/>
      <w:keepLines/>
      <w:spacing w:before="160" w:after="80"/>
      <w:outlineLvl w:val="1"/>
    </w:pPr>
    <w:rPr>
      <w:rFonts w:eastAsiaTheme="majorEastAsia" w:cstheme="majorBidi"/>
      <w:b/>
      <w:color w:val="000000" w:themeColor="text1"/>
      <w:sz w:val="36"/>
      <w:szCs w:val="32"/>
    </w:rPr>
  </w:style>
  <w:style w:type="paragraph" w:styleId="Heading3">
    <w:name w:val="heading 3"/>
    <w:basedOn w:val="Normal"/>
    <w:next w:val="Normal"/>
    <w:link w:val="Heading3Char"/>
    <w:uiPriority w:val="9"/>
    <w:unhideWhenUsed/>
    <w:qFormat/>
    <w:rsid w:val="00CE6B9F"/>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7860F7"/>
    <w:pPr>
      <w:keepNext/>
      <w:keepLines/>
      <w:spacing w:before="80" w:after="4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B22A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A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A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A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A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151"/>
    <w:rPr>
      <w:rFonts w:ascii="Arial" w:eastAsiaTheme="majorEastAsia" w:hAnsi="Arial" w:cstheme="majorBidi"/>
      <w:b/>
      <w:color w:val="000000" w:themeColor="text1"/>
      <w:sz w:val="56"/>
      <w:szCs w:val="40"/>
    </w:rPr>
  </w:style>
  <w:style w:type="character" w:customStyle="1" w:styleId="Heading2Char">
    <w:name w:val="Heading 2 Char"/>
    <w:basedOn w:val="DefaultParagraphFont"/>
    <w:link w:val="Heading2"/>
    <w:uiPriority w:val="9"/>
    <w:rsid w:val="00607210"/>
    <w:rPr>
      <w:rFonts w:ascii="Arial" w:eastAsiaTheme="majorEastAsia" w:hAnsi="Arial" w:cstheme="majorBidi"/>
      <w:b/>
      <w:color w:val="000000" w:themeColor="text1"/>
      <w:sz w:val="36"/>
      <w:szCs w:val="32"/>
    </w:rPr>
  </w:style>
  <w:style w:type="character" w:customStyle="1" w:styleId="Heading3Char">
    <w:name w:val="Heading 3 Char"/>
    <w:basedOn w:val="DefaultParagraphFont"/>
    <w:link w:val="Heading3"/>
    <w:uiPriority w:val="9"/>
    <w:rsid w:val="00CE6B9F"/>
    <w:rPr>
      <w:rFonts w:ascii="Arial" w:eastAsiaTheme="majorEastAsia" w:hAnsi="Arial" w:cstheme="majorBidi"/>
      <w:b/>
      <w:sz w:val="28"/>
      <w:szCs w:val="28"/>
    </w:rPr>
  </w:style>
  <w:style w:type="character" w:customStyle="1" w:styleId="Heading4Char">
    <w:name w:val="Heading 4 Char"/>
    <w:basedOn w:val="DefaultParagraphFont"/>
    <w:link w:val="Heading4"/>
    <w:uiPriority w:val="9"/>
    <w:semiHidden/>
    <w:rsid w:val="007860F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B22A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A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A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A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ADE"/>
    <w:rPr>
      <w:rFonts w:eastAsiaTheme="majorEastAsia" w:cstheme="majorBidi"/>
      <w:color w:val="272727" w:themeColor="text1" w:themeTint="D8"/>
    </w:rPr>
  </w:style>
  <w:style w:type="paragraph" w:styleId="Title">
    <w:name w:val="Title"/>
    <w:basedOn w:val="Normal"/>
    <w:next w:val="Normal"/>
    <w:link w:val="TitleChar"/>
    <w:uiPriority w:val="10"/>
    <w:qFormat/>
    <w:rsid w:val="00B22A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A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A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A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ADE"/>
    <w:pPr>
      <w:spacing w:before="160"/>
      <w:jc w:val="center"/>
    </w:pPr>
    <w:rPr>
      <w:i/>
      <w:iCs/>
      <w:color w:val="404040" w:themeColor="text1" w:themeTint="BF"/>
    </w:rPr>
  </w:style>
  <w:style w:type="character" w:customStyle="1" w:styleId="QuoteChar">
    <w:name w:val="Quote Char"/>
    <w:basedOn w:val="DefaultParagraphFont"/>
    <w:link w:val="Quote"/>
    <w:uiPriority w:val="29"/>
    <w:rsid w:val="00B22ADE"/>
    <w:rPr>
      <w:i/>
      <w:iCs/>
      <w:color w:val="404040" w:themeColor="text1" w:themeTint="BF"/>
    </w:rPr>
  </w:style>
  <w:style w:type="paragraph" w:styleId="ListParagraph">
    <w:name w:val="List Paragraph"/>
    <w:basedOn w:val="Normal"/>
    <w:uiPriority w:val="34"/>
    <w:qFormat/>
    <w:rsid w:val="00B22ADE"/>
    <w:pPr>
      <w:ind w:left="720"/>
      <w:contextualSpacing/>
    </w:pPr>
  </w:style>
  <w:style w:type="character" w:styleId="IntenseEmphasis">
    <w:name w:val="Intense Emphasis"/>
    <w:basedOn w:val="DefaultParagraphFont"/>
    <w:uiPriority w:val="21"/>
    <w:qFormat/>
    <w:rsid w:val="00B22ADE"/>
    <w:rPr>
      <w:i/>
      <w:iCs/>
      <w:color w:val="0F4761" w:themeColor="accent1" w:themeShade="BF"/>
    </w:rPr>
  </w:style>
  <w:style w:type="paragraph" w:styleId="IntenseQuote">
    <w:name w:val="Intense Quote"/>
    <w:basedOn w:val="Normal"/>
    <w:next w:val="Normal"/>
    <w:link w:val="IntenseQuoteChar"/>
    <w:uiPriority w:val="30"/>
    <w:qFormat/>
    <w:rsid w:val="00B22A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ADE"/>
    <w:rPr>
      <w:i/>
      <w:iCs/>
      <w:color w:val="0F4761" w:themeColor="accent1" w:themeShade="BF"/>
    </w:rPr>
  </w:style>
  <w:style w:type="character" w:styleId="IntenseReference">
    <w:name w:val="Intense Reference"/>
    <w:basedOn w:val="DefaultParagraphFont"/>
    <w:uiPriority w:val="32"/>
    <w:qFormat/>
    <w:rsid w:val="00B22ADE"/>
    <w:rPr>
      <w:b/>
      <w:bCs/>
      <w:smallCaps/>
      <w:color w:val="0F4761" w:themeColor="accent1" w:themeShade="BF"/>
      <w:spacing w:val="5"/>
    </w:rPr>
  </w:style>
  <w:style w:type="character" w:styleId="Hyperlink">
    <w:name w:val="Hyperlink"/>
    <w:basedOn w:val="DefaultParagraphFont"/>
    <w:uiPriority w:val="99"/>
    <w:unhideWhenUsed/>
    <w:rsid w:val="007860F7"/>
    <w:rPr>
      <w:color w:val="467886" w:themeColor="hyperlink"/>
      <w:u w:val="single"/>
    </w:rPr>
  </w:style>
  <w:style w:type="paragraph" w:styleId="Header">
    <w:name w:val="header"/>
    <w:basedOn w:val="Normal"/>
    <w:link w:val="HeaderChar"/>
    <w:uiPriority w:val="99"/>
    <w:unhideWhenUsed/>
    <w:rsid w:val="00387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EA6"/>
    <w:rPr>
      <w:rFonts w:ascii="Arial" w:hAnsi="Arial"/>
      <w:sz w:val="22"/>
    </w:rPr>
  </w:style>
  <w:style w:type="paragraph" w:styleId="Footer">
    <w:name w:val="footer"/>
    <w:basedOn w:val="Normal"/>
    <w:link w:val="FooterChar"/>
    <w:uiPriority w:val="99"/>
    <w:unhideWhenUsed/>
    <w:rsid w:val="00387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EA6"/>
    <w:rPr>
      <w:rFonts w:ascii="Arial" w:hAnsi="Arial"/>
      <w:sz w:val="22"/>
    </w:rPr>
  </w:style>
  <w:style w:type="paragraph" w:styleId="NoSpacing">
    <w:name w:val="No Spacing"/>
    <w:link w:val="NoSpacingChar"/>
    <w:uiPriority w:val="1"/>
    <w:qFormat/>
    <w:rsid w:val="0085310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5310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F6584"/>
    <w:pPr>
      <w:spacing w:before="240" w:after="0" w:line="259" w:lineRule="auto"/>
      <w:jc w:val="left"/>
      <w:outlineLvl w:val="9"/>
    </w:pPr>
    <w:rPr>
      <w:rFonts w:asciiTheme="majorHAnsi" w:hAnsiTheme="majorHAnsi"/>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7F6584"/>
    <w:pPr>
      <w:spacing w:after="100"/>
    </w:pPr>
  </w:style>
  <w:style w:type="paragraph" w:styleId="TOC2">
    <w:name w:val="toc 2"/>
    <w:basedOn w:val="Normal"/>
    <w:next w:val="Normal"/>
    <w:autoRedefine/>
    <w:uiPriority w:val="39"/>
    <w:unhideWhenUsed/>
    <w:rsid w:val="007F6584"/>
    <w:pPr>
      <w:spacing w:after="100"/>
      <w:ind w:left="220"/>
    </w:pPr>
  </w:style>
  <w:style w:type="paragraph" w:styleId="TOC3">
    <w:name w:val="toc 3"/>
    <w:basedOn w:val="Normal"/>
    <w:next w:val="Normal"/>
    <w:autoRedefine/>
    <w:uiPriority w:val="39"/>
    <w:unhideWhenUsed/>
    <w:rsid w:val="007F6584"/>
    <w:pPr>
      <w:spacing w:after="100"/>
      <w:ind w:left="440"/>
    </w:pPr>
  </w:style>
  <w:style w:type="character" w:styleId="UnresolvedMention">
    <w:name w:val="Unresolved Mention"/>
    <w:basedOn w:val="DefaultParagraphFont"/>
    <w:uiPriority w:val="99"/>
    <w:semiHidden/>
    <w:unhideWhenUsed/>
    <w:rsid w:val="00905E40"/>
    <w:rPr>
      <w:color w:val="605E5C"/>
      <w:shd w:val="clear" w:color="auto" w:fill="E1DFDD"/>
    </w:rPr>
  </w:style>
  <w:style w:type="character" w:styleId="FollowedHyperlink">
    <w:name w:val="FollowedHyperlink"/>
    <w:basedOn w:val="DefaultParagraphFont"/>
    <w:uiPriority w:val="99"/>
    <w:semiHidden/>
    <w:unhideWhenUsed/>
    <w:rsid w:val="0060553B"/>
    <w:rPr>
      <w:color w:val="96607D" w:themeColor="followedHyperlink"/>
      <w:u w:val="single"/>
    </w:rPr>
  </w:style>
  <w:style w:type="paragraph" w:styleId="NormalWeb">
    <w:name w:val="Normal (Web)"/>
    <w:basedOn w:val="Normal"/>
    <w:uiPriority w:val="99"/>
    <w:semiHidden/>
    <w:unhideWhenUsed/>
    <w:rsid w:val="00A65D82"/>
    <w:rPr>
      <w:rFonts w:ascii="Times New Roman" w:hAnsi="Times New Roman" w:cs="Times New Roman"/>
      <w:sz w:val="24"/>
    </w:rPr>
  </w:style>
  <w:style w:type="table" w:styleId="TableGrid">
    <w:name w:val="Table Grid"/>
    <w:basedOn w:val="TableNormal"/>
    <w:uiPriority w:val="39"/>
    <w:rsid w:val="000F4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0F4E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2">
    <w:name w:val="Grid Table 2"/>
    <w:basedOn w:val="TableNormal"/>
    <w:uiPriority w:val="47"/>
    <w:rsid w:val="000F4E8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0F4E8D"/>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
    <w:name w:val="Grid Table 7 Colorful"/>
    <w:basedOn w:val="TableNormal"/>
    <w:uiPriority w:val="52"/>
    <w:rsid w:val="00B67B4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cf01">
    <w:name w:val="cf01"/>
    <w:basedOn w:val="DefaultParagraphFont"/>
    <w:rsid w:val="00252450"/>
    <w:rPr>
      <w:rFonts w:ascii="Consolas" w:hAnsi="Consolas" w:hint="defaul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5350">
      <w:bodyDiv w:val="1"/>
      <w:marLeft w:val="0"/>
      <w:marRight w:val="0"/>
      <w:marTop w:val="0"/>
      <w:marBottom w:val="0"/>
      <w:divBdr>
        <w:top w:val="none" w:sz="0" w:space="0" w:color="auto"/>
        <w:left w:val="none" w:sz="0" w:space="0" w:color="auto"/>
        <w:bottom w:val="none" w:sz="0" w:space="0" w:color="auto"/>
        <w:right w:val="none" w:sz="0" w:space="0" w:color="auto"/>
      </w:divBdr>
    </w:div>
    <w:div w:id="67804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92/pb.bp.116.053660" TargetMode="External"/><Relationship Id="rId18" Type="http://schemas.openxmlformats.org/officeDocument/2006/relationships/hyperlink" Target="https://doi.org/10.1186/1478-4505-12-55" TargetMode="External"/><Relationship Id="rId26" Type="http://schemas.openxmlformats.org/officeDocument/2006/relationships/hyperlink" Target="https://doi.org/10.1371/journal.pone.0041775" TargetMode="External"/><Relationship Id="rId39" Type="http://schemas.openxmlformats.org/officeDocument/2006/relationships/hyperlink" Target="https://www.who.int/westernpacific/about/partnerships" TargetMode="External"/><Relationship Id="rId21" Type="http://schemas.openxmlformats.org/officeDocument/2006/relationships/hyperlink" Target="https://doi.org/10.7759/cureus.86089" TargetMode="External"/><Relationship Id="rId34" Type="http://schemas.openxmlformats.org/officeDocument/2006/relationships/hyperlink" Target="https://doi.org/10.1111/hex.12640"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egislation.gov.uk/en/ukpga/2014/23/contents/enacted" TargetMode="External"/><Relationship Id="rId20" Type="http://schemas.openxmlformats.org/officeDocument/2006/relationships/hyperlink" Target="https://doi.org/10.1186/s12913-022-08516-y" TargetMode="External"/><Relationship Id="rId29" Type="http://schemas.openxmlformats.org/officeDocument/2006/relationships/hyperlink" Target="https://www.england.nhs.uk/integratedcare/what-is-integrated-care/working-in-partnership"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889-021-10630-1" TargetMode="External"/><Relationship Id="rId24" Type="http://schemas.openxmlformats.org/officeDocument/2006/relationships/hyperlink" Target="https://doi.org/10.1186/s12909-025-07369-3" TargetMode="External"/><Relationship Id="rId32" Type="http://schemas.openxmlformats.org/officeDocument/2006/relationships/hyperlink" Target="https://doi.org/10.1186/s12913-018-3757-7" TargetMode="External"/><Relationship Id="rId37" Type="http://schemas.openxmlformats.org/officeDocument/2006/relationships/hyperlink" Target="https://doi.org/10.1177/0269215517709890" TargetMode="External"/><Relationship Id="rId40" Type="http://schemas.openxmlformats.org/officeDocument/2006/relationships/hyperlink" Target="https://doi.org/10.1186/s12913-025-13516-9" TargetMode="External"/><Relationship Id="rId5" Type="http://schemas.openxmlformats.org/officeDocument/2006/relationships/webSettings" Target="webSettings.xml"/><Relationship Id="rId15" Type="http://schemas.openxmlformats.org/officeDocument/2006/relationships/hyperlink" Target="https://doi.org/10.1371/journal.pone.0229923" TargetMode="External"/><Relationship Id="rId23" Type="http://schemas.openxmlformats.org/officeDocument/2006/relationships/hyperlink" Target="https://doi.org/10.1136/bmj.i6165" TargetMode="External"/><Relationship Id="rId28" Type="http://schemas.openxmlformats.org/officeDocument/2006/relationships/hyperlink" Target="https://doi.org/10.1016/j.ienj.2022.101238" TargetMode="External"/><Relationship Id="rId36" Type="http://schemas.openxmlformats.org/officeDocument/2006/relationships/hyperlink" Target="https://doi.org/10.1159/000509119" TargetMode="External"/><Relationship Id="rId10" Type="http://schemas.openxmlformats.org/officeDocument/2006/relationships/hyperlink" Target="https://www.ncbi.nlm.nih.gov/pmc/articles/PMC3199257" TargetMode="External"/><Relationship Id="rId19" Type="http://schemas.openxmlformats.org/officeDocument/2006/relationships/hyperlink" Target="https://www.legislation.gov.uk/ukpga/2010/15/contents" TargetMode="External"/><Relationship Id="rId31" Type="http://schemas.openxmlformats.org/officeDocument/2006/relationships/hyperlink" Target="https://p4h.world/en/documents/uk-health-and-care-act-202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93/intqhc/mzab052" TargetMode="External"/><Relationship Id="rId22" Type="http://schemas.openxmlformats.org/officeDocument/2006/relationships/hyperlink" Target="https://www.legislation.gov.uk/ukpga/2022/31" TargetMode="External"/><Relationship Id="rId27" Type="http://schemas.openxmlformats.org/officeDocument/2006/relationships/hyperlink" Target="https://doi.org/10.1002/msj.20187" TargetMode="External"/><Relationship Id="rId30" Type="http://schemas.openxmlformats.org/officeDocument/2006/relationships/hyperlink" Target="https://www.england.nhs.uk/long-read/delivery-plan-for-recovering-urgent-and-emergency-care-services-january-2023" TargetMode="External"/><Relationship Id="rId35" Type="http://schemas.openxmlformats.org/officeDocument/2006/relationships/hyperlink" Target="https://doi.org/10.3389/fpubh.2020.00044"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93/medlaw/fwaa026" TargetMode="External"/><Relationship Id="rId17" Type="http://schemas.openxmlformats.org/officeDocument/2006/relationships/hyperlink" Target="https://www.saem.org/about-saem/academies-interest-groups-affiliates2/cdem/for-students/online-education/m3-curriculum/professionalism/ethical-issues-in-the-ed" TargetMode="External"/><Relationship Id="rId25" Type="http://schemas.openxmlformats.org/officeDocument/2006/relationships/hyperlink" Target="https://doi.org/doi:10.1016/j.pec.2023.108046" TargetMode="External"/><Relationship Id="rId33" Type="http://schemas.openxmlformats.org/officeDocument/2006/relationships/hyperlink" Target="https://doi.org/10.1186/s12913-024-10725-6" TargetMode="External"/><Relationship Id="rId38" Type="http://schemas.openxmlformats.org/officeDocument/2006/relationships/hyperlink" Target="https://doi.org/10.1186/s12245-022-0043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60A87-A0BB-4839-BF1A-4D41D9D47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3638</Words>
  <Characters>23908</Characters>
  <Application>Microsoft Office Word</Application>
  <DocSecurity>0</DocSecurity>
  <Lines>519</Lines>
  <Paragraphs>171</Paragraphs>
  <ScaleCrop>false</ScaleCrop>
  <HeadingPairs>
    <vt:vector size="2" baseType="variant">
      <vt:variant>
        <vt:lpstr>Title</vt:lpstr>
      </vt:variant>
      <vt:variant>
        <vt:i4>1</vt:i4>
      </vt:variant>
    </vt:vector>
  </HeadingPairs>
  <TitlesOfParts>
    <vt:vector size="1" baseType="lpstr">
      <vt:lpstr>Component 2</vt:lpstr>
    </vt:vector>
  </TitlesOfParts>
  <Company>SYED MUDASSAR HUSSAIN(2407258)</Company>
  <LinksUpToDate>false</LinksUpToDate>
  <CharactersWithSpaces>27375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dc:title>
  <dc:subject>Principles of Health and Social Care Practice (BMHP5016)</dc:subject>
  <dc:creator>Syed Mudassar Hussain (2407258)</dc:creator>
  <cp:keywords/>
  <dc:description/>
  <cp:lastModifiedBy>Syed Mudassar Hussain (2407258)</cp:lastModifiedBy>
  <cp:revision>173</cp:revision>
  <dcterms:created xsi:type="dcterms:W3CDTF">2025-11-09T12:32:00Z</dcterms:created>
  <dcterms:modified xsi:type="dcterms:W3CDTF">2025-11-15T23:36:00Z</dcterms:modified>
  <cp:category>25 July  2025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1b24002c-bc16-4774-8e38-5520e5f7ec51</vt:lpwstr>
  </property>
</Properties>
</file>