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CAC88F2">
      <w:pPr>
        <w:jc w:val="both"/>
        <w:rPr>
          <w:rFonts w:ascii="Arial" w:hAnsi="Arial" w:eastAsia="Arial" w:cs="Arial"/>
          <w:b/>
          <w:sz w:val="36"/>
          <w:szCs w:val="36"/>
        </w:rPr>
      </w:pPr>
    </w:p>
    <w:p w14:paraId="15758804">
      <w:pPr>
        <w:jc w:val="center"/>
        <w:rPr>
          <w:rFonts w:ascii="Arial" w:hAnsi="Arial" w:eastAsia="Arial" w:cs="Arial"/>
          <w:b/>
          <w:sz w:val="36"/>
          <w:szCs w:val="36"/>
        </w:rPr>
      </w:pPr>
    </w:p>
    <w:p w14:paraId="3BC26A7A">
      <w:pPr>
        <w:jc w:val="center"/>
        <w:rPr>
          <w:rFonts w:ascii="Arial" w:hAnsi="Arial" w:eastAsia="Arial" w:cs="Arial"/>
          <w:b/>
          <w:sz w:val="36"/>
          <w:szCs w:val="36"/>
        </w:rPr>
      </w:pPr>
      <w:r>
        <w:rPr>
          <w:rFonts w:ascii="Arial" w:hAnsi="Arial" w:eastAsia="Arial" w:cs="Arial"/>
          <w:b/>
          <w:sz w:val="36"/>
          <w:szCs w:val="36"/>
        </w:rPr>
        <w:t>Academic Discipline of Hospitality and Tourism Management</w:t>
      </w:r>
    </w:p>
    <w:p w14:paraId="18068390">
      <w:pPr>
        <w:jc w:val="center"/>
        <w:rPr>
          <w:rFonts w:ascii="Arial" w:hAnsi="Arial" w:eastAsia="Arial" w:cs="Arial"/>
          <w:b/>
          <w:sz w:val="36"/>
          <w:szCs w:val="36"/>
        </w:rPr>
      </w:pPr>
      <w:r>
        <w:rPr>
          <w:rFonts w:ascii="Arial" w:hAnsi="Arial" w:eastAsia="Arial" w:cs="Arial"/>
          <w:b/>
          <w:sz w:val="36"/>
          <w:szCs w:val="36"/>
        </w:rPr>
        <w:t>Sustainable Hospitality &amp; Tourism Management</w:t>
      </w:r>
    </w:p>
    <w:p w14:paraId="1B4A7C16">
      <w:pPr>
        <w:pStyle w:val="15"/>
        <w:spacing w:before="0" w:beforeAutospacing="0" w:after="0" w:afterAutospacing="0"/>
        <w:jc w:val="center"/>
        <w:rPr>
          <w:sz w:val="36"/>
          <w:szCs w:val="36"/>
        </w:rPr>
      </w:pPr>
      <w:r>
        <w:rPr>
          <w:rFonts w:ascii="Arial" w:hAnsi="Arial" w:cs="Arial"/>
          <w:b/>
          <w:bCs/>
          <w:color w:val="000000"/>
          <w:sz w:val="36"/>
          <w:szCs w:val="36"/>
        </w:rPr>
        <w:t>Module code: BMIH5006</w:t>
      </w:r>
    </w:p>
    <w:p w14:paraId="3DA0E7A5">
      <w:pPr>
        <w:pStyle w:val="15"/>
        <w:spacing w:before="0" w:beforeAutospacing="0" w:after="0" w:afterAutospacing="0"/>
        <w:jc w:val="center"/>
        <w:rPr>
          <w:rFonts w:hint="default"/>
          <w:sz w:val="36"/>
          <w:szCs w:val="36"/>
          <w:lang w:val="en-GB"/>
        </w:rPr>
      </w:pPr>
      <w:r>
        <w:rPr>
          <w:rFonts w:ascii="Arial" w:hAnsi="Arial" w:cs="Arial"/>
          <w:b/>
          <w:bCs/>
          <w:color w:val="000000"/>
          <w:sz w:val="36"/>
          <w:szCs w:val="36"/>
        </w:rPr>
        <w:t>Student name:</w:t>
      </w:r>
      <w:r>
        <w:rPr>
          <w:rFonts w:hint="default" w:ascii="Arial" w:hAnsi="Arial" w:cs="Arial"/>
          <w:b/>
          <w:bCs/>
          <w:color w:val="000000"/>
          <w:sz w:val="36"/>
          <w:szCs w:val="36"/>
          <w:lang w:val="en-GB"/>
        </w:rPr>
        <w:t xml:space="preserve"> Catalin Mircea Leva </w:t>
      </w:r>
    </w:p>
    <w:p w14:paraId="5E2242A8">
      <w:pPr>
        <w:pStyle w:val="15"/>
        <w:spacing w:before="0" w:beforeAutospacing="0" w:after="0" w:afterAutospacing="0"/>
        <w:jc w:val="center"/>
        <w:rPr>
          <w:rFonts w:hint="default" w:ascii="Times New Roman" w:hAnsi="Times New Roman" w:eastAsia="Times New Roman"/>
          <w:b/>
          <w:sz w:val="32"/>
          <w:szCs w:val="32"/>
        </w:rPr>
      </w:pPr>
      <w:r>
        <w:rPr>
          <w:rFonts w:ascii="Arial" w:hAnsi="Arial" w:cs="Arial"/>
          <w:b/>
          <w:bCs/>
          <w:color w:val="000000"/>
          <w:sz w:val="36"/>
          <w:szCs w:val="36"/>
        </w:rPr>
        <w:t xml:space="preserve"> Student ID number: </w:t>
      </w:r>
      <w:r>
        <w:rPr>
          <w:rFonts w:hint="default" w:ascii="Times New Roman" w:hAnsi="Times New Roman" w:eastAsia="Times New Roman"/>
          <w:b/>
          <w:sz w:val="32"/>
          <w:szCs w:val="32"/>
        </w:rPr>
        <w:t xml:space="preserve">2244690 </w:t>
      </w:r>
    </w:p>
    <w:p w14:paraId="19B2553F">
      <w:pPr>
        <w:pStyle w:val="15"/>
        <w:spacing w:before="0" w:beforeAutospacing="0" w:after="0" w:afterAutospacing="0"/>
        <w:jc w:val="center"/>
        <w:rPr>
          <w:rFonts w:hint="default"/>
          <w:sz w:val="36"/>
          <w:szCs w:val="36"/>
          <w:lang w:val="en-GB"/>
        </w:rPr>
      </w:pPr>
      <w:r>
        <w:rPr>
          <w:rFonts w:ascii="Arial" w:hAnsi="Arial" w:cs="Arial"/>
          <w:b/>
          <w:bCs/>
          <w:color w:val="000000"/>
          <w:sz w:val="36"/>
          <w:szCs w:val="36"/>
        </w:rPr>
        <w:t xml:space="preserve">Module </w:t>
      </w:r>
      <w:r>
        <w:rPr>
          <w:rFonts w:hint="default" w:ascii="Arial" w:hAnsi="Arial" w:cs="Arial"/>
          <w:b/>
          <w:bCs/>
          <w:color w:val="000000"/>
          <w:sz w:val="36"/>
          <w:szCs w:val="36"/>
          <w:lang w:val="en-GB"/>
        </w:rPr>
        <w:t>Leader</w:t>
      </w:r>
      <w:r>
        <w:rPr>
          <w:rFonts w:ascii="Arial" w:hAnsi="Arial" w:cs="Arial"/>
          <w:b/>
          <w:bCs/>
          <w:color w:val="000000"/>
          <w:sz w:val="36"/>
          <w:szCs w:val="36"/>
        </w:rPr>
        <w:t xml:space="preserve">: </w:t>
      </w:r>
      <w:r>
        <w:rPr>
          <w:rFonts w:hint="default" w:ascii="Arial" w:hAnsi="Arial" w:cs="Arial"/>
          <w:b/>
          <w:bCs/>
          <w:color w:val="000000"/>
          <w:sz w:val="36"/>
          <w:szCs w:val="36"/>
          <w:lang w:val="en-GB"/>
        </w:rPr>
        <w:t>Christopher Wilkin</w:t>
      </w:r>
    </w:p>
    <w:p w14:paraId="47C01037">
      <w:pPr>
        <w:pStyle w:val="15"/>
        <w:spacing w:before="0" w:beforeAutospacing="0" w:after="0" w:afterAutospacing="0"/>
        <w:jc w:val="center"/>
        <w:rPr>
          <w:rFonts w:hint="default" w:ascii="Times New Roman" w:hAnsi="Times New Roman" w:eastAsia="Times New Roman"/>
          <w:b/>
          <w:sz w:val="32"/>
          <w:szCs w:val="32"/>
        </w:rPr>
      </w:pPr>
    </w:p>
    <w:p w14:paraId="519ED65D">
      <w:pPr>
        <w:pStyle w:val="15"/>
        <w:bidi w:val="0"/>
        <w:rPr>
          <w:rFonts w:hint="default"/>
          <w:lang w:val="en-GB"/>
        </w:rPr>
      </w:pPr>
    </w:p>
    <w:p w14:paraId="124C2AFD">
      <w:pPr>
        <w:jc w:val="both"/>
        <w:rPr>
          <w:rFonts w:ascii="Arial" w:hAnsi="Arial" w:eastAsia="Arial" w:cs="Arial"/>
        </w:rPr>
      </w:pPr>
      <w:r>
        <w:rPr>
          <w:sz w:val="36"/>
          <w:szCs w:val="36"/>
        </w:rPr>
        <w:br w:type="page"/>
      </w:r>
      <w:bookmarkStart w:id="0" w:name="_heading=h.60z7idputojh" w:colFirst="0" w:colLast="0"/>
      <w:bookmarkEnd w:id="0"/>
      <w:r>
        <w:rPr>
          <w:rFonts w:ascii="Arial" w:hAnsi="Arial" w:eastAsia="Arial" w:cs="Arial"/>
        </w:rPr>
        <w:t>Greener practices refer to eco-friendly and sustainable initiatives that businesses in the hospitality industry adopt to reduce their environmental footprint (</w:t>
      </w:r>
      <w:r>
        <w:rPr>
          <w:rFonts w:ascii="Arial" w:hAnsi="Arial" w:eastAsia="Arial" w:cs="Arial"/>
          <w:highlight w:val="white"/>
        </w:rPr>
        <w:t xml:space="preserve">Legrand </w:t>
      </w:r>
      <w:r>
        <w:rPr>
          <w:rFonts w:ascii="Arial" w:hAnsi="Arial" w:eastAsia="Arial" w:cs="Arial"/>
          <w:i/>
          <w:highlight w:val="white"/>
        </w:rPr>
        <w:t xml:space="preserve">et al., </w:t>
      </w:r>
      <w:r>
        <w:rPr>
          <w:rFonts w:ascii="Arial" w:hAnsi="Arial" w:eastAsia="Arial" w:cs="Arial"/>
          <w:highlight w:val="white"/>
        </w:rPr>
        <w:t>2022</w:t>
      </w:r>
      <w:r>
        <w:rPr>
          <w:rFonts w:ascii="Arial" w:hAnsi="Arial" w:eastAsia="Arial" w:cs="Arial"/>
        </w:rPr>
        <w:t>). The practices mainly focus on minimising waste along with conserving resources and enhancing energy efficiency which promotes social responsibility and community engagement. For small-sized hotels such as the Zetter Townhouse in Clerkenwell, London, the adoption of greener practices can offer multiple benefits. Integrating sustainable practices into daily operations helps the hotel to differentiate itself in a competitive market and enhances its brand image as one of the responsible organizations.</w:t>
      </w:r>
    </w:p>
    <w:p w14:paraId="1860A158">
      <w:pPr>
        <w:rPr>
          <w:rFonts w:ascii="Arial" w:hAnsi="Arial" w:eastAsia="Arial" w:cs="Arial"/>
          <w:b/>
        </w:rPr>
      </w:pPr>
      <w:r>
        <w:rPr>
          <w:rFonts w:ascii="Arial" w:hAnsi="Arial" w:eastAsia="Arial" w:cs="Arial"/>
        </w:rPr>
        <w:t>However, smaller establishments face challenges in implementing sustainability which include limited staff and smaller budgets with a lack of immediate resources that often hinder the process of integration (</w:t>
      </w:r>
      <w:r>
        <w:rPr>
          <w:rFonts w:ascii="Arial" w:hAnsi="Arial" w:eastAsia="Arial" w:cs="Arial"/>
          <w:highlight w:val="white"/>
        </w:rPr>
        <w:t xml:space="preserve">Wiesner </w:t>
      </w:r>
      <w:r>
        <w:rPr>
          <w:rFonts w:ascii="Arial" w:hAnsi="Arial" w:eastAsia="Arial" w:cs="Arial"/>
          <w:i/>
          <w:highlight w:val="white"/>
        </w:rPr>
        <w:t>et al.</w:t>
      </w:r>
      <w:r>
        <w:rPr>
          <w:rFonts w:ascii="Arial" w:hAnsi="Arial" w:eastAsia="Arial" w:cs="Arial"/>
          <w:highlight w:val="white"/>
        </w:rPr>
        <w:t xml:space="preserve"> 2018</w:t>
      </w:r>
      <w:r>
        <w:rPr>
          <w:rFonts w:ascii="Arial" w:hAnsi="Arial" w:eastAsia="Arial" w:cs="Arial"/>
        </w:rPr>
        <w:t xml:space="preserve">). Despite multiple obstacles, long-term benefits are quite viable which include improved guest loyalty, positive environmental outcomes, and cost-saving features for the long term that lower the challenges. For a hotel such as the Zetter Townhouse, the adoption of a similar solution as a part of green initiatives can address the waste generation and energy-consumption issues can enhance the operational efficiency while creating a greener and cleaner environment. This shift for sustainable leadership in the hotel sector can help both the business and the surrounding community. </w:t>
      </w:r>
    </w:p>
    <w:p w14:paraId="24DD6F0D">
      <w:pPr>
        <w:rPr>
          <w:rFonts w:ascii="Arial" w:hAnsi="Arial" w:eastAsia="Arial" w:cs="Arial"/>
        </w:rPr>
      </w:pPr>
      <w:bookmarkStart w:id="1" w:name="_heading=h.6eqgukyl19er" w:colFirst="0" w:colLast="0"/>
      <w:bookmarkEnd w:id="1"/>
    </w:p>
    <w:p w14:paraId="63CA916D">
      <w:pPr>
        <w:rPr>
          <w:rFonts w:ascii="Arial" w:hAnsi="Arial" w:eastAsia="Arial" w:cs="Arial"/>
        </w:rPr>
      </w:pPr>
      <w:r>
        <w:rPr>
          <w:rFonts w:ascii="Arial" w:hAnsi="Arial" w:eastAsia="Arial" w:cs="Arial"/>
        </w:rPr>
        <w:t xml:space="preserve">The Zetter Townhouse has already made the necessary steps towards sustainability, however, there is still a gap in the plastic and food waste management practices. According to the report the UK tourism sector accounts for major plastic and food waste, which reached yo 3.8 million tonnes in 2019, considering food and beverage waste only (wastemanaged.co.uk, 2024). The small boutique hotels have limited resources which often results in major food and plastic waste from the dining operations. In the UK, hotels continue to the high-quality services and despite focusing on the ingredients, hotels such as the Ztetter townhouse need to focus on waste reduction by optimising plastic use and encouraging waste-diverse practices as a whole.  </w:t>
      </w:r>
      <w:r>
        <w:rPr>
          <w:rFonts w:ascii="Arial" w:hAnsi="Arial" w:eastAsia="Arial" w:cs="Arial"/>
          <w:highlight w:val="white"/>
        </w:rPr>
        <w:t xml:space="preserve">Vanapalli </w:t>
      </w:r>
      <w:r>
        <w:rPr>
          <w:rFonts w:ascii="Arial" w:hAnsi="Arial" w:eastAsia="Arial" w:cs="Arial"/>
          <w:i/>
          <w:highlight w:val="white"/>
        </w:rPr>
        <w:t xml:space="preserve">et al. </w:t>
      </w:r>
      <w:r>
        <w:rPr>
          <w:rFonts w:ascii="Arial" w:hAnsi="Arial" w:eastAsia="Arial" w:cs="Arial"/>
          <w:i/>
        </w:rPr>
        <w:t>(</w:t>
      </w:r>
      <w:r>
        <w:rPr>
          <w:rFonts w:ascii="Arial" w:hAnsi="Arial" w:eastAsia="Arial" w:cs="Arial"/>
        </w:rPr>
        <w:t>2021) argued that implementation of the comprehensive plastic waste and food waste reduction system is quite costly and challenges smaller operations.  Despite arguments, it can be stated that small-sized hotels in some places have also incorporated green initiatives for long-term, effects and improved resource efficiency as a whole. In conclusion, it can be stated that it is important to address the plastic waste and food waste of the Zetter Townhouse to benefit the hotel environmentally and economically.</w:t>
      </w:r>
    </w:p>
    <w:p w14:paraId="58878A8C">
      <w:pPr>
        <w:rPr>
          <w:rFonts w:ascii="Arial" w:hAnsi="Arial" w:eastAsia="Arial" w:cs="Arial"/>
        </w:rPr>
      </w:pPr>
      <w:r>
        <w:rPr>
          <w:rFonts w:ascii="Arial" w:hAnsi="Arial" w:eastAsia="Arial" w:cs="Arial"/>
        </w:rPr>
        <w:t>The proposed green initiatives for the Zetter Townhouse focus on reducing plastic and food waste along with optimising resources during organisational operation.  In 2017, the UK generated 44.1 billion drink stirrers which has been estimated to reach at 59 billion by 2030 (Statista, 2024).  The Hospitality industry includes small hotels which is a major contributor to global plastic waste. Shifting to recyclable packaging, biodegradable things also eliminate bottle and plastic straws that can drastically reduce the environmental footprint. In hotel dining, food waste remains a major challenge as the industry is increasing food and plastic waste (</w:t>
      </w:r>
      <w:r>
        <w:rPr>
          <w:rFonts w:ascii="Arial" w:hAnsi="Arial" w:eastAsia="Arial" w:cs="Arial"/>
          <w:color w:val="222222"/>
          <w:highlight w:val="white"/>
        </w:rPr>
        <w:t>Edgell Sr, 2019</w:t>
      </w:r>
      <w:r>
        <w:rPr>
          <w:rFonts w:ascii="Arial" w:hAnsi="Arial" w:eastAsia="Arial" w:cs="Arial"/>
        </w:rPr>
        <w:t xml:space="preserve">). For The Zetter Townhouse, optimizing food waste through practices including food surplus donations, composting and smarter portion planning which lower the purchasing costs along with the food waste. On the contrary, </w:t>
      </w:r>
      <w:r>
        <w:rPr>
          <w:rFonts w:ascii="Arial" w:hAnsi="Arial" w:eastAsia="Arial" w:cs="Arial"/>
          <w:highlight w:val="white"/>
        </w:rPr>
        <w:t xml:space="preserve">Rizos </w:t>
      </w:r>
      <w:r>
        <w:rPr>
          <w:rFonts w:ascii="Arial" w:hAnsi="Arial" w:eastAsia="Arial" w:cs="Arial"/>
          <w:i/>
          <w:highlight w:val="white"/>
        </w:rPr>
        <w:t>et al.</w:t>
      </w:r>
      <w:r>
        <w:rPr>
          <w:rFonts w:ascii="Arial" w:hAnsi="Arial" w:eastAsia="Arial" w:cs="Arial"/>
        </w:rPr>
        <w:t xml:space="preserve"> (2016), argued that change implementations with limited resources seem complex and costly. Despite arguments, it is evident that various hotels show the transition to sustainable practices leads to long-term savings and impacts energy costs along with waste disposal. Thus, it can be concluded that Olatic and food waste reduction practices can benefit the Zetter Townhouses by reducing environmental impacts and saving costs that align with growing consumer demand. </w:t>
      </w:r>
    </w:p>
    <w:p w14:paraId="30CB5F21">
      <w:pPr>
        <w:rPr>
          <w:rFonts w:ascii="Arial" w:hAnsi="Arial" w:eastAsia="Arial" w:cs="Arial"/>
        </w:rPr>
      </w:pPr>
      <w:r>
        <w:rPr>
          <w:rFonts w:ascii="Arial" w:hAnsi="Arial" w:eastAsia="Arial" w:cs="Arial"/>
        </w:rPr>
        <w:t xml:space="preserve">In the UK hotel industry, many organisations have implemented sustainability initiatives that show that food and plastic waste reduction along with improving resource efficiency is significant. The Hilton group has committed to reducing single-use plastic from its operations and has reduced nearly 16 million plastic bottle uses annually (Hilton.com, 2022). The Marriot Group also adopted food waste reduction strategies with composting and donating surplus food by 50% (Marriott.com, 2020).  This evidence showcases that small hotels can also utilize the same strategies to achieve environmental and financial benefits as a whole. Focusing on lowering plastic waste and improving food waste management can benefit by posting lower disposal costs along with improving the reputations of the hotel brands as sustainable ones. On the other hand, </w:t>
      </w:r>
      <w:r>
        <w:rPr>
          <w:rFonts w:ascii="Arial" w:hAnsi="Arial" w:eastAsia="Arial" w:cs="Arial"/>
          <w:highlight w:val="white"/>
        </w:rPr>
        <w:t xml:space="preserve">Okumus </w:t>
      </w:r>
      <w:r>
        <w:rPr>
          <w:rFonts w:ascii="Arial" w:hAnsi="Arial" w:eastAsia="Arial" w:cs="Arial"/>
          <w:i/>
          <w:highlight w:val="white"/>
        </w:rPr>
        <w:t xml:space="preserve">et al. </w:t>
      </w:r>
      <w:r>
        <w:rPr>
          <w:rFonts w:ascii="Arial" w:hAnsi="Arial" w:eastAsia="Arial" w:cs="Arial"/>
        </w:rPr>
        <w:t xml:space="preserve"> (2017), argued that small hotels can face obstacles to operation constraints and necessary infrastructure.  Instead of arguments, it can be inferred that many small hotels have also implemented sustainable organisation practices with minimal investments and adaptable strategies by leveraging cost-effective and sustainable solutions that are attainable. In conclusion, it can be said that The Zetter Townhouse can draw valuable lessons from the successful examples and implement similar kinds of practices to reduce environmental impact while enhancing guest satisfaction. </w:t>
      </w:r>
    </w:p>
    <w:p w14:paraId="61C1D491">
      <w:pPr>
        <w:rPr>
          <w:rFonts w:ascii="Arial" w:hAnsi="Arial" w:eastAsia="Arial" w:cs="Arial"/>
        </w:rPr>
      </w:pPr>
      <w:r>
        <w:rPr>
          <w:rFonts w:ascii="Arial" w:hAnsi="Arial" w:eastAsia="Arial" w:cs="Arial"/>
        </w:rPr>
        <w:t xml:space="preserve">Implementation of sustainable practices at the Zetter Townhouse offers financial environmental and reputational benefits. Sustainable hotels have a major cost-reduction approach that increases customer satisfaction.  The reduction of consumer food waste by 20% to 25% by 2030 can result in an estimated saving of $120- $300 billion per year across the globe (wri.org, 2023).  Hotels with optimised food waste management can cut costs and lower single-use plastic saving operational expenses related to waste disposal. Cost savings and sustainbility initiatives improve the brand reputation and guest loyalty. Contemporary travellers are eco-conscious and look for eco-friendly accommodations which indicates a growth for sustainable hospitality options. Reducing waste and adopting eco-conscious practices can help the Zetter Townhouse to attract environmentally aware guests along with enhancing competitiveness.  As argued by, </w:t>
      </w:r>
      <w:r>
        <w:rPr>
          <w:rFonts w:ascii="Arial" w:hAnsi="Arial" w:eastAsia="Arial" w:cs="Arial"/>
          <w:highlight w:val="white"/>
        </w:rPr>
        <w:t>Auktor (2020</w:t>
      </w:r>
      <w:r>
        <w:rPr>
          <w:rFonts w:ascii="Arial" w:hAnsi="Arial" w:eastAsia="Arial" w:cs="Arial"/>
        </w:rPr>
        <w:t>), sustainability initiatives such as installing energy-efficient kitchen appliances demand high-skilled employees and composting systems.  Though arguments have taken place, long-term savings, waste management and food procurements are significant along with government incentives and grants that help businesses with green initiatives. In conclusion, it can be said that sustainability measures adopted by the hotels can strengthen brand presence and customer satisfaction with long-term success in a sustainability-focused market.</w:t>
      </w:r>
    </w:p>
    <w:p w14:paraId="7917E3FF">
      <w:pPr>
        <w:rPr>
          <w:rFonts w:ascii="Arial" w:hAnsi="Arial" w:eastAsia="Arial" w:cs="Arial"/>
        </w:rPr>
      </w:pPr>
      <w:r>
        <w:rPr>
          <w:rFonts w:ascii="Arial" w:hAnsi="Arial" w:eastAsia="Arial" w:cs="Arial"/>
        </w:rPr>
        <w:t xml:space="preserve">Financial constraints, operational adjustments and staff training are some common challenges that are associated with the implementation of sustainability and green initiatives. As mentioned by </w:t>
      </w:r>
      <w:r>
        <w:rPr>
          <w:rFonts w:ascii="Arial" w:hAnsi="Arial" w:eastAsia="Arial" w:cs="Arial"/>
          <w:highlight w:val="white"/>
        </w:rPr>
        <w:t>Sailesh (2025</w:t>
      </w:r>
      <w:r>
        <w:rPr>
          <w:rFonts w:ascii="Arial" w:hAnsi="Arial" w:eastAsia="Arial" w:cs="Arial"/>
        </w:rPr>
        <w:t xml:space="preserve">), small hotels without any sustainability hospitality alliances suffer from facilitated composting systems, biodegradable materials and energy-efficient kitchen appliances.  The initial expenses pose barriers to the hotel with a limited budget. Operation challenges arise as plastic and food waste reduction demand alternatives that depend on process adjustment and staff training intensively. Businesses in the hospitality sector face a hurdle in training employees regarding sustainable practices, and this results in slow adoption errors which reduce further effectiveness. Often government grants and other incentives help companies to offset initial investments. As argued by </w:t>
      </w:r>
      <w:r>
        <w:rPr>
          <w:rFonts w:ascii="Arial" w:hAnsi="Arial" w:eastAsia="Arial" w:cs="Arial"/>
          <w:highlight w:val="white"/>
        </w:rPr>
        <w:t>Buhalis</w:t>
      </w:r>
      <w:r>
        <w:rPr>
          <w:rFonts w:ascii="Arial" w:hAnsi="Arial" w:eastAsia="Arial" w:cs="Arial"/>
          <w:i/>
          <w:highlight w:val="white"/>
        </w:rPr>
        <w:t xml:space="preserve"> et al. </w:t>
      </w:r>
      <w:r>
        <w:rPr>
          <w:rFonts w:ascii="Arial" w:hAnsi="Arial" w:eastAsia="Arial" w:cs="Arial"/>
        </w:rPr>
        <w:t xml:space="preserve">(2019), sustainability initiatives can disrupt the daily operations within the hotels and reduce the efficiency of service delivery. </w:t>
      </w:r>
    </w:p>
    <w:p w14:paraId="53E3A28E">
      <w:pPr>
        <w:rPr>
          <w:rFonts w:ascii="Arial" w:hAnsi="Arial" w:eastAsia="Arial" w:cs="Arial"/>
        </w:rPr>
      </w:pPr>
      <w:r>
        <w:rPr>
          <w:rFonts w:ascii="Arial" w:hAnsi="Arial" w:eastAsia="Arial" w:cs="Arial"/>
        </w:rPr>
        <w:t xml:space="preserve">However, it is evident that once sustainable measures are incorporated into business practices, it helps in operation streamlining, reducing waste management and improving further profitability.  Thus, it can be concluded that there are certain challenges that can pose difficulties to the Zetter Townhouses, which can be addressed with employee management, financial support and strategic planning which helps in overcoming the obstacles and ensuring economic benefits in the long term. </w:t>
      </w:r>
    </w:p>
    <w:p w14:paraId="0B5D38B1">
      <w:pPr>
        <w:rPr>
          <w:rFonts w:ascii="Arial" w:hAnsi="Arial" w:eastAsia="Arial" w:cs="Arial"/>
        </w:rPr>
      </w:pPr>
      <w:r>
        <w:rPr>
          <w:rFonts w:ascii="Arial" w:hAnsi="Arial" w:eastAsia="Arial" w:cs="Arial"/>
        </w:rPr>
        <w:t xml:space="preserve">Implementation of food waste reduction and plastic waste elimination at the Zetter Townhouse is both feasible and cost-effective, which leads to long-term savings and improved sustainability.  The Marriot Hotels has installed Winnow AI technology in 53 hotels to reduce food waste and decreased 25% reduction in early 2024 (esgnews.com, 2024). The hotels primarily employ lower procurement and disposal costs. Replacements of single-use plastics with sustainable alternatives can reduce waste management costs as a whole. The financial benefits of these initiatives are practical and include food donation programs, portion control and composting systems. The Zetter Townhouse can minimise waste and enhance operational efficiency. In addition to this, the use of biodegradable packaging and reusable alternatives by adhering to circular economy principles can reduce plastic consumption without major cost increases.  On the other hand, </w:t>
      </w:r>
      <w:r>
        <w:rPr>
          <w:rFonts w:ascii="Arial" w:hAnsi="Arial" w:eastAsia="Arial" w:cs="Arial"/>
          <w:highlight w:val="white"/>
        </w:rPr>
        <w:t>Hussain</w:t>
      </w:r>
      <w:r>
        <w:rPr>
          <w:rFonts w:ascii="Arial" w:hAnsi="Arial" w:eastAsia="Arial" w:cs="Arial"/>
          <w:i/>
          <w:highlight w:val="white"/>
        </w:rPr>
        <w:t xml:space="preserve"> et al.</w:t>
      </w:r>
      <w:r>
        <w:rPr>
          <w:rFonts w:ascii="Arial" w:hAnsi="Arial" w:eastAsia="Arial" w:cs="Arial"/>
        </w:rPr>
        <w:t xml:space="preserve"> (2024), argued that the upfront cost of transitioning to sustainable practices such as investing in eco-friendly packaging demands higher technological expertise and equipment for support. Though there are limitations, research indicates that the government grant, low landfill rates and tailored financial benefits can help offset the initial investments.  In conclusion, it can be clearly stated that the proposed sustainability initially is economically effective and viable and operationally feasible can ensure cost-savings and enhance guest satisfaction with environmental benefits. </w:t>
      </w:r>
    </w:p>
    <w:p w14:paraId="1C53B7C2">
      <w:pPr>
        <w:rPr>
          <w:rFonts w:ascii="Arial" w:hAnsi="Arial" w:eastAsia="Arial" w:cs="Arial"/>
        </w:rPr>
      </w:pPr>
      <w:r>
        <w:rPr>
          <w:rFonts w:ascii="Arial" w:hAnsi="Arial" w:eastAsia="Arial" w:cs="Arial"/>
        </w:rPr>
        <w:t xml:space="preserve">Reducing food and plastic waste and improving resource efficiency at The Zetter Townhouse can significantly reduce the environmental footprints of the hotel. As per the report by (lordslibrary.parliament.uk, 2021), in 2018, the UK produced around 9.5 million tonnes of food waste and among them 1.1 million toned from hospitality and food services.  The Zetter Townhouse can contribute to reducing methane emissions during food waste decomposition in landfills. This Improves resource efficiency such as the adoption of energy-efficient appliances and facilitating sustainable packaging that further reduces the negative impacts on the environment. Within the hospitality sector, energy efficiency is significant which also lowers operational costs. Integration of sustainable practices and green initiatives can align the deliverables of the Zetter Townhouse with the broader sustainability goals that help minimise the ecological impact. </w:t>
      </w:r>
    </w:p>
    <w:p w14:paraId="01E46578">
      <w:pPr>
        <w:rPr>
          <w:rFonts w:ascii="Arial" w:hAnsi="Arial" w:eastAsia="Arial" w:cs="Arial"/>
        </w:rPr>
      </w:pPr>
      <w:r>
        <w:rPr>
          <w:rFonts w:ascii="Arial" w:hAnsi="Arial" w:eastAsia="Arial" w:cs="Arial"/>
        </w:rPr>
        <w:t xml:space="preserve">As argued by </w:t>
      </w:r>
      <w:r>
        <w:rPr>
          <w:rFonts w:ascii="Arial" w:hAnsi="Arial" w:eastAsia="Arial" w:cs="Arial"/>
          <w:highlight w:val="white"/>
        </w:rPr>
        <w:t xml:space="preserve">Chapman </w:t>
      </w:r>
      <w:r>
        <w:rPr>
          <w:rFonts w:ascii="Arial" w:hAnsi="Arial" w:eastAsia="Arial" w:cs="Arial"/>
          <w:i/>
          <w:highlight w:val="white"/>
        </w:rPr>
        <w:t xml:space="preserve">et al. </w:t>
      </w:r>
      <w:r>
        <w:rPr>
          <w:rFonts w:ascii="Arial" w:hAnsi="Arial" w:eastAsia="Arial" w:cs="Arial"/>
        </w:rPr>
        <w:t>(2020), logistical adjustments can pose challenges considering the implementation of justiciable measures in small hotels. However, despite arguments, it can be stated the proposed implementation adheres to proper planning that helps to mitigate the challenges effectively without disruption. The conclusive statements include that food and plastic waste routing benefits the environment with resource conservation and lowering emissions which is credible and practical.</w:t>
      </w:r>
    </w:p>
    <w:p w14:paraId="16E22E24">
      <w:pPr>
        <w:rPr>
          <w:rFonts w:ascii="Arial" w:hAnsi="Arial" w:eastAsia="Arial" w:cs="Arial"/>
          <w:b/>
        </w:rPr>
      </w:pPr>
      <w:r>
        <w:rPr>
          <w:rFonts w:ascii="Arial" w:hAnsi="Arial" w:eastAsia="Arial" w:cs="Arial"/>
        </w:rPr>
        <w:t xml:space="preserve">Sustainable practice implementation within the Zetter townhouse will have a proactive impact on both the hotel and the surrounding community as well. According to the report, the conversion of food waste into fuel or compost has improved community engagement and in the UK the upcycled process results in furniture also (Deloitte.com, 2024).  The green initiative improves brand reputation, market position and guest loyalty. Reduction of single-use plastic and food waste can further attract environment-conscious travellers to the Zetter Townhouse which improves revenue generation and profitability. For long-term viability, the green initiatives not only reduce waste but also contribute to a responsible and sustainable hospitality model.  As argued by </w:t>
      </w:r>
      <w:r>
        <w:rPr>
          <w:rFonts w:ascii="Arial" w:hAnsi="Arial" w:eastAsia="Arial" w:cs="Arial"/>
          <w:highlight w:val="white"/>
        </w:rPr>
        <w:t xml:space="preserve">Laari </w:t>
      </w:r>
      <w:r>
        <w:rPr>
          <w:rFonts w:ascii="Arial" w:hAnsi="Arial" w:eastAsia="Arial" w:cs="Arial"/>
          <w:i/>
          <w:highlight w:val="white"/>
        </w:rPr>
        <w:t>et al.</w:t>
      </w:r>
      <w:r>
        <w:rPr>
          <w:rFonts w:ascii="Arial" w:hAnsi="Arial" w:eastAsia="Arial" w:cs="Arial"/>
          <w:i/>
        </w:rPr>
        <w:t xml:space="preserve"> </w:t>
      </w:r>
      <w:r>
        <w:rPr>
          <w:rFonts w:ascii="Arial" w:hAnsi="Arial" w:eastAsia="Arial" w:cs="Arial"/>
        </w:rPr>
        <w:t xml:space="preserve">(2018), Long-term sustainability maintenance demands internal and external support along with tailored policy support. Despite arguments, it can be stated that leveraging community collaboration and seeking sustainability grants can help mitigate financial concerns within the organisation. To conclude, it can be said that, the commitment to sustainability by the Zetter Townhouses improved guest satisfaction and profitability at the same time while contributing positively to the local community. </w:t>
      </w:r>
    </w:p>
    <w:p w14:paraId="4DD60AFB">
      <w:pPr>
        <w:rPr>
          <w:rFonts w:ascii="Arial" w:hAnsi="Arial" w:eastAsia="Arial" w:cs="Arial"/>
        </w:rPr>
      </w:pPr>
      <w:bookmarkStart w:id="2" w:name="_heading=h.b5rkfpr8c70h" w:colFirst="0" w:colLast="0"/>
      <w:bookmarkEnd w:id="2"/>
    </w:p>
    <w:p w14:paraId="3BC59AAC">
      <w:pPr>
        <w:rPr>
          <w:rFonts w:ascii="Arial" w:hAnsi="Arial" w:eastAsia="Arial" w:cs="Arial"/>
        </w:rPr>
      </w:pPr>
      <w:bookmarkStart w:id="5" w:name="_GoBack"/>
      <w:bookmarkEnd w:id="5"/>
      <w:r>
        <w:rPr>
          <w:rFonts w:ascii="Arial" w:hAnsi="Arial" w:eastAsia="Arial" w:cs="Arial"/>
        </w:rPr>
        <w:t>Thus, it can be concluded that the essay has identified some key sustainability goals in the hotel industry of the UK, centering on the Zetter Townhouse which highlights mainly the plastic waste and food waste issues along with poor resource management. The proposed green initiatives include composting, surplus food donation and food waste reduction with energy-efficient kitchen practices significantly outlining the environmental sustainability of the hotel. Other hospitality business case studies highlight that the green initiatives considered by them are feasible and cost-effective in the long run.  The green initiatives lower operational costs through waste reduction and energy efficiency as well. This aligns with the growing demand from eco-conscious consumers seeking responsible hotel options.  The adoption of surplus food donations and composting practices can improve the hotel’s reputation along with sustainable measures.  There are certain challenges including initial cist logistical adjustments and lack of planning and staff training which need to be addressed for employing tailored green initiatives. The long-term impact includes improved brand reputation, along with reduced operational costs and stringer community engagement. The sustainable measures adoption can help the Zetter Townhouse to meet the growing consumer demands with sustainable and responsible tourism practices.</w:t>
      </w:r>
      <w:r>
        <w:br w:type="page"/>
      </w:r>
    </w:p>
    <w:p w14:paraId="1E629F2D">
      <w:pPr>
        <w:pStyle w:val="3"/>
        <w:rPr>
          <w:rFonts w:ascii="Arial" w:hAnsi="Arial" w:cs="Arial"/>
        </w:rPr>
      </w:pPr>
      <w:bookmarkStart w:id="3" w:name="_heading=h.5iv40gxtvfh1" w:colFirst="0" w:colLast="0"/>
      <w:bookmarkEnd w:id="3"/>
      <w:bookmarkStart w:id="4" w:name="_Toc189761093"/>
      <w:r>
        <w:rPr>
          <w:rFonts w:ascii="Arial" w:hAnsi="Arial" w:cs="Arial"/>
        </w:rPr>
        <w:t>References</w:t>
      </w:r>
      <w:bookmarkEnd w:id="4"/>
    </w:p>
    <w:p w14:paraId="34F87B90">
      <w:pPr>
        <w:spacing w:before="240" w:after="240"/>
        <w:rPr>
          <w:rFonts w:ascii="Arial" w:hAnsi="Arial" w:eastAsia="Arial" w:cs="Arial"/>
        </w:rPr>
      </w:pPr>
      <w:r>
        <w:rPr>
          <w:rFonts w:ascii="Arial" w:hAnsi="Arial" w:eastAsia="Arial" w:cs="Arial"/>
          <w:highlight w:val="white"/>
        </w:rPr>
        <w:t xml:space="preserve">Auktor, G.V., 2020. Green industrial skills for a sustainable future. </w:t>
      </w:r>
      <w:r>
        <w:rPr>
          <w:rFonts w:ascii="Arial" w:hAnsi="Arial" w:eastAsia="Arial" w:cs="Arial"/>
        </w:rPr>
        <w:t>United Nations Industrial Development Organization, Vienna.</w:t>
      </w:r>
    </w:p>
    <w:p w14:paraId="40B5C4E0">
      <w:pPr>
        <w:spacing w:before="240" w:after="240"/>
        <w:rPr>
          <w:rFonts w:ascii="Arial" w:hAnsi="Arial" w:eastAsia="Arial" w:cs="Arial"/>
        </w:rPr>
      </w:pPr>
      <w:r>
        <w:rPr>
          <w:rFonts w:ascii="Arial" w:hAnsi="Arial" w:eastAsia="Arial" w:cs="Arial"/>
          <w:highlight w:val="white"/>
        </w:rPr>
        <w:t xml:space="preserve">Buhalis, D., Harwood, T., Bogicevic, V., Viglia, G., Beldona, S. and Hofacker, C., 2019. Technological disruptions in services: lessons from tourism and hospitality. </w:t>
      </w:r>
      <w:r>
        <w:rPr>
          <w:rFonts w:ascii="Arial" w:hAnsi="Arial" w:eastAsia="Arial" w:cs="Arial"/>
        </w:rPr>
        <w:t>Journal of service management, 30(4), pp.484-506.</w:t>
      </w:r>
    </w:p>
    <w:p w14:paraId="6CA8D7A5">
      <w:pPr>
        <w:spacing w:before="240" w:after="240"/>
        <w:rPr>
          <w:rFonts w:ascii="Arial" w:hAnsi="Arial" w:eastAsia="Arial" w:cs="Arial"/>
        </w:rPr>
      </w:pPr>
      <w:r>
        <w:rPr>
          <w:rFonts w:ascii="Arial" w:hAnsi="Arial" w:eastAsia="Arial" w:cs="Arial"/>
          <w:highlight w:val="white"/>
        </w:rPr>
        <w:t xml:space="preserve">Chapman, C.R., Mehta, K.S., Parent, B. and Caplan, A.L., 2020. Genetic discrimination: emerging ethical challenges in the context of advancing technology. </w:t>
      </w:r>
      <w:r>
        <w:rPr>
          <w:rFonts w:ascii="Arial" w:hAnsi="Arial" w:eastAsia="Arial" w:cs="Arial"/>
        </w:rPr>
        <w:t>Journal of Law and the Biosciences, 7(1), p.lsz016.</w:t>
      </w:r>
    </w:p>
    <w:p w14:paraId="25010611">
      <w:pPr>
        <w:spacing w:before="240" w:after="240"/>
        <w:rPr>
          <w:rFonts w:ascii="Arial" w:hAnsi="Arial" w:eastAsia="Arial" w:cs="Arial"/>
        </w:rPr>
      </w:pPr>
      <w:r>
        <w:rPr>
          <w:rFonts w:ascii="Arial" w:hAnsi="Arial" w:eastAsia="Arial" w:cs="Arial"/>
        </w:rPr>
        <w:t xml:space="preserve">Deloitte.com (2024) </w:t>
      </w:r>
      <w:r>
        <w:rPr>
          <w:rFonts w:ascii="Arial" w:hAnsi="Arial" w:eastAsia="Arial" w:cs="Arial"/>
          <w:i/>
        </w:rPr>
        <w:t>Deloitte United Kingdom</w:t>
      </w:r>
      <w:r>
        <w:rPr>
          <w:rFonts w:ascii="Arial" w:hAnsi="Arial" w:eastAsia="Arial" w:cs="Arial"/>
        </w:rPr>
        <w:t>. Available at: https://www.deloitte.com/uk/en/Industries/consumer/blogs/sustainability-in-the-hospitality-industry.html (Accessed: 6 February 2025).</w:t>
      </w:r>
    </w:p>
    <w:p w14:paraId="37635C11">
      <w:pPr>
        <w:spacing w:before="240" w:after="240"/>
        <w:rPr>
          <w:rFonts w:ascii="Arial" w:hAnsi="Arial" w:eastAsia="Arial" w:cs="Arial"/>
        </w:rPr>
      </w:pPr>
      <w:r>
        <w:rPr>
          <w:rFonts w:ascii="Arial" w:hAnsi="Arial" w:eastAsia="Arial" w:cs="Arial"/>
          <w:color w:val="222222"/>
          <w:highlight w:val="white"/>
        </w:rPr>
        <w:t xml:space="preserve">Edgell Sr, D.L., 2019. </w:t>
      </w:r>
      <w:r>
        <w:rPr>
          <w:rFonts w:ascii="Arial" w:hAnsi="Arial" w:eastAsia="Arial" w:cs="Arial"/>
          <w:i/>
        </w:rPr>
        <w:t>Managing sustainable tourism: A legacy for the future</w:t>
      </w:r>
      <w:r>
        <w:rPr>
          <w:rFonts w:ascii="Arial" w:hAnsi="Arial" w:eastAsia="Arial" w:cs="Arial"/>
        </w:rPr>
        <w:t>. Routledge.</w:t>
      </w:r>
    </w:p>
    <w:p w14:paraId="6EB46043">
      <w:pPr>
        <w:spacing w:before="240" w:after="240"/>
        <w:rPr>
          <w:rFonts w:ascii="Arial" w:hAnsi="Arial" w:eastAsia="Arial" w:cs="Arial"/>
        </w:rPr>
      </w:pPr>
      <w:r>
        <w:rPr>
          <w:rFonts w:ascii="Arial" w:hAnsi="Arial" w:eastAsia="Arial" w:cs="Arial"/>
        </w:rPr>
        <w:t xml:space="preserve">esgnews.com (2024) </w:t>
      </w:r>
      <w:r>
        <w:rPr>
          <w:rFonts w:ascii="Arial" w:hAnsi="Arial" w:eastAsia="Arial" w:cs="Arial"/>
          <w:i/>
        </w:rPr>
        <w:t>Marriott Hotels UK Implements Winnow AI to Cut Food Waste by 50% by 2025</w:t>
      </w:r>
      <w:r>
        <w:rPr>
          <w:rFonts w:ascii="Arial" w:hAnsi="Arial" w:eastAsia="Arial" w:cs="Arial"/>
        </w:rPr>
        <w:t xml:space="preserve">, </w:t>
      </w:r>
      <w:r>
        <w:rPr>
          <w:rFonts w:ascii="Arial" w:hAnsi="Arial" w:eastAsia="Arial" w:cs="Arial"/>
          <w:i/>
        </w:rPr>
        <w:t>ESG News</w:t>
      </w:r>
      <w:r>
        <w:rPr>
          <w:rFonts w:ascii="Arial" w:hAnsi="Arial" w:eastAsia="Arial" w:cs="Arial"/>
        </w:rPr>
        <w:t>. Available at: https://esgnews.com/marriott-hotels-uk-implements-winnow-ai-to-cut-food-waste-by-50-by-2025/#:~:text=Marriott%20Hotels%20UK%20installs%20Winnow,awareness%2C%20and%20surplus%20ingredient%20repurposing. (Accessed: 6 February 2025).</w:t>
      </w:r>
    </w:p>
    <w:p w14:paraId="6F33C51D">
      <w:pPr>
        <w:spacing w:before="240" w:after="240"/>
        <w:rPr>
          <w:rFonts w:ascii="Arial" w:hAnsi="Arial" w:eastAsia="Arial" w:cs="Arial"/>
        </w:rPr>
      </w:pPr>
      <w:r>
        <w:rPr>
          <w:rFonts w:ascii="Arial" w:hAnsi="Arial" w:eastAsia="Arial" w:cs="Arial"/>
        </w:rPr>
        <w:t>Hilton.com (2022). Available at: https://esg.hilton.com/wp-content/uploads/sites/4/2023/04/Hilton-2022-Environmental-Social-and-Governance-Report.pdf (Accessed: 6 February 2025).</w:t>
      </w:r>
    </w:p>
    <w:p w14:paraId="2E6949A0">
      <w:pPr>
        <w:spacing w:before="240" w:after="240"/>
        <w:rPr>
          <w:rFonts w:ascii="Arial" w:hAnsi="Arial" w:eastAsia="Arial" w:cs="Arial"/>
        </w:rPr>
      </w:pPr>
      <w:r>
        <w:rPr>
          <w:rFonts w:ascii="Arial" w:hAnsi="Arial" w:eastAsia="Arial" w:cs="Arial"/>
          <w:highlight w:val="white"/>
        </w:rPr>
        <w:t xml:space="preserve">Hussain, S., Akhter, R. and Maktedar, S.S., 2024. Advancements in sustainable food packaging: from eco-friendly materials to innovative technologies. </w:t>
      </w:r>
      <w:r>
        <w:rPr>
          <w:rFonts w:ascii="Arial" w:hAnsi="Arial" w:eastAsia="Arial" w:cs="Arial"/>
        </w:rPr>
        <w:t>Sustainable Food Technology, 2(5), pp.1297-1364.</w:t>
      </w:r>
    </w:p>
    <w:p w14:paraId="14CCB1FA">
      <w:pPr>
        <w:spacing w:before="240" w:after="240"/>
        <w:rPr>
          <w:rFonts w:ascii="Arial" w:hAnsi="Arial" w:eastAsia="Arial" w:cs="Arial"/>
        </w:rPr>
      </w:pPr>
      <w:r>
        <w:rPr>
          <w:rFonts w:ascii="Arial" w:hAnsi="Arial" w:eastAsia="Arial" w:cs="Arial"/>
          <w:highlight w:val="white"/>
        </w:rPr>
        <w:t xml:space="preserve">Laari, S., Töyli, J. and Ojala, L., 2018. The effect of a competitive strategy and green supply chain management on the financial and environmental performance of logistics service providers. </w:t>
      </w:r>
      <w:r>
        <w:rPr>
          <w:rFonts w:ascii="Arial" w:hAnsi="Arial" w:eastAsia="Arial" w:cs="Arial"/>
        </w:rPr>
        <w:t>Business Strategy and the Environment, 27(7), pp.872-883.</w:t>
      </w:r>
    </w:p>
    <w:p w14:paraId="27270A93">
      <w:pPr>
        <w:spacing w:before="240" w:after="240"/>
        <w:rPr>
          <w:rFonts w:ascii="Arial" w:hAnsi="Arial" w:eastAsia="Arial" w:cs="Arial"/>
        </w:rPr>
      </w:pPr>
      <w:r>
        <w:rPr>
          <w:rFonts w:ascii="Arial" w:hAnsi="Arial" w:eastAsia="Arial" w:cs="Arial"/>
          <w:highlight w:val="white"/>
        </w:rPr>
        <w:t xml:space="preserve">Legrand, W., Chen, J.S. and Laeis, G.C., 2022. </w:t>
      </w:r>
      <w:r>
        <w:rPr>
          <w:rFonts w:ascii="Arial" w:hAnsi="Arial" w:eastAsia="Arial" w:cs="Arial"/>
        </w:rPr>
        <w:t>Sustainability in the hospitality industry: Principles of sustainable operations. Routledge.</w:t>
      </w:r>
    </w:p>
    <w:p w14:paraId="078C5E78">
      <w:pPr>
        <w:spacing w:before="240" w:after="240"/>
        <w:rPr>
          <w:rFonts w:ascii="Arial" w:hAnsi="Arial" w:eastAsia="Arial" w:cs="Arial"/>
        </w:rPr>
      </w:pPr>
      <w:r>
        <w:rPr>
          <w:rFonts w:ascii="Arial" w:hAnsi="Arial" w:eastAsia="Arial" w:cs="Arial"/>
        </w:rPr>
        <w:t>lordslibrary.parliament.uk (2021). Available at: https://lordslibrary.parliament.uk/food-waste-in-the-uk/ (Accessed: 6 February 2025).</w:t>
      </w:r>
    </w:p>
    <w:p w14:paraId="16ADAEA3">
      <w:pPr>
        <w:spacing w:before="240" w:after="240"/>
        <w:rPr>
          <w:rFonts w:ascii="Arial" w:hAnsi="Arial" w:eastAsia="Arial" w:cs="Arial"/>
        </w:rPr>
      </w:pPr>
      <w:r>
        <w:rPr>
          <w:rFonts w:ascii="Arial" w:hAnsi="Arial" w:eastAsia="Arial" w:cs="Arial"/>
        </w:rPr>
        <w:t>Marriott.com (2020). Available at: https://www.marriott.com/marriottassets/marriott/BKKDT/PDF/BKKDT_Food_Waste_Annual_Report.pdf (Accessed: 6 February 2025).</w:t>
      </w:r>
    </w:p>
    <w:p w14:paraId="05A841FD">
      <w:pPr>
        <w:spacing w:before="240" w:after="240"/>
        <w:rPr>
          <w:rFonts w:ascii="Arial" w:hAnsi="Arial" w:eastAsia="Arial" w:cs="Arial"/>
        </w:rPr>
      </w:pPr>
      <w:r>
        <w:rPr>
          <w:rFonts w:ascii="Arial" w:hAnsi="Arial" w:eastAsia="Arial" w:cs="Arial"/>
          <w:highlight w:val="white"/>
        </w:rPr>
        <w:t xml:space="preserve">Okumus, F., Bilgihan, A., Ozturk, A.B. and Zhao, X., 2017. Identifying and overcoming barriers to deployment of information technology projects in hotels. </w:t>
      </w:r>
      <w:r>
        <w:rPr>
          <w:rFonts w:ascii="Arial" w:hAnsi="Arial" w:eastAsia="Arial" w:cs="Arial"/>
        </w:rPr>
        <w:t>Journal of Organizational Change Management, 30(5), pp.744-766.</w:t>
      </w:r>
    </w:p>
    <w:p w14:paraId="51DB6476">
      <w:pPr>
        <w:spacing w:before="240" w:after="240"/>
        <w:rPr>
          <w:rFonts w:ascii="Arial" w:hAnsi="Arial" w:eastAsia="Arial" w:cs="Arial"/>
        </w:rPr>
      </w:pPr>
      <w:r>
        <w:rPr>
          <w:rFonts w:ascii="Arial" w:hAnsi="Arial" w:eastAsia="Arial" w:cs="Arial"/>
          <w:highlight w:val="white"/>
        </w:rPr>
        <w:t xml:space="preserve">Rizos, V., Behrens, A., Van der Gaast, W., Hofman, E., Ioannou, A., Kafyeke, T., Flamos, A., Rinaldi, R., Papadelis, S., Hirschnitz-Garbers, M. and Topi, C., 2016. Implementation of circular economy business models by small and medium-sized enterprises (SMEs): Barriers and enablers. </w:t>
      </w:r>
      <w:r>
        <w:rPr>
          <w:rFonts w:ascii="Arial" w:hAnsi="Arial" w:eastAsia="Arial" w:cs="Arial"/>
        </w:rPr>
        <w:t>Sustainability, 8(11), p.1212.</w:t>
      </w:r>
    </w:p>
    <w:p w14:paraId="49A600E0">
      <w:pPr>
        <w:spacing w:before="240" w:after="240"/>
        <w:rPr>
          <w:rFonts w:ascii="Arial" w:hAnsi="Arial" w:eastAsia="Arial" w:cs="Arial"/>
        </w:rPr>
      </w:pPr>
      <w:r>
        <w:rPr>
          <w:rFonts w:ascii="Arial" w:hAnsi="Arial" w:eastAsia="Arial" w:cs="Arial"/>
          <w:highlight w:val="white"/>
        </w:rPr>
        <w:t xml:space="preserve">Sailesh, B., 2025. Beyond Bin Basics: Confronting Waste in Tourism and Hospitality. In </w:t>
      </w:r>
      <w:r>
        <w:rPr>
          <w:rFonts w:ascii="Arial" w:hAnsi="Arial" w:eastAsia="Arial" w:cs="Arial"/>
        </w:rPr>
        <w:t>Sustainable Waste Management in the Tourism and Hospitality Sectors (pp. 167-208). IGI Global Scientific Publishing.</w:t>
      </w:r>
    </w:p>
    <w:p w14:paraId="1C6022EB">
      <w:pPr>
        <w:spacing w:before="240" w:after="240"/>
        <w:rPr>
          <w:rFonts w:ascii="Arial" w:hAnsi="Arial" w:eastAsia="Arial" w:cs="Arial"/>
        </w:rPr>
      </w:pPr>
      <w:r>
        <w:rPr>
          <w:rFonts w:ascii="Arial" w:hAnsi="Arial" w:eastAsia="Arial" w:cs="Arial"/>
        </w:rPr>
        <w:t xml:space="preserve">Statista (2024) </w:t>
      </w:r>
      <w:r>
        <w:rPr>
          <w:rFonts w:ascii="Arial" w:hAnsi="Arial" w:eastAsia="Arial" w:cs="Arial"/>
          <w:i/>
        </w:rPr>
        <w:t xml:space="preserve">Consumption of single-use plastic items in the United Kingdom in 2017 and 2030*(in billions). </w:t>
      </w:r>
      <w:r>
        <w:rPr>
          <w:rFonts w:ascii="Arial" w:hAnsi="Arial" w:eastAsia="Arial" w:cs="Arial"/>
        </w:rPr>
        <w:t>Available at:</w:t>
      </w:r>
      <w:r>
        <w:fldChar w:fldCharType="begin"/>
      </w:r>
      <w:r>
        <w:instrText xml:space="preserve"> HYPERLINK "https://www.statista.com/" \h </w:instrText>
      </w:r>
      <w:r>
        <w:fldChar w:fldCharType="separate"/>
      </w:r>
      <w:r>
        <w:rPr>
          <w:rFonts w:ascii="Arial" w:hAnsi="Arial" w:eastAsia="Arial" w:cs="Arial"/>
        </w:rPr>
        <w:t xml:space="preserve"> </w:t>
      </w:r>
      <w:r>
        <w:rPr>
          <w:rFonts w:ascii="Arial" w:hAnsi="Arial" w:eastAsia="Arial" w:cs="Arial"/>
        </w:rPr>
        <w:fldChar w:fldCharType="end"/>
      </w:r>
      <w:r>
        <w:fldChar w:fldCharType="begin"/>
      </w:r>
      <w:r>
        <w:instrText xml:space="preserve"> HYPERLINK "https://www.statista.com/" \h </w:instrText>
      </w:r>
      <w:r>
        <w:fldChar w:fldCharType="separate"/>
      </w:r>
      <w:r>
        <w:rPr>
          <w:rFonts w:ascii="Arial" w:hAnsi="Arial" w:eastAsia="Arial" w:cs="Arial"/>
          <w:color w:val="1155CC"/>
          <w:u w:val="single"/>
        </w:rPr>
        <w:t>https://www.statista.com</w:t>
      </w:r>
      <w:r>
        <w:rPr>
          <w:rFonts w:ascii="Arial" w:hAnsi="Arial" w:eastAsia="Arial" w:cs="Arial"/>
          <w:color w:val="1155CC"/>
          <w:u w:val="single"/>
        </w:rPr>
        <w:fldChar w:fldCharType="end"/>
      </w:r>
      <w:r>
        <w:rPr>
          <w:rFonts w:ascii="Arial" w:hAnsi="Arial" w:eastAsia="Arial" w:cs="Arial"/>
        </w:rPr>
        <w:t>. (Accessed: 6 February 2025).</w:t>
      </w:r>
    </w:p>
    <w:p w14:paraId="1806DFD2">
      <w:pPr>
        <w:spacing w:before="240" w:after="240"/>
        <w:rPr>
          <w:rFonts w:ascii="Arial" w:hAnsi="Arial" w:eastAsia="Arial" w:cs="Arial"/>
        </w:rPr>
      </w:pPr>
      <w:r>
        <w:rPr>
          <w:rFonts w:ascii="Arial" w:hAnsi="Arial" w:eastAsia="Arial" w:cs="Arial"/>
          <w:highlight w:val="white"/>
        </w:rPr>
        <w:t xml:space="preserve">Vanapalli, K.R., Sharma, H.B., Ranjan, V.P., Samal, B., Bhattacharya, J., Dubey, B.K. and Goel, S., 2021. Challenges and strategies for effective plastic waste management during and post COVID-19 pandemic. </w:t>
      </w:r>
      <w:r>
        <w:rPr>
          <w:rFonts w:ascii="Arial" w:hAnsi="Arial" w:eastAsia="Arial" w:cs="Arial"/>
        </w:rPr>
        <w:t>Science of The Total Environment, 750, p.141514.</w:t>
      </w:r>
    </w:p>
    <w:p w14:paraId="20E8FE83">
      <w:pPr>
        <w:spacing w:before="240" w:line="392" w:lineRule="auto"/>
        <w:rPr>
          <w:rFonts w:ascii="Arial" w:hAnsi="Arial" w:eastAsia="Arial" w:cs="Arial"/>
        </w:rPr>
      </w:pPr>
      <w:r>
        <w:rPr>
          <w:rFonts w:ascii="Arial" w:hAnsi="Arial" w:eastAsia="Arial" w:cs="Arial"/>
        </w:rPr>
        <w:t xml:space="preserve">wastemanaged.co.uk (2024) </w:t>
      </w:r>
      <w:r>
        <w:rPr>
          <w:rFonts w:ascii="Arial" w:hAnsi="Arial" w:eastAsia="Arial" w:cs="Arial"/>
          <w:i/>
        </w:rPr>
        <w:t>UK Tourism Waste &amp; Litter Statistics: Waste Managed</w:t>
      </w:r>
      <w:r>
        <w:rPr>
          <w:rFonts w:ascii="Arial" w:hAnsi="Arial" w:eastAsia="Arial" w:cs="Arial"/>
        </w:rPr>
        <w:t xml:space="preserve">, </w:t>
      </w:r>
      <w:r>
        <w:rPr>
          <w:rFonts w:ascii="Arial" w:hAnsi="Arial" w:eastAsia="Arial" w:cs="Arial"/>
          <w:i/>
        </w:rPr>
        <w:t>WasteManaged</w:t>
      </w:r>
      <w:r>
        <w:rPr>
          <w:rFonts w:ascii="Arial" w:hAnsi="Arial" w:eastAsia="Arial" w:cs="Arial"/>
        </w:rPr>
        <w:t>. Available at: https://www.wastemanaged.co.uk/our-news/summer/tourism-waste-uk/#:~:text=The%20UK’s%20hotel%20sector%20generates,waste%20per%20guest%20per%20night. (Accessed: 6 February 2025).</w:t>
      </w:r>
    </w:p>
    <w:p w14:paraId="61A4D887">
      <w:pPr>
        <w:spacing w:before="240" w:after="240"/>
        <w:rPr>
          <w:rFonts w:ascii="Arial" w:hAnsi="Arial" w:eastAsia="Arial" w:cs="Arial"/>
        </w:rPr>
      </w:pPr>
      <w:r>
        <w:rPr>
          <w:rFonts w:ascii="Arial" w:hAnsi="Arial" w:eastAsia="Arial" w:cs="Arial"/>
          <w:highlight w:val="white"/>
        </w:rPr>
        <w:t xml:space="preserve">Wiesner, R., Chadee, D. and Best, P., 2018. Managing change toward environmental sustainability: A conceptual model in small and medium enterprises. </w:t>
      </w:r>
      <w:r>
        <w:rPr>
          <w:rFonts w:ascii="Arial" w:hAnsi="Arial" w:eastAsia="Arial" w:cs="Arial"/>
        </w:rPr>
        <w:t>Organization &amp; Environment, 31(2), pp.152-177.</w:t>
      </w:r>
    </w:p>
    <w:p w14:paraId="6E340100">
      <w:pPr>
        <w:spacing w:before="240" w:after="240"/>
        <w:rPr>
          <w:rFonts w:ascii="Arial" w:hAnsi="Arial" w:eastAsia="Arial" w:cs="Arial"/>
        </w:rPr>
      </w:pPr>
      <w:r>
        <w:rPr>
          <w:rFonts w:ascii="Arial" w:hAnsi="Arial" w:eastAsia="Arial" w:cs="Arial"/>
        </w:rPr>
        <w:t xml:space="preserve">wri.org (2023) </w:t>
      </w:r>
      <w:r>
        <w:rPr>
          <w:rFonts w:ascii="Arial" w:hAnsi="Arial" w:eastAsia="Arial" w:cs="Arial"/>
          <w:i/>
        </w:rPr>
        <w:t>The Global Benefits of Reducing Food Loss and Waste, and How to Do It</w:t>
      </w:r>
      <w:r>
        <w:rPr>
          <w:rFonts w:ascii="Arial" w:hAnsi="Arial" w:eastAsia="Arial" w:cs="Arial"/>
        </w:rPr>
        <w:t xml:space="preserve">, </w:t>
      </w:r>
      <w:r>
        <w:rPr>
          <w:rFonts w:ascii="Arial" w:hAnsi="Arial" w:eastAsia="Arial" w:cs="Arial"/>
          <w:i/>
        </w:rPr>
        <w:t>World Resources Institute</w:t>
      </w:r>
      <w:r>
        <w:rPr>
          <w:rFonts w:ascii="Arial" w:hAnsi="Arial" w:eastAsia="Arial" w:cs="Arial"/>
        </w:rPr>
        <w:t>. Available at: https://www.wri.org/insights/reducing-food-loss-and-food-waste (Accessed: 6 February 2025).</w:t>
      </w:r>
    </w:p>
    <w:p w14:paraId="191B319F">
      <w:pPr>
        <w:rPr>
          <w:rFonts w:ascii="Arial" w:hAnsi="Arial" w:eastAsia="Arial" w:cs="Arial"/>
        </w:rPr>
      </w:pPr>
    </w:p>
    <w:p w14:paraId="531A6996">
      <w:pPr>
        <w:spacing w:line="276" w:lineRule="auto"/>
        <w:rPr>
          <w:rFonts w:ascii="Arial" w:hAnsi="Arial" w:eastAsia="Arial" w:cs="Arial"/>
          <w:b/>
        </w:rPr>
      </w:pPr>
    </w:p>
    <w:p w14:paraId="0670E977">
      <w:pPr>
        <w:rPr>
          <w:rFonts w:ascii="Arial" w:hAnsi="Arial" w:eastAsia="Arial" w:cs="Arial"/>
        </w:rPr>
      </w:pPr>
    </w:p>
    <w:sectPr>
      <w:pgSz w:w="12240" w:h="15840"/>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mbria">
    <w:panose1 w:val="02040503050406030204"/>
    <w:charset w:val="00"/>
    <w:family w:val="roman"/>
    <w:pitch w:val="default"/>
    <w:sig w:usb0="E00006FF" w:usb1="420024FF" w:usb2="02000000" w:usb3="00000000" w:csb0="2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7D40"/>
    <w:rsid w:val="002A53B1"/>
    <w:rsid w:val="00366E76"/>
    <w:rsid w:val="0082189D"/>
    <w:rsid w:val="008A3388"/>
    <w:rsid w:val="00967B8A"/>
    <w:rsid w:val="00A57D40"/>
    <w:rsid w:val="00A90944"/>
    <w:rsid w:val="00C456EF"/>
    <w:rsid w:val="00D10131"/>
    <w:rsid w:val="00F24EC4"/>
    <w:rsid w:val="0CCE6A27"/>
    <w:rsid w:val="4286567F"/>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imes New Roman" w:hAnsi="Times New Roman" w:eastAsia="Times New Roman" w:cs="Times New Roman"/>
      <w:sz w:val="24"/>
      <w:szCs w:val="24"/>
      <w:lang w:val="en" w:eastAsia="en-IN" w:bidi="ar-SA"/>
    </w:rPr>
  </w:style>
  <w:style w:type="paragraph" w:styleId="2">
    <w:name w:val="heading 1"/>
    <w:basedOn w:val="1"/>
    <w:next w:val="1"/>
    <w:qFormat/>
    <w:uiPriority w:val="9"/>
    <w:pPr>
      <w:keepNext/>
      <w:keepLines/>
      <w:outlineLvl w:val="0"/>
    </w:pPr>
    <w:rPr>
      <w:b/>
      <w:sz w:val="28"/>
      <w:szCs w:val="28"/>
    </w:rPr>
  </w:style>
  <w:style w:type="paragraph" w:styleId="3">
    <w:name w:val="heading 2"/>
    <w:basedOn w:val="1"/>
    <w:next w:val="1"/>
    <w:unhideWhenUsed/>
    <w:qFormat/>
    <w:uiPriority w:val="9"/>
    <w:pPr>
      <w:keepNext/>
      <w:keepLines/>
      <w:outlineLvl w:val="1"/>
    </w:pPr>
    <w:rPr>
      <w:b/>
    </w:rPr>
  </w:style>
  <w:style w:type="paragraph" w:styleId="4">
    <w:name w:val="heading 3"/>
    <w:basedOn w:val="1"/>
    <w:next w:val="1"/>
    <w:unhideWhenUsed/>
    <w:qFormat/>
    <w:uiPriority w:val="9"/>
    <w:pPr>
      <w:keepNext/>
      <w:keepLines/>
      <w:outlineLvl w:val="2"/>
    </w:pPr>
    <w:rPr>
      <w:b/>
    </w:rPr>
  </w:style>
  <w:style w:type="paragraph" w:styleId="5">
    <w:name w:val="heading 4"/>
    <w:basedOn w:val="1"/>
    <w:next w:val="1"/>
    <w:semiHidden/>
    <w:unhideWhenUsed/>
    <w:qFormat/>
    <w:uiPriority w:val="9"/>
    <w:pPr>
      <w:keepNext/>
      <w:keepLines/>
      <w:spacing w:before="280" w:after="80"/>
      <w:outlineLvl w:val="3"/>
    </w:pPr>
    <w:rPr>
      <w:color w:val="666666"/>
    </w:rPr>
  </w:style>
  <w:style w:type="paragraph" w:styleId="6">
    <w:name w:val="heading 5"/>
    <w:basedOn w:val="1"/>
    <w:next w:val="1"/>
    <w:semiHidden/>
    <w:unhideWhenUsed/>
    <w:qFormat/>
    <w:uiPriority w:val="9"/>
    <w:pPr>
      <w:keepNext/>
      <w:keepLines/>
      <w:spacing w:before="240" w:after="80"/>
      <w:outlineLvl w:val="4"/>
    </w:pPr>
    <w:rPr>
      <w:color w:val="666666"/>
      <w:sz w:val="22"/>
      <w:szCs w:val="22"/>
    </w:rPr>
  </w:style>
  <w:style w:type="paragraph" w:styleId="7">
    <w:name w:val="heading 6"/>
    <w:basedOn w:val="1"/>
    <w:next w:val="1"/>
    <w:semiHidden/>
    <w:unhideWhenUsed/>
    <w:qFormat/>
    <w:uiPriority w:val="9"/>
    <w:pPr>
      <w:keepNext/>
      <w:keepLines/>
      <w:spacing w:before="240" w:after="80"/>
      <w:outlineLvl w:val="5"/>
    </w:pPr>
    <w:rPr>
      <w:i/>
      <w:color w:val="666666"/>
      <w:sz w:val="22"/>
      <w:szCs w:val="22"/>
    </w:rPr>
  </w:style>
  <w:style w:type="character" w:default="1" w:styleId="8">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character" w:styleId="10">
    <w:name w:val="annotation reference"/>
    <w:basedOn w:val="8"/>
    <w:semiHidden/>
    <w:unhideWhenUsed/>
    <w:qFormat/>
    <w:uiPriority w:val="99"/>
    <w:rPr>
      <w:sz w:val="16"/>
      <w:szCs w:val="16"/>
    </w:rPr>
  </w:style>
  <w:style w:type="paragraph" w:styleId="11">
    <w:name w:val="annotation text"/>
    <w:basedOn w:val="1"/>
    <w:link w:val="21"/>
    <w:semiHidden/>
    <w:unhideWhenUsed/>
    <w:qFormat/>
    <w:uiPriority w:val="99"/>
    <w:pPr>
      <w:spacing w:line="240" w:lineRule="auto"/>
    </w:pPr>
    <w:rPr>
      <w:sz w:val="20"/>
      <w:szCs w:val="20"/>
    </w:rPr>
  </w:style>
  <w:style w:type="paragraph" w:styleId="12">
    <w:name w:val="footer"/>
    <w:basedOn w:val="1"/>
    <w:link w:val="23"/>
    <w:unhideWhenUsed/>
    <w:qFormat/>
    <w:uiPriority w:val="99"/>
    <w:pPr>
      <w:tabs>
        <w:tab w:val="center" w:pos="4513"/>
        <w:tab w:val="right" w:pos="9026"/>
      </w:tabs>
      <w:spacing w:line="240" w:lineRule="auto"/>
    </w:pPr>
  </w:style>
  <w:style w:type="paragraph" w:styleId="13">
    <w:name w:val="header"/>
    <w:basedOn w:val="1"/>
    <w:link w:val="22"/>
    <w:unhideWhenUsed/>
    <w:qFormat/>
    <w:uiPriority w:val="99"/>
    <w:pPr>
      <w:tabs>
        <w:tab w:val="center" w:pos="4513"/>
        <w:tab w:val="right" w:pos="9026"/>
      </w:tabs>
      <w:spacing w:line="240" w:lineRule="auto"/>
    </w:pPr>
  </w:style>
  <w:style w:type="character" w:styleId="14">
    <w:name w:val="Hyperlink"/>
    <w:basedOn w:val="8"/>
    <w:unhideWhenUsed/>
    <w:qFormat/>
    <w:uiPriority w:val="99"/>
    <w:rPr>
      <w:color w:val="0000FF" w:themeColor="hyperlink"/>
      <w:u w:val="single"/>
      <w14:textFill>
        <w14:solidFill>
          <w14:schemeClr w14:val="hlink"/>
        </w14:solidFill>
      </w14:textFill>
    </w:rPr>
  </w:style>
  <w:style w:type="paragraph" w:styleId="15">
    <w:name w:val="Normal (Web)"/>
    <w:basedOn w:val="1"/>
    <w:unhideWhenUsed/>
    <w:qFormat/>
    <w:uiPriority w:val="99"/>
    <w:pPr>
      <w:spacing w:before="100" w:beforeAutospacing="1" w:after="100" w:afterAutospacing="1" w:line="240" w:lineRule="auto"/>
      <w:jc w:val="left"/>
    </w:pPr>
    <w:rPr>
      <w:lang w:val="en-IN"/>
    </w:rPr>
  </w:style>
  <w:style w:type="paragraph" w:styleId="16">
    <w:name w:val="Subtitle"/>
    <w:basedOn w:val="1"/>
    <w:next w:val="1"/>
    <w:qFormat/>
    <w:uiPriority w:val="11"/>
    <w:pPr>
      <w:keepNext/>
      <w:keepLines/>
      <w:spacing w:after="320"/>
    </w:pPr>
    <w:rPr>
      <w:rFonts w:ascii="Arial" w:hAnsi="Arial" w:eastAsia="Arial" w:cs="Arial"/>
      <w:color w:val="666666"/>
      <w:sz w:val="30"/>
      <w:szCs w:val="30"/>
    </w:rPr>
  </w:style>
  <w:style w:type="paragraph" w:styleId="17">
    <w:name w:val="Title"/>
    <w:basedOn w:val="1"/>
    <w:next w:val="1"/>
    <w:qFormat/>
    <w:uiPriority w:val="10"/>
    <w:pPr>
      <w:keepNext/>
      <w:keepLines/>
      <w:spacing w:after="60"/>
    </w:pPr>
    <w:rPr>
      <w:sz w:val="52"/>
      <w:szCs w:val="52"/>
    </w:rPr>
  </w:style>
  <w:style w:type="paragraph" w:styleId="18">
    <w:name w:val="toc 1"/>
    <w:basedOn w:val="1"/>
    <w:next w:val="1"/>
    <w:autoRedefine/>
    <w:unhideWhenUsed/>
    <w:qFormat/>
    <w:uiPriority w:val="39"/>
    <w:pPr>
      <w:spacing w:after="100"/>
    </w:pPr>
  </w:style>
  <w:style w:type="paragraph" w:styleId="19">
    <w:name w:val="toc 2"/>
    <w:basedOn w:val="1"/>
    <w:next w:val="1"/>
    <w:autoRedefine/>
    <w:unhideWhenUsed/>
    <w:qFormat/>
    <w:uiPriority w:val="39"/>
    <w:pPr>
      <w:spacing w:after="100"/>
      <w:ind w:left="240"/>
    </w:pPr>
  </w:style>
  <w:style w:type="paragraph" w:styleId="20">
    <w:name w:val="toc 3"/>
    <w:basedOn w:val="1"/>
    <w:next w:val="1"/>
    <w:autoRedefine/>
    <w:unhideWhenUsed/>
    <w:qFormat/>
    <w:uiPriority w:val="39"/>
    <w:pPr>
      <w:spacing w:after="100"/>
      <w:ind w:left="480"/>
    </w:pPr>
  </w:style>
  <w:style w:type="character" w:customStyle="1" w:styleId="21">
    <w:name w:val="Comment Text Char"/>
    <w:basedOn w:val="8"/>
    <w:link w:val="11"/>
    <w:semiHidden/>
    <w:qFormat/>
    <w:uiPriority w:val="99"/>
    <w:rPr>
      <w:sz w:val="20"/>
      <w:szCs w:val="20"/>
    </w:rPr>
  </w:style>
  <w:style w:type="character" w:customStyle="1" w:styleId="22">
    <w:name w:val="Header Char"/>
    <w:basedOn w:val="8"/>
    <w:link w:val="13"/>
    <w:qFormat/>
    <w:uiPriority w:val="99"/>
  </w:style>
  <w:style w:type="character" w:customStyle="1" w:styleId="23">
    <w:name w:val="Footer Char"/>
    <w:basedOn w:val="8"/>
    <w:link w:val="12"/>
    <w:qFormat/>
    <w:uiPriority w:val="99"/>
  </w:style>
  <w:style w:type="character" w:customStyle="1" w:styleId="24">
    <w:name w:val="Unresolved Mention"/>
    <w:basedOn w:val="8"/>
    <w:semiHidden/>
    <w:unhideWhenUsed/>
    <w:qFormat/>
    <w:uiPriority w:val="99"/>
    <w:rPr>
      <w:color w:val="605E5C"/>
      <w:shd w:val="clear" w:color="auto" w:fill="E1DFDD"/>
    </w:rPr>
  </w:style>
  <w:style w:type="paragraph" w:styleId="25">
    <w:name w:val="List Paragraph"/>
    <w:basedOn w:val="1"/>
    <w:qFormat/>
    <w:uiPriority w:val="34"/>
    <w:pPr>
      <w:ind w:left="720"/>
      <w:contextualSpacing/>
    </w:pPr>
  </w:style>
  <w:style w:type="paragraph" w:customStyle="1" w:styleId="26">
    <w:name w:val="TOC Heading"/>
    <w:basedOn w:val="2"/>
    <w:next w:val="1"/>
    <w:unhideWhenUsed/>
    <w:qFormat/>
    <w:uiPriority w:val="39"/>
    <w:pPr>
      <w:spacing w:before="240" w:line="259" w:lineRule="auto"/>
      <w:jc w:val="left"/>
      <w:outlineLvl w:val="9"/>
    </w:pPr>
    <w:rPr>
      <w:rFonts w:asciiTheme="majorHAnsi" w:hAnsiTheme="majorHAnsi" w:eastAsiaTheme="majorEastAsia" w:cstheme="majorBidi"/>
      <w:b w:val="0"/>
      <w:color w:val="376092" w:themeColor="accent1" w:themeShade="BF"/>
      <w:sz w:val="32"/>
      <w:szCs w:val="32"/>
      <w:lang w:val="en-US" w:eastAsia="en-US"/>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luBFZbLYuyR8UhglUpwWfbzP+eg==">CgMxLjAyDmguNjB6N2lkcHV0b2poMg5oLnI5YjhoZzE1bGV2NzIOaC42ZXFndWt5bDE5ZXIyDmguYjVya2ZwcjhjNzBoMg5oLjVpdjQwZ3h0dmZoMTIIaC5namRneHMyCWguMzBqMHpsbDIJaC4xZm9iOXRlMgloLjN6bnlzaDcyCWguMmV0OTJwMDIIaC50eWpjd3QyCWguM2R5NnZrbTIJaC4xdDNoNXNmMgloLjRkMzRvZzgyCWguMnM4ZXlvMTIJaC4xN2RwOHZ1MgloLjNyZGNyam4yCWguMjZpbjFyZzIIaC5sbnhiejkyCWguMzVua3VuMjIJaC4xa3N2NHV2MgloLjQ0c2luaW84AHIhMUlSd2hycnVNT08xYktFREkwaURBc0x2RWE1dkMxTlo5</go:docsCustomData>
</go:gDocsCustomXmlDataStorage>
</file>

<file path=customXml/itemProps1.xml><?xml version="1.0" encoding="utf-8"?>
<ds:datastoreItem xmlns:ds="http://schemas.openxmlformats.org/officeDocument/2006/customXml" ds:itemID="{11111111-1234-1234-1234-123412341234}">
  <ds:schemaRefs/>
</ds:datastoreItem>
</file>

<file path=docProps/app.xml><?xml version="1.0" encoding="utf-8"?>
<Properties xmlns="http://schemas.openxmlformats.org/officeDocument/2006/extended-properties" xmlns:vt="http://schemas.openxmlformats.org/officeDocument/2006/docPropsVTypes">
  <Template>Normal</Template>
  <Pages>10</Pages>
  <Words>5561</Words>
  <Characters>31704</Characters>
  <Lines>264</Lines>
  <Paragraphs>74</Paragraphs>
  <TotalTime>1</TotalTime>
  <ScaleCrop>false</ScaleCrop>
  <LinksUpToDate>false</LinksUpToDate>
  <CharactersWithSpaces>37191</CharactersWithSpaces>
  <Application>WPS Office_12.2.0.19805_F1E327BC-269C-435d-A152-05C5408002CA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2025-02-06T12:08:00Z</dcterms:created>
  <dc:creator>Alina</dc:creator>
  <cp:lastModifiedBy>i study</cp:lastModifiedBy>
  <dcterms:modified xsi:type="dcterms:W3CDTF">2025-02-06T18:32:17Z</dcterms:modified>
  <cp:revision>11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a6df6f4cd816d3926f6cc68d0f158bf73c2d974d4f88eed4c573d27b76ea887d</vt:lpwstr>
  </property>
  <property fmtid="{D5CDD505-2E9C-101B-9397-08002B2CF9AE}" pid="3" name="KSOProductBuildVer">
    <vt:lpwstr>2057-12.2.0.19805</vt:lpwstr>
  </property>
  <property fmtid="{D5CDD505-2E9C-101B-9397-08002B2CF9AE}" pid="4" name="ICV">
    <vt:lpwstr>DB614CE49931474F82B2C23113121974_12</vt:lpwstr>
  </property>
</Properties>
</file>