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4D2C9E7E" w:rsidR="00E86F72" w:rsidRDefault="00F62F81">
            <w:pPr>
              <w:pStyle w:val="TableParagraph"/>
              <w:rPr>
                <w:rFonts w:ascii="Times New Roman"/>
              </w:rPr>
            </w:pPr>
            <w:r>
              <w:rPr>
                <w:rFonts w:ascii="Times New Roman"/>
              </w:rPr>
              <w:t>2</w:t>
            </w:r>
          </w:p>
        </w:tc>
        <w:tc>
          <w:tcPr>
            <w:tcW w:w="562" w:type="dxa"/>
          </w:tcPr>
          <w:p w14:paraId="625A3798" w14:textId="43C918B2" w:rsidR="00E86F72" w:rsidRDefault="00F62F81">
            <w:pPr>
              <w:pStyle w:val="TableParagraph"/>
              <w:rPr>
                <w:rFonts w:ascii="Times New Roman"/>
              </w:rPr>
            </w:pPr>
            <w:r>
              <w:rPr>
                <w:rFonts w:ascii="Times New Roman"/>
              </w:rPr>
              <w:t>1</w:t>
            </w:r>
          </w:p>
        </w:tc>
        <w:tc>
          <w:tcPr>
            <w:tcW w:w="562" w:type="dxa"/>
          </w:tcPr>
          <w:p w14:paraId="3A139E4E" w14:textId="14C55090" w:rsidR="00E86F72" w:rsidRDefault="00F62F81">
            <w:pPr>
              <w:pStyle w:val="TableParagraph"/>
              <w:rPr>
                <w:rFonts w:ascii="Times New Roman"/>
              </w:rPr>
            </w:pPr>
            <w:r>
              <w:rPr>
                <w:rFonts w:ascii="Times New Roman"/>
              </w:rPr>
              <w:t>1</w:t>
            </w:r>
          </w:p>
        </w:tc>
        <w:tc>
          <w:tcPr>
            <w:tcW w:w="560" w:type="dxa"/>
          </w:tcPr>
          <w:p w14:paraId="1DACF93E" w14:textId="7E0ED2B1" w:rsidR="00E86F72" w:rsidRDefault="00F42F8D">
            <w:pPr>
              <w:pStyle w:val="TableParagraph"/>
              <w:rPr>
                <w:rFonts w:ascii="Times New Roman"/>
              </w:rPr>
            </w:pPr>
            <w:r>
              <w:rPr>
                <w:rFonts w:ascii="Times New Roman"/>
              </w:rPr>
              <w:t>3</w:t>
            </w:r>
          </w:p>
        </w:tc>
        <w:tc>
          <w:tcPr>
            <w:tcW w:w="560" w:type="dxa"/>
          </w:tcPr>
          <w:p w14:paraId="0FE29060" w14:textId="19B5CC29" w:rsidR="00E86F72" w:rsidRDefault="00F42F8D">
            <w:pPr>
              <w:pStyle w:val="TableParagraph"/>
              <w:rPr>
                <w:rFonts w:ascii="Times New Roman"/>
              </w:rPr>
            </w:pPr>
            <w:r>
              <w:rPr>
                <w:rFonts w:ascii="Times New Roman"/>
              </w:rPr>
              <w:t>8</w:t>
            </w:r>
          </w:p>
        </w:tc>
        <w:tc>
          <w:tcPr>
            <w:tcW w:w="558" w:type="dxa"/>
          </w:tcPr>
          <w:p w14:paraId="01C965FB" w14:textId="6E65FE1C" w:rsidR="00E86F72" w:rsidRDefault="00F42F8D">
            <w:pPr>
              <w:pStyle w:val="TableParagraph"/>
              <w:rPr>
                <w:rFonts w:ascii="Times New Roman"/>
              </w:rPr>
            </w:pPr>
            <w:r>
              <w:rPr>
                <w:rFonts w:ascii="Times New Roman"/>
              </w:rPr>
              <w:t>3</w:t>
            </w:r>
          </w:p>
        </w:tc>
        <w:tc>
          <w:tcPr>
            <w:tcW w:w="562" w:type="dxa"/>
          </w:tcPr>
          <w:p w14:paraId="2659FD04" w14:textId="59D2615F" w:rsidR="00E86F72" w:rsidRDefault="00F42F8D">
            <w:pPr>
              <w:pStyle w:val="TableParagraph"/>
              <w:rPr>
                <w:rFonts w:ascii="Times New Roman"/>
              </w:rPr>
            </w:pPr>
            <w:r>
              <w:rPr>
                <w:rFonts w:ascii="Times New Roman"/>
              </w:rPr>
              <w:t>8</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50C67D62" w:rsidR="00E86F72" w:rsidRPr="006F542E" w:rsidRDefault="00F42F8D">
            <w:pPr>
              <w:pStyle w:val="TableParagraph"/>
            </w:pPr>
            <w:r>
              <w:t>Evans</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1600765D" w:rsidR="00E86F72" w:rsidRPr="006F542E" w:rsidRDefault="00F42F8D">
            <w:pPr>
              <w:pStyle w:val="TableParagraph"/>
            </w:pPr>
            <w:r>
              <w:t>Ffion Mair</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3248B857" w:rsidR="00E86F72" w:rsidRPr="00E61181" w:rsidRDefault="000C5A06">
            <w:pPr>
              <w:pStyle w:val="TableParagraph"/>
              <w:rPr>
                <w:rFonts w:ascii="Bradley Hand ITC" w:hAnsi="Bradley Hand ITC"/>
              </w:rPr>
            </w:pPr>
            <w:r w:rsidRPr="006467E5">
              <w:rPr>
                <w:rFonts w:ascii="Freestyle Script" w:hAnsi="Freestyle Script"/>
                <w:b/>
                <w:sz w:val="40"/>
                <w:szCs w:val="40"/>
              </w:rPr>
              <w:t>Ffion Evans</w:t>
            </w: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77777777" w:rsidR="00E86F72" w:rsidRPr="006F542E" w:rsidRDefault="00E86F72">
            <w:pPr>
              <w:pStyle w:val="TableParagraph"/>
            </w:pP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97C166C" w:rsidR="00E86F72" w:rsidRPr="006F542E" w:rsidRDefault="00057903">
            <w:pPr>
              <w:pStyle w:val="TableParagraph"/>
            </w:pPr>
            <w:r w:rsidRPr="006F542E">
              <w:t>14</w:t>
            </w:r>
            <w:r w:rsidRPr="006F542E">
              <w:rPr>
                <w:vertAlign w:val="superscript"/>
              </w:rPr>
              <w:t>th</w:t>
            </w:r>
            <w:r w:rsidRPr="006F542E">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397D05" w:rsidP="00706FF4">
                            <w:pPr>
                              <w:spacing w:before="77"/>
                            </w:pPr>
                            <w:hyperlink r:id="rId14" w:history="1">
                              <w:r w:rsidR="00B53BE7">
                                <w:rPr>
                                  <w:rStyle w:val="Hyperlink"/>
                                </w:rPr>
                                <w:t>Employment Law Update for CIPD Tutors and Students</w:t>
                              </w:r>
                            </w:hyperlink>
                          </w:p>
                          <w:p w14:paraId="07A09779" w14:textId="33F1AB9E" w:rsidR="00B53BE7" w:rsidRDefault="00397D05" w:rsidP="00706FF4">
                            <w:pPr>
                              <w:spacing w:before="77"/>
                            </w:pPr>
                            <w:hyperlink r:id="rId15" w:history="1">
                              <w:r w:rsidR="004A0E8C">
                                <w:rPr>
                                  <w:rStyle w:val="Hyperlink"/>
                                </w:rPr>
                                <w:t>About Employment Law | CIPD</w:t>
                              </w:r>
                            </w:hyperlink>
                          </w:p>
                          <w:p w14:paraId="7C88658B" w14:textId="7F6C7220" w:rsidR="004A0E8C" w:rsidRPr="00706FF4" w:rsidRDefault="00397D05" w:rsidP="00706FF4">
                            <w:pPr>
                              <w:spacing w:before="77"/>
                              <w:rPr>
                                <w:b/>
                                <w:sz w:val="32"/>
                              </w:rPr>
                            </w:pPr>
                            <w:hyperlink r:id="rId16"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AB0AA2" w:rsidP="00706FF4">
                      <w:pPr>
                        <w:spacing w:before="77"/>
                      </w:pPr>
                      <w:hyperlink r:id="rId17" w:history="1">
                        <w:r w:rsidR="00B53BE7">
                          <w:rPr>
                            <w:rStyle w:val="Hyperlink"/>
                          </w:rPr>
                          <w:t>Employment Law Update for CIPD Tutors and Students</w:t>
                        </w:r>
                      </w:hyperlink>
                    </w:p>
                    <w:p w14:paraId="07A09779" w14:textId="33F1AB9E" w:rsidR="00B53BE7" w:rsidRDefault="00AB0AA2" w:rsidP="00706FF4">
                      <w:pPr>
                        <w:spacing w:before="77"/>
                      </w:pPr>
                      <w:hyperlink r:id="rId18" w:history="1">
                        <w:r w:rsidR="004A0E8C">
                          <w:rPr>
                            <w:rStyle w:val="Hyperlink"/>
                          </w:rPr>
                          <w:t>About Employment Law | CIPD</w:t>
                        </w:r>
                      </w:hyperlink>
                    </w:p>
                    <w:p w14:paraId="7C88658B" w14:textId="7F6C7220" w:rsidR="004A0E8C" w:rsidRPr="00706FF4" w:rsidRDefault="00AB0AA2" w:rsidP="00706FF4">
                      <w:pPr>
                        <w:spacing w:before="77"/>
                        <w:rPr>
                          <w:b/>
                          <w:sz w:val="32"/>
                        </w:rPr>
                      </w:pPr>
                      <w:hyperlink r:id="rId19" w:history="1">
                        <w:r w:rsidR="0066509B">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xml:space="preserve">, </w:t>
      </w:r>
      <w:proofErr w:type="gramStart"/>
      <w:r>
        <w:t>listening</w:t>
      </w:r>
      <w:proofErr w:type="gramEnd"/>
      <w:r>
        <w:t xml:space="preserve">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3"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 xml:space="preserve">Discrimination law in recruitment, </w:t>
      </w:r>
      <w:proofErr w:type="gramStart"/>
      <w:r>
        <w:t>sel</w:t>
      </w:r>
      <w:r w:rsidR="009143FB">
        <w:t>e</w:t>
      </w:r>
      <w:r>
        <w:t>ction</w:t>
      </w:r>
      <w:proofErr w:type="gramEnd"/>
      <w:r>
        <w:t xml:space="preserve">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w:t>
      </w:r>
      <w:proofErr w:type="gramStart"/>
      <w:r w:rsidR="004D3C65" w:rsidRPr="00010031">
        <w:t>All of</w:t>
      </w:r>
      <w:proofErr w:type="gramEnd"/>
      <w:r w:rsidR="004D3C65" w:rsidRPr="00010031">
        <w:t xml:space="preserve">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proofErr w:type="gramStart"/>
      <w:r w:rsidRPr="00010031">
        <w:t>Explain briefly</w:t>
      </w:r>
      <w:proofErr w:type="gramEnd"/>
      <w:r w:rsidRPr="00010031">
        <w:t xml:space="preserve">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6747A9">
        <w:trPr>
          <w:trHeight w:val="2561"/>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6E1CF7B3" w:rsidR="006D535D" w:rsidRDefault="00C83F4A" w:rsidP="001D268E">
            <w:pPr>
              <w:pStyle w:val="TableParagraph"/>
              <w:spacing w:before="87"/>
              <w:ind w:left="105"/>
            </w:pPr>
            <w:r>
              <w:t>Y</w:t>
            </w:r>
          </w:p>
        </w:tc>
        <w:tc>
          <w:tcPr>
            <w:tcW w:w="3519" w:type="dxa"/>
            <w:tcBorders>
              <w:left w:val="single" w:sz="4" w:space="0" w:color="D0DFE1"/>
              <w:right w:val="nil"/>
            </w:tcBorders>
          </w:tcPr>
          <w:p w14:paraId="145DC307" w14:textId="77777777" w:rsidR="006D535D"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p w14:paraId="7B41D976" w14:textId="2F1B3EC6" w:rsidR="00C83F4A" w:rsidRDefault="00FA4A6F" w:rsidP="00C54E83">
            <w:pPr>
              <w:pStyle w:val="TableParagraph"/>
              <w:spacing w:before="83"/>
              <w:rPr>
                <w:rFonts w:ascii="Bradley Hand ITC" w:hAnsi="Bradley Hand ITC" w:cstheme="minorHAnsi"/>
                <w:color w:val="000000" w:themeColor="text1"/>
                <w:sz w:val="24"/>
                <w:szCs w:val="24"/>
              </w:rPr>
            </w:pPr>
            <w:r w:rsidRPr="0054294A">
              <w:rPr>
                <w:rFonts w:ascii="Bradley Hand ITC" w:hAnsi="Bradley Hand ITC" w:cstheme="minorHAnsi"/>
                <w:color w:val="000000" w:themeColor="text1"/>
                <w:sz w:val="24"/>
                <w:szCs w:val="24"/>
              </w:rPr>
              <w:t>regulate the relationship between the employer and employee</w:t>
            </w:r>
            <w:r w:rsidR="00913939" w:rsidRPr="0054294A">
              <w:rPr>
                <w:rFonts w:ascii="Bradley Hand ITC" w:hAnsi="Bradley Hand ITC" w:cstheme="minorHAnsi"/>
                <w:color w:val="000000" w:themeColor="text1"/>
                <w:sz w:val="24"/>
                <w:szCs w:val="24"/>
              </w:rPr>
              <w:t>, rules and sets standards</w:t>
            </w:r>
          </w:p>
          <w:p w14:paraId="4343FB0F" w14:textId="39E0EFDA" w:rsidR="0054294A" w:rsidRPr="0054294A" w:rsidRDefault="0054294A" w:rsidP="00C54E83">
            <w:pPr>
              <w:pStyle w:val="TableParagraph"/>
              <w:spacing w:before="83"/>
              <w:rPr>
                <w:rFonts w:ascii="Bradley Hand ITC" w:hAnsi="Bradley Hand ITC" w:cstheme="minorHAnsi"/>
                <w:color w:val="000000" w:themeColor="text1"/>
                <w:sz w:val="24"/>
                <w:szCs w:val="24"/>
              </w:rPr>
            </w:pPr>
            <w:r>
              <w:rPr>
                <w:rFonts w:ascii="Bradley Hand ITC" w:hAnsi="Bradley Hand ITC" w:cstheme="minorHAnsi"/>
                <w:color w:val="000000" w:themeColor="text1"/>
                <w:sz w:val="24"/>
                <w:szCs w:val="24"/>
              </w:rPr>
              <w:t>Human</w:t>
            </w:r>
            <w:r w:rsidR="0091741E">
              <w:rPr>
                <w:rFonts w:ascii="Bradley Hand ITC" w:hAnsi="Bradley Hand ITC" w:cstheme="minorHAnsi"/>
                <w:color w:val="000000" w:themeColor="text1"/>
                <w:sz w:val="24"/>
                <w:szCs w:val="24"/>
              </w:rPr>
              <w:t>, recourse management</w:t>
            </w:r>
            <w:r w:rsidR="009D71B2">
              <w:rPr>
                <w:rFonts w:ascii="Bradley Hand ITC" w:hAnsi="Bradley Hand ITC" w:cstheme="minorHAnsi"/>
                <w:color w:val="000000" w:themeColor="text1"/>
                <w:sz w:val="24"/>
                <w:szCs w:val="24"/>
              </w:rPr>
              <w:t>.2016</w:t>
            </w:r>
          </w:p>
          <w:p w14:paraId="673E64D7" w14:textId="0E0FAF4C" w:rsidR="00FA4A6F" w:rsidRPr="006747A9" w:rsidRDefault="006747A9" w:rsidP="00C54E83">
            <w:pPr>
              <w:pStyle w:val="TableParagraph"/>
              <w:spacing w:before="83"/>
              <w:rPr>
                <w:rFonts w:ascii="Bradley Hand ITC" w:hAnsi="Bradley Hand ITC" w:cstheme="minorHAnsi"/>
              </w:rPr>
            </w:pPr>
            <w:r w:rsidRPr="006747A9">
              <w:rPr>
                <w:rFonts w:ascii="Bradley Hand ITC" w:hAnsi="Bradley Hand ITC" w:cstheme="minorHAnsi"/>
                <w:color w:val="000000" w:themeColor="text1"/>
                <w:sz w:val="24"/>
                <w:szCs w:val="24"/>
                <w:shd w:val="clear" w:color="auto" w:fill="FFFFFF"/>
              </w:rPr>
              <w:t>Employment law can be divided into two categories</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68577C2B"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9CE6DC4" w14:textId="77777777" w:rsidR="002C0CE1" w:rsidRDefault="002C0CE1" w:rsidP="00285668">
            <w:pPr>
              <w:widowControl/>
              <w:autoSpaceDE/>
              <w:autoSpaceDN/>
              <w:contextualSpacing/>
              <w:rPr>
                <w:rFonts w:ascii="Bradley Hand ITC" w:eastAsia="Times New Roman" w:hAnsi="Bradley Hand ITC" w:cs="Times New Roman"/>
                <w:sz w:val="24"/>
                <w:szCs w:val="24"/>
                <w:lang w:eastAsia="en-GB"/>
              </w:rPr>
            </w:pPr>
            <w:r w:rsidRPr="002C0CE1">
              <w:rPr>
                <w:rFonts w:ascii="Bradley Hand ITC" w:hAnsi="Bradley Hand ITC" w:cstheme="minorHAnsi"/>
                <w:color w:val="000000" w:themeColor="text1"/>
                <w:sz w:val="24"/>
                <w:szCs w:val="24"/>
              </w:rPr>
              <w:t>categorised as civil or private law</w:t>
            </w:r>
            <w:r w:rsidRPr="00285668">
              <w:rPr>
                <w:rFonts w:ascii="Bradley Hand ITC" w:eastAsia="Times New Roman" w:hAnsi="Bradley Hand ITC" w:cs="Times New Roman"/>
                <w:sz w:val="24"/>
                <w:szCs w:val="24"/>
                <w:lang w:eastAsia="en-GB"/>
              </w:rPr>
              <w:t xml:space="preserve"> </w:t>
            </w:r>
          </w:p>
          <w:p w14:paraId="3744E113" w14:textId="7DF20C4A"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ACAS Early Conciliation</w:t>
            </w:r>
          </w:p>
          <w:p w14:paraId="687B66D3" w14:textId="77777777"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ET1</w:t>
            </w:r>
          </w:p>
          <w:p w14:paraId="61248D15" w14:textId="77777777"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ET3</w:t>
            </w:r>
          </w:p>
          <w:p w14:paraId="52455610" w14:textId="77777777"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Preliminary Hearing</w:t>
            </w:r>
          </w:p>
          <w:p w14:paraId="4903922F" w14:textId="77777777"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The hearing</w:t>
            </w:r>
          </w:p>
          <w:p w14:paraId="290BDDE8" w14:textId="77777777" w:rsidR="00285668" w:rsidRPr="00285668" w:rsidRDefault="00285668" w:rsidP="00285668">
            <w:pPr>
              <w:widowControl/>
              <w:autoSpaceDE/>
              <w:autoSpaceDN/>
              <w:contextualSpacing/>
              <w:rPr>
                <w:rFonts w:ascii="Bradley Hand ITC" w:eastAsia="Times New Roman" w:hAnsi="Bradley Hand ITC" w:cs="Times New Roman"/>
                <w:sz w:val="24"/>
                <w:szCs w:val="24"/>
                <w:lang w:eastAsia="en-GB"/>
              </w:rPr>
            </w:pPr>
            <w:r w:rsidRPr="00285668">
              <w:rPr>
                <w:rFonts w:ascii="Bradley Hand ITC" w:eastAsia="Times New Roman" w:hAnsi="Bradley Hand ITC" w:cs="Times New Roman"/>
                <w:sz w:val="24"/>
                <w:szCs w:val="24"/>
                <w:lang w:eastAsia="en-GB"/>
              </w:rPr>
              <w:t>The judgment</w:t>
            </w:r>
          </w:p>
          <w:p w14:paraId="2981A03D" w14:textId="492D7A87" w:rsidR="001D3760" w:rsidRDefault="00285668" w:rsidP="00285668">
            <w:pPr>
              <w:pStyle w:val="TableParagraph"/>
              <w:rPr>
                <w:rFonts w:ascii="Times New Roman"/>
              </w:rPr>
            </w:pPr>
            <w:r w:rsidRPr="00285668">
              <w:rPr>
                <w:rFonts w:ascii="Bradley Hand ITC" w:eastAsia="Times New Roman" w:hAnsi="Bradley Hand ITC" w:cs="Times New Roman"/>
                <w:sz w:val="24"/>
                <w:szCs w:val="24"/>
                <w:lang w:eastAsia="en-GB"/>
              </w:rPr>
              <w:t>Review decision (CIPD,2021</w:t>
            </w:r>
            <w:r w:rsidR="004B598A">
              <w:rPr>
                <w:rFonts w:ascii="Bradley Hand ITC" w:eastAsia="Times New Roman" w:hAnsi="Bradley Hand ITC" w:cs="Times New Roman"/>
                <w:sz w:val="24"/>
                <w:szCs w:val="24"/>
                <w:lang w:eastAsia="en-GB"/>
              </w:rPr>
              <w:t>)</w:t>
            </w: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7F437E6B"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3561C5C" w14:textId="77777777" w:rsidR="001D3760" w:rsidRPr="000909A5" w:rsidRDefault="009E72DB" w:rsidP="001D3760">
            <w:pPr>
              <w:pStyle w:val="TableParagraph"/>
              <w:rPr>
                <w:rFonts w:ascii="Bradley Hand ITC" w:hAnsi="Bradley Hand ITC" w:cstheme="minorHAnsi"/>
                <w:color w:val="1A1A1A"/>
              </w:rPr>
            </w:pPr>
            <w:r w:rsidRPr="000909A5">
              <w:rPr>
                <w:rFonts w:ascii="Bradley Hand ITC" w:hAnsi="Bradley Hand ITC" w:cstheme="minorHAnsi"/>
                <w:color w:val="1A1A1A"/>
              </w:rPr>
              <w:t>try to resolve disputes in the workplace</w:t>
            </w:r>
          </w:p>
          <w:p w14:paraId="627A06E2" w14:textId="77777777" w:rsidR="009E72DB" w:rsidRDefault="000909A5" w:rsidP="001D3760">
            <w:pPr>
              <w:pStyle w:val="TableParagraph"/>
              <w:rPr>
                <w:rFonts w:ascii="Bradley Hand ITC" w:hAnsi="Bradley Hand ITC" w:cstheme="minorHAnsi"/>
                <w:color w:val="1A1A1A"/>
              </w:rPr>
            </w:pPr>
            <w:r w:rsidRPr="000909A5">
              <w:rPr>
                <w:rFonts w:ascii="Bradley Hand ITC" w:hAnsi="Bradley Hand ITC" w:cstheme="minorHAnsi"/>
                <w:color w:val="1A1A1A"/>
              </w:rPr>
              <w:t>formal employment tribunal/court</w:t>
            </w:r>
          </w:p>
          <w:p w14:paraId="418FE0ED" w14:textId="77777777" w:rsidR="00A545B7" w:rsidRDefault="00A545B7" w:rsidP="001D3760">
            <w:pPr>
              <w:pStyle w:val="TableParagraph"/>
              <w:rPr>
                <w:rFonts w:ascii="Bradley Hand ITC" w:hAnsi="Bradley Hand ITC" w:cstheme="minorHAnsi"/>
                <w:color w:val="1A1A1A"/>
              </w:rPr>
            </w:pPr>
            <w:r>
              <w:rPr>
                <w:rFonts w:ascii="Bradley Hand ITC" w:hAnsi="Bradley Hand ITC" w:cstheme="minorHAnsi"/>
                <w:color w:val="1A1A1A"/>
              </w:rPr>
              <w:t>Contact ACAS</w:t>
            </w:r>
          </w:p>
          <w:p w14:paraId="3A5841B5" w14:textId="77777777" w:rsidR="00424645" w:rsidRDefault="00424645" w:rsidP="001D3760">
            <w:pPr>
              <w:pStyle w:val="TableParagraph"/>
              <w:rPr>
                <w:rFonts w:ascii="Bradley Hand ITC" w:hAnsi="Bradley Hand ITC" w:cstheme="minorHAnsi"/>
              </w:rPr>
            </w:pPr>
            <w:r w:rsidRPr="00424645">
              <w:rPr>
                <w:rFonts w:ascii="Bradley Hand ITC" w:hAnsi="Bradley Hand ITC" w:cstheme="minorHAnsi"/>
              </w:rPr>
              <w:t>early conciliation</w:t>
            </w:r>
          </w:p>
          <w:p w14:paraId="28C49621" w14:textId="702D584F" w:rsidR="00EE7E87" w:rsidRPr="00424645" w:rsidRDefault="00EE7E87" w:rsidP="001D3760">
            <w:pPr>
              <w:pStyle w:val="TableParagraph"/>
              <w:rPr>
                <w:rFonts w:ascii="Bradley Hand ITC" w:hAnsi="Bradley Hand ITC"/>
              </w:rPr>
            </w:pPr>
            <w:r>
              <w:rPr>
                <w:rFonts w:ascii="Bradley Hand ITC" w:hAnsi="Bradley Hand ITC" w:cstheme="minorHAnsi"/>
              </w:rPr>
              <w:t>COT3</w:t>
            </w: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 xml:space="preserve">Evaluate the principles of discrimination law in recruitment, </w:t>
            </w:r>
            <w:proofErr w:type="gramStart"/>
            <w:r>
              <w:t>selection</w:t>
            </w:r>
            <w:proofErr w:type="gramEnd"/>
            <w:r>
              <w:t xml:space="preserve"> and employment.</w:t>
            </w:r>
          </w:p>
        </w:tc>
        <w:tc>
          <w:tcPr>
            <w:tcW w:w="1317" w:type="dxa"/>
            <w:tcBorders>
              <w:left w:val="single" w:sz="4" w:space="0" w:color="D0DFE1"/>
              <w:right w:val="single" w:sz="4" w:space="0" w:color="D0DFE1"/>
            </w:tcBorders>
          </w:tcPr>
          <w:p w14:paraId="7CA24897" w14:textId="5B55D84A"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413D142" w14:textId="77777777" w:rsidR="001D3760" w:rsidRDefault="00FB349D" w:rsidP="001D3760">
            <w:pPr>
              <w:pStyle w:val="TableParagraph"/>
              <w:rPr>
                <w:rFonts w:ascii="Bradley Hand ITC" w:hAnsi="Bradley Hand ITC" w:cstheme="minorHAnsi"/>
                <w:color w:val="000000" w:themeColor="text1"/>
                <w:sz w:val="24"/>
                <w:szCs w:val="24"/>
              </w:rPr>
            </w:pPr>
            <w:r w:rsidRPr="00FB349D">
              <w:rPr>
                <w:rFonts w:ascii="Bradley Hand ITC" w:hAnsi="Bradley Hand ITC" w:cstheme="minorHAnsi"/>
                <w:color w:val="000000" w:themeColor="text1"/>
                <w:sz w:val="24"/>
                <w:szCs w:val="24"/>
              </w:rPr>
              <w:t>three main types of staff who have entered a contract</w:t>
            </w:r>
          </w:p>
          <w:p w14:paraId="245B78F2" w14:textId="77777777" w:rsidR="001F04D2" w:rsidRDefault="001F04D2" w:rsidP="001D3760">
            <w:pPr>
              <w:pStyle w:val="TableParagraph"/>
              <w:rPr>
                <w:rFonts w:ascii="Bradley Hand ITC" w:hAnsi="Bradley Hand ITC" w:cstheme="minorHAnsi"/>
                <w:color w:val="000000" w:themeColor="text1"/>
                <w:sz w:val="24"/>
                <w:szCs w:val="24"/>
              </w:rPr>
            </w:pPr>
            <w:r w:rsidRPr="001F04D2">
              <w:rPr>
                <w:rFonts w:ascii="Bradley Hand ITC" w:hAnsi="Bradley Hand ITC" w:cstheme="minorHAnsi"/>
                <w:color w:val="000000" w:themeColor="text1"/>
                <w:sz w:val="24"/>
                <w:szCs w:val="24"/>
              </w:rPr>
              <w:t>The Equality Act 2010</w:t>
            </w:r>
          </w:p>
          <w:p w14:paraId="78C7BEA4" w14:textId="3E1A6DD5" w:rsidR="004D7A73" w:rsidRPr="001F04D2" w:rsidRDefault="004D7A73" w:rsidP="001D3760">
            <w:pPr>
              <w:pStyle w:val="TableParagraph"/>
              <w:rPr>
                <w:rFonts w:ascii="Bradley Hand ITC" w:hAnsi="Bradley Hand ITC"/>
              </w:rPr>
            </w:pPr>
            <w:r>
              <w:rPr>
                <w:rFonts w:ascii="Bradley Hand ITC" w:hAnsi="Bradley Hand ITC" w:cstheme="minorHAnsi"/>
                <w:color w:val="000000" w:themeColor="text1"/>
                <w:sz w:val="24"/>
                <w:szCs w:val="24"/>
              </w:rPr>
              <w:t xml:space="preserve">Protected characteristics </w:t>
            </w: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07576DD2"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99D243D" w14:textId="77777777" w:rsidR="001D3760" w:rsidRDefault="00755671" w:rsidP="001D3760">
            <w:pPr>
              <w:pStyle w:val="TableParagraph"/>
              <w:rPr>
                <w:rFonts w:ascii="Bradley Hand ITC" w:hAnsi="Bradley Hand ITC" w:cstheme="minorHAnsi"/>
                <w:color w:val="000000" w:themeColor="text1"/>
                <w:sz w:val="24"/>
                <w:szCs w:val="24"/>
              </w:rPr>
            </w:pPr>
            <w:r w:rsidRPr="00755671">
              <w:rPr>
                <w:rFonts w:ascii="Bradley Hand ITC" w:hAnsi="Bradley Hand ITC" w:cstheme="minorHAnsi"/>
                <w:color w:val="000000" w:themeColor="text1"/>
                <w:sz w:val="24"/>
                <w:szCs w:val="24"/>
              </w:rPr>
              <w:t>The Equal Pay Act 1970</w:t>
            </w:r>
          </w:p>
          <w:p w14:paraId="31D44107" w14:textId="77777777" w:rsidR="004A03A7" w:rsidRDefault="004A03A7" w:rsidP="001D3760">
            <w:pPr>
              <w:pStyle w:val="TableParagraph"/>
              <w:rPr>
                <w:rFonts w:ascii="Bradley Hand ITC" w:hAnsi="Bradley Hand ITC" w:cstheme="minorHAnsi"/>
                <w:color w:val="000000" w:themeColor="text1"/>
                <w:sz w:val="24"/>
                <w:szCs w:val="24"/>
              </w:rPr>
            </w:pPr>
            <w:r w:rsidRPr="004A03A7">
              <w:rPr>
                <w:rFonts w:ascii="Bradley Hand ITC" w:hAnsi="Bradley Hand ITC" w:cstheme="minorHAnsi"/>
                <w:color w:val="000000" w:themeColor="text1"/>
                <w:sz w:val="24"/>
                <w:szCs w:val="24"/>
              </w:rPr>
              <w:t>Equality Act 2010. The equality act 2010</w:t>
            </w:r>
          </w:p>
          <w:p w14:paraId="08F4327C" w14:textId="36CF89E7" w:rsidR="00D248AF" w:rsidRPr="00D248AF" w:rsidRDefault="00D248AF" w:rsidP="001D3760">
            <w:pPr>
              <w:pStyle w:val="TableParagraph"/>
              <w:rPr>
                <w:rFonts w:ascii="Bradley Hand ITC" w:hAnsi="Bradley Hand ITC"/>
              </w:rPr>
            </w:pPr>
            <w:r w:rsidRPr="00D248AF">
              <w:rPr>
                <w:rFonts w:ascii="Bradley Hand ITC" w:hAnsi="Bradley Hand ITC" w:cstheme="minorHAnsi"/>
                <w:color w:val="000000" w:themeColor="text1"/>
                <w:sz w:val="24"/>
                <w:szCs w:val="24"/>
              </w:rPr>
              <w:t>equivalent analytical job study and work for equal value</w:t>
            </w: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401CCA16"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278A69A" w14:textId="77777777" w:rsidR="001D3760" w:rsidRPr="00397D05" w:rsidRDefault="00A46EB1" w:rsidP="001D3760">
            <w:pPr>
              <w:pStyle w:val="TableParagraph"/>
              <w:rPr>
                <w:rFonts w:ascii="Bradley Hand ITC" w:hAnsi="Bradley Hand ITC"/>
              </w:rPr>
            </w:pPr>
            <w:r w:rsidRPr="00397D05">
              <w:rPr>
                <w:rFonts w:ascii="Bradley Hand ITC" w:hAnsi="Bradley Hand ITC"/>
              </w:rPr>
              <w:t>TUPE,</w:t>
            </w:r>
          </w:p>
          <w:p w14:paraId="1388F9D7" w14:textId="430FB2D1" w:rsidR="00A46EB1" w:rsidRDefault="00397D05" w:rsidP="001D3760">
            <w:pPr>
              <w:pStyle w:val="TableParagraph"/>
              <w:rPr>
                <w:rFonts w:ascii="Times New Roman"/>
              </w:rPr>
            </w:pPr>
            <w:r w:rsidRPr="00397D05">
              <w:rPr>
                <w:rFonts w:ascii="Bradley Hand ITC" w:hAnsi="Bradley Hand ITC" w:cs="Times New Roman"/>
                <w:sz w:val="24"/>
                <w:szCs w:val="24"/>
              </w:rPr>
              <w:t xml:space="preserve">aim is to protect employees if the organisation that they work for when it ‘changes </w:t>
            </w:r>
            <w:proofErr w:type="gramStart"/>
            <w:r w:rsidRPr="00397D05">
              <w:rPr>
                <w:rFonts w:ascii="Bradley Hand ITC" w:hAnsi="Bradley Hand ITC" w:cs="Times New Roman"/>
                <w:sz w:val="24"/>
                <w:szCs w:val="24"/>
              </w:rPr>
              <w:t>hands’</w:t>
            </w:r>
            <w:proofErr w:type="gramEnd"/>
            <w:r w:rsidRPr="00397D05">
              <w:rPr>
                <w:rFonts w:ascii="Bradley Hand ITC" w:hAnsi="Bradley Hand ITC" w:cs="Times New Roman"/>
                <w:sz w:val="24"/>
                <w:szCs w:val="24"/>
              </w:rPr>
              <w:t>.</w:t>
            </w: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2B817BB2" w:rsidR="001D3760"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E89D64" w14:textId="77777777" w:rsidR="001D3760" w:rsidRDefault="00E62643" w:rsidP="001D3760">
            <w:pPr>
              <w:pStyle w:val="TableParagraph"/>
              <w:rPr>
                <w:rFonts w:ascii="Bradley Hand ITC" w:hAnsi="Bradley Hand ITC" w:cs="Times New Roman"/>
                <w:sz w:val="24"/>
                <w:szCs w:val="24"/>
              </w:rPr>
            </w:pPr>
            <w:r w:rsidRPr="00E62643">
              <w:rPr>
                <w:rFonts w:ascii="Bradley Hand ITC" w:hAnsi="Bradley Hand ITC" w:cs="Times New Roman"/>
                <w:sz w:val="24"/>
                <w:szCs w:val="24"/>
              </w:rPr>
              <w:t>Transfer of Undertakings (Protection of Employment) known as TUPE</w:t>
            </w:r>
          </w:p>
          <w:p w14:paraId="47C027E9" w14:textId="0EEAFF17" w:rsidR="00AB0AA2" w:rsidRPr="00AB0AA2" w:rsidRDefault="00AB0AA2" w:rsidP="001D3760">
            <w:pPr>
              <w:pStyle w:val="TableParagraph"/>
              <w:rPr>
                <w:rFonts w:ascii="Bradley Hand ITC" w:hAnsi="Bradley Hand ITC" w:cstheme="minorHAnsi"/>
              </w:rPr>
            </w:pPr>
            <w:r w:rsidRPr="00AB0AA2">
              <w:rPr>
                <w:rFonts w:ascii="Bradley Hand ITC" w:hAnsi="Bradley Hand ITC" w:cs="Times New Roman"/>
                <w:sz w:val="24"/>
                <w:szCs w:val="24"/>
              </w:rPr>
              <w:t>protect employees if the organisation that they work for when it ‘changes hands’</w:t>
            </w: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21731D01" w:rsidR="00130C3F"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03A5AC9" w14:textId="77777777" w:rsidR="00130C3F" w:rsidRDefault="006D57EC" w:rsidP="001D3760">
            <w:pPr>
              <w:pStyle w:val="TableParagraph"/>
              <w:rPr>
                <w:rFonts w:ascii="Bradley Hand ITC" w:hAnsi="Bradley Hand ITC" w:cstheme="minorHAnsi"/>
              </w:rPr>
            </w:pPr>
            <w:r w:rsidRPr="006D57EC">
              <w:rPr>
                <w:rFonts w:ascii="Bradley Hand ITC" w:hAnsi="Bradley Hand ITC" w:cstheme="minorHAnsi"/>
              </w:rPr>
              <w:t>Written contract</w:t>
            </w:r>
          </w:p>
          <w:p w14:paraId="1F84115A" w14:textId="77777777" w:rsidR="00AA432E" w:rsidRDefault="00AA432E" w:rsidP="001D3760">
            <w:pPr>
              <w:pStyle w:val="TableParagraph"/>
              <w:rPr>
                <w:rFonts w:ascii="Bradley Hand ITC" w:hAnsi="Bradley Hand ITC" w:cstheme="minorHAnsi"/>
                <w:color w:val="000000" w:themeColor="text1"/>
                <w:sz w:val="24"/>
                <w:szCs w:val="24"/>
              </w:rPr>
            </w:pPr>
            <w:r w:rsidRPr="00AA432E">
              <w:rPr>
                <w:rFonts w:ascii="Bradley Hand ITC" w:hAnsi="Bradley Hand ITC" w:cstheme="minorHAnsi"/>
                <w:color w:val="000000" w:themeColor="text1"/>
                <w:sz w:val="24"/>
                <w:szCs w:val="24"/>
              </w:rPr>
              <w:t>state the terms and conditions for both employer and employees</w:t>
            </w:r>
          </w:p>
          <w:p w14:paraId="0546ACF4" w14:textId="21077062" w:rsidR="00A37409" w:rsidRPr="00A37409" w:rsidRDefault="00A37409" w:rsidP="001D3760">
            <w:pPr>
              <w:pStyle w:val="TableParagraph"/>
              <w:rPr>
                <w:rFonts w:ascii="Bradley Hand ITC" w:hAnsi="Bradley Hand ITC" w:cstheme="minorHAnsi"/>
              </w:rPr>
            </w:pPr>
            <w:r w:rsidRPr="00A37409">
              <w:rPr>
                <w:rFonts w:ascii="Bradley Hand ITC" w:hAnsi="Bradley Hand ITC" w:cstheme="minorHAnsi"/>
                <w:color w:val="000000" w:themeColor="text1"/>
                <w:sz w:val="24"/>
                <w:szCs w:val="24"/>
              </w:rPr>
              <w:t>National Living wage</w:t>
            </w: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582C71D3" w:rsidR="00130C3F"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2A35C87" w14:textId="77777777" w:rsidR="00130C3F" w:rsidRDefault="00342421" w:rsidP="001D3760">
            <w:pPr>
              <w:pStyle w:val="TableParagraph"/>
              <w:rPr>
                <w:rFonts w:ascii="Bradley Hand ITC" w:hAnsi="Bradley Hand ITC" w:cstheme="minorHAnsi"/>
              </w:rPr>
            </w:pPr>
            <w:r w:rsidRPr="00140855">
              <w:rPr>
                <w:rFonts w:ascii="Bradley Hand ITC" w:hAnsi="Bradley Hand ITC" w:cstheme="minorHAnsi"/>
              </w:rPr>
              <w:t xml:space="preserve">WRT Regulation </w:t>
            </w:r>
          </w:p>
          <w:p w14:paraId="37B7A66E" w14:textId="70215FC3" w:rsidR="00EB5433" w:rsidRPr="00EB5433" w:rsidRDefault="00EB5433" w:rsidP="001D3760">
            <w:pPr>
              <w:pStyle w:val="TableParagraph"/>
              <w:rPr>
                <w:rFonts w:ascii="Bradley Hand ITC" w:hAnsi="Bradley Hand ITC" w:cstheme="minorHAnsi"/>
              </w:rPr>
            </w:pPr>
            <w:r w:rsidRPr="00EB5433">
              <w:rPr>
                <w:rFonts w:ascii="Bradley Hand ITC" w:hAnsi="Bradley Hand ITC" w:cstheme="minorHAnsi"/>
                <w:color w:val="000000" w:themeColor="text1"/>
                <w:sz w:val="24"/>
                <w:szCs w:val="24"/>
              </w:rPr>
              <w:t>Introduction to Employment Law,2019</w:t>
            </w: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w:t>
            </w:r>
            <w:proofErr w:type="gramStart"/>
            <w:r>
              <w:t>paternity</w:t>
            </w:r>
            <w:proofErr w:type="gramEnd"/>
            <w:r>
              <w:t xml:space="preserve"> and adoption rights in the context of employment rights. </w:t>
            </w:r>
          </w:p>
        </w:tc>
        <w:tc>
          <w:tcPr>
            <w:tcW w:w="1317" w:type="dxa"/>
            <w:tcBorders>
              <w:left w:val="single" w:sz="4" w:space="0" w:color="D0DFE1"/>
              <w:right w:val="single" w:sz="4" w:space="0" w:color="D0DFE1"/>
            </w:tcBorders>
          </w:tcPr>
          <w:p w14:paraId="7AE879A7" w14:textId="3C1789EA" w:rsidR="00777A1F"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1AC368" w14:textId="77777777" w:rsidR="00720026" w:rsidRPr="00720026" w:rsidRDefault="00720026" w:rsidP="00720026">
            <w:pPr>
              <w:contextualSpacing/>
              <w:rPr>
                <w:rFonts w:ascii="Bradley Hand ITC" w:hAnsi="Bradley Hand ITC" w:cstheme="minorHAnsi"/>
                <w:color w:val="000000" w:themeColor="text1"/>
                <w:sz w:val="24"/>
                <w:szCs w:val="24"/>
              </w:rPr>
            </w:pPr>
            <w:r w:rsidRPr="00720026">
              <w:rPr>
                <w:rFonts w:ascii="Bradley Hand ITC" w:hAnsi="Bradley Hand ITC" w:cstheme="minorHAnsi"/>
                <w:color w:val="000000" w:themeColor="text1"/>
                <w:sz w:val="24"/>
                <w:szCs w:val="24"/>
              </w:rPr>
              <w:t>Ordinary maternity leave (OML)</w:t>
            </w:r>
          </w:p>
          <w:p w14:paraId="04C734A4" w14:textId="77777777" w:rsidR="00720026" w:rsidRPr="00720026" w:rsidRDefault="00720026" w:rsidP="00720026">
            <w:pPr>
              <w:contextualSpacing/>
              <w:rPr>
                <w:rFonts w:ascii="Bradley Hand ITC" w:hAnsi="Bradley Hand ITC" w:cstheme="minorHAnsi"/>
                <w:color w:val="000000" w:themeColor="text1"/>
                <w:sz w:val="24"/>
                <w:szCs w:val="24"/>
              </w:rPr>
            </w:pPr>
            <w:r w:rsidRPr="00720026">
              <w:rPr>
                <w:rFonts w:ascii="Bradley Hand ITC" w:hAnsi="Bradley Hand ITC" w:cstheme="minorHAnsi"/>
                <w:color w:val="000000" w:themeColor="text1"/>
                <w:sz w:val="24"/>
                <w:szCs w:val="24"/>
              </w:rPr>
              <w:t>Compulsory maternity leave (CML)</w:t>
            </w:r>
          </w:p>
          <w:p w14:paraId="02599DF5" w14:textId="77777777" w:rsidR="00777A1F" w:rsidRDefault="00720026" w:rsidP="00720026">
            <w:pPr>
              <w:pStyle w:val="TableParagraph"/>
              <w:rPr>
                <w:rFonts w:ascii="Bradley Hand ITC" w:hAnsi="Bradley Hand ITC" w:cstheme="minorHAnsi"/>
                <w:color w:val="000000" w:themeColor="text1"/>
                <w:sz w:val="24"/>
                <w:szCs w:val="24"/>
              </w:rPr>
            </w:pPr>
            <w:r w:rsidRPr="00720026">
              <w:rPr>
                <w:rFonts w:ascii="Bradley Hand ITC" w:hAnsi="Bradley Hand ITC" w:cstheme="minorHAnsi"/>
                <w:color w:val="000000" w:themeColor="text1"/>
                <w:sz w:val="24"/>
                <w:szCs w:val="24"/>
              </w:rPr>
              <w:t>Additional maternity leave (AML</w:t>
            </w:r>
            <w:r>
              <w:rPr>
                <w:rFonts w:ascii="Bradley Hand ITC" w:hAnsi="Bradley Hand ITC" w:cstheme="minorHAnsi"/>
                <w:color w:val="000000" w:themeColor="text1"/>
                <w:sz w:val="24"/>
                <w:szCs w:val="24"/>
              </w:rPr>
              <w:t>)</w:t>
            </w:r>
          </w:p>
          <w:p w14:paraId="5438802D" w14:textId="77777777" w:rsidR="00494ACA" w:rsidRDefault="00494ACA" w:rsidP="00720026">
            <w:pPr>
              <w:pStyle w:val="TableParagraph"/>
              <w:rPr>
                <w:rFonts w:ascii="Bradley Hand ITC" w:hAnsi="Bradley Hand ITC" w:cstheme="minorHAnsi"/>
                <w:sz w:val="24"/>
                <w:szCs w:val="24"/>
              </w:rPr>
            </w:pPr>
            <w:r w:rsidRPr="00494ACA">
              <w:rPr>
                <w:rFonts w:ascii="Bradley Hand ITC" w:hAnsi="Bradley Hand ITC" w:cstheme="minorHAnsi"/>
                <w:sz w:val="24"/>
                <w:szCs w:val="24"/>
              </w:rPr>
              <w:t>SMP Statutory maternity pay</w:t>
            </w:r>
          </w:p>
          <w:p w14:paraId="438FEC83" w14:textId="169A0F0C" w:rsidR="0073339B" w:rsidRPr="0073339B" w:rsidRDefault="0073339B" w:rsidP="00720026">
            <w:pPr>
              <w:pStyle w:val="TableParagraph"/>
              <w:rPr>
                <w:rFonts w:ascii="Bradley Hand ITC" w:hAnsi="Bradley Hand ITC" w:cstheme="minorHAnsi"/>
              </w:rPr>
            </w:pPr>
            <w:r w:rsidRPr="0073339B">
              <w:rPr>
                <w:rFonts w:ascii="Bradley Hand ITC" w:hAnsi="Bradley Hand ITC" w:cstheme="minorHAnsi"/>
                <w:sz w:val="24"/>
                <w:szCs w:val="24"/>
              </w:rPr>
              <w:t>Shared parental leave (SPL)</w:t>
            </w: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6E129CD0" w:rsidR="00777A1F" w:rsidRDefault="00C83F4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52419C2D" w14:textId="734340C9" w:rsidR="00777A1F" w:rsidRPr="00F934C3" w:rsidRDefault="00A34455" w:rsidP="001D3760">
            <w:pPr>
              <w:pStyle w:val="TableParagraph"/>
              <w:rPr>
                <w:rFonts w:ascii="Bradley Hand ITC" w:hAnsi="Bradley Hand ITC" w:cstheme="minorHAnsi"/>
              </w:rPr>
            </w:pPr>
            <w:r w:rsidRPr="00A34455">
              <w:rPr>
                <w:rFonts w:ascii="Bradley Hand ITC" w:hAnsi="Bradley Hand ITC" w:cstheme="minorHAnsi"/>
                <w:color w:val="111111"/>
                <w:sz w:val="24"/>
                <w:szCs w:val="24"/>
                <w:shd w:val="clear" w:color="auto" w:fill="FFFFFF"/>
              </w:rPr>
              <w:t>flexible working application.</w:t>
            </w:r>
            <w:r w:rsidRPr="003235DD">
              <w:rPr>
                <w:rFonts w:asciiTheme="minorHAnsi" w:hAnsiTheme="minorHAnsi" w:cstheme="minorHAnsi"/>
                <w:color w:val="111111"/>
                <w:sz w:val="24"/>
                <w:szCs w:val="24"/>
                <w:shd w:val="clear" w:color="auto" w:fill="FFFFFF"/>
              </w:rPr>
              <w:t xml:space="preserve"> </w:t>
            </w:r>
            <w:r w:rsidR="00F934C3" w:rsidRPr="00F934C3">
              <w:rPr>
                <w:rFonts w:ascii="Bradley Hand ITC" w:hAnsi="Bradley Hand ITC" w:cstheme="minorHAnsi"/>
                <w:sz w:val="24"/>
                <w:szCs w:val="24"/>
              </w:rPr>
              <w:t>family friendly employment right</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1C88E020" w:rsidR="006D535D" w:rsidRDefault="006D535D" w:rsidP="001D268E">
            <w:pPr>
              <w:pStyle w:val="TableParagraph"/>
              <w:ind w:left="110"/>
              <w:rPr>
                <w:b/>
              </w:rPr>
            </w:pPr>
            <w:r>
              <w:rPr>
                <w:b/>
              </w:rPr>
              <w:t>Learner name:</w:t>
            </w:r>
            <w:r w:rsidR="006467E5">
              <w:rPr>
                <w:b/>
              </w:rPr>
              <w:t xml:space="preserve"> Ffion Evans</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632325BC" w:rsidR="006D535D" w:rsidRDefault="006D535D" w:rsidP="001D268E">
            <w:pPr>
              <w:pStyle w:val="TableParagraph"/>
              <w:ind w:left="110"/>
              <w:rPr>
                <w:b/>
              </w:rPr>
            </w:pPr>
            <w:r>
              <w:rPr>
                <w:b/>
              </w:rPr>
              <w:t>Learner signature:</w:t>
            </w:r>
            <w:r w:rsidR="006467E5">
              <w:rPr>
                <w:b/>
              </w:rPr>
              <w:t xml:space="preserve"> </w:t>
            </w:r>
            <w:r w:rsidR="006467E5" w:rsidRPr="006467E5">
              <w:rPr>
                <w:rFonts w:ascii="Freestyle Script" w:hAnsi="Freestyle Script"/>
                <w:b/>
                <w:sz w:val="40"/>
                <w:szCs w:val="40"/>
              </w:rPr>
              <w:t>Ffion Evans</w:t>
            </w:r>
            <w:r w:rsidR="006467E5">
              <w:rPr>
                <w:b/>
              </w:rPr>
              <w:t xml:space="preserve"> </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5260C9C0" w:rsidR="006D535D" w:rsidRDefault="006D535D" w:rsidP="001D268E">
            <w:pPr>
              <w:pStyle w:val="TableParagraph"/>
              <w:spacing w:before="1"/>
              <w:ind w:left="110"/>
              <w:rPr>
                <w:b/>
              </w:rPr>
            </w:pPr>
            <w:r>
              <w:rPr>
                <w:b/>
              </w:rPr>
              <w:t>Date:</w:t>
            </w:r>
            <w:r w:rsidR="000C5A06">
              <w:rPr>
                <w:b/>
              </w:rPr>
              <w:t>15/03/2022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 xml:space="preserve">Answers are clear, </w:t>
            </w:r>
            <w:proofErr w:type="gramStart"/>
            <w:r w:rsidRPr="00901E7E">
              <w:t>concise</w:t>
            </w:r>
            <w:proofErr w:type="gramEnd"/>
            <w:r w:rsidRPr="00901E7E">
              <w:t xml:space="preserv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 xml:space="preserve">Evaluate the principles of discrimination law in recruitment, </w:t>
            </w:r>
            <w:proofErr w:type="gramStart"/>
            <w:r>
              <w:t>selection</w:t>
            </w:r>
            <w:proofErr w:type="gramEnd"/>
            <w:r>
              <w:t xml:space="preserve">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w:t>
            </w:r>
            <w:proofErr w:type="gramStart"/>
            <w:r>
              <w:t>paternity</w:t>
            </w:r>
            <w:proofErr w:type="gramEnd"/>
            <w:r>
              <w:t xml:space="preserve">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811FA" w14:textId="77777777" w:rsidR="00590CF7" w:rsidRDefault="00590CF7">
      <w:r>
        <w:separator/>
      </w:r>
    </w:p>
  </w:endnote>
  <w:endnote w:type="continuationSeparator" w:id="0">
    <w:p w14:paraId="1AA40E96" w14:textId="77777777" w:rsidR="00590CF7" w:rsidRDefault="00590CF7">
      <w:r>
        <w:continuationSeparator/>
      </w:r>
    </w:p>
  </w:endnote>
  <w:endnote w:type="continuationNotice" w:id="1">
    <w:p w14:paraId="2D3936D5" w14:textId="77777777" w:rsidR="00590CF7" w:rsidRDefault="00590C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1u/8l+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16ADA" w14:textId="77777777" w:rsidR="00590CF7" w:rsidRDefault="00590CF7">
      <w:r>
        <w:separator/>
      </w:r>
    </w:p>
  </w:footnote>
  <w:footnote w:type="continuationSeparator" w:id="0">
    <w:p w14:paraId="58CD8B53" w14:textId="77777777" w:rsidR="00590CF7" w:rsidRDefault="00590CF7">
      <w:r>
        <w:continuationSeparator/>
      </w:r>
    </w:p>
  </w:footnote>
  <w:footnote w:type="continuationNotice" w:id="1">
    <w:p w14:paraId="62EA5207" w14:textId="77777777" w:rsidR="00590CF7" w:rsidRDefault="00590C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6AE0294"/>
    <w:multiLevelType w:val="hybridMultilevel"/>
    <w:tmpl w:val="4A0C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8"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EE839E7"/>
    <w:multiLevelType w:val="hybridMultilevel"/>
    <w:tmpl w:val="EB20DDAE"/>
    <w:lvl w:ilvl="0" w:tplc="0809000F">
      <w:start w:val="1"/>
      <w:numFmt w:val="decimal"/>
      <w:lvlText w:val="%1."/>
      <w:lvlJc w:val="left"/>
      <w:pPr>
        <w:tabs>
          <w:tab w:val="num" w:pos="720"/>
        </w:tabs>
        <w:ind w:left="720" w:hanging="360"/>
      </w:pPr>
      <w:rPr>
        <w:rFonts w:hint="default"/>
      </w:rPr>
    </w:lvl>
    <w:lvl w:ilvl="1" w:tplc="0596CCA4" w:tentative="1">
      <w:start w:val="1"/>
      <w:numFmt w:val="bullet"/>
      <w:lvlText w:val="•"/>
      <w:lvlJc w:val="left"/>
      <w:pPr>
        <w:tabs>
          <w:tab w:val="num" w:pos="1440"/>
        </w:tabs>
        <w:ind w:left="1440" w:hanging="360"/>
      </w:pPr>
      <w:rPr>
        <w:rFonts w:ascii="Times New Roman" w:hAnsi="Times New Roman" w:hint="default"/>
      </w:rPr>
    </w:lvl>
    <w:lvl w:ilvl="2" w:tplc="6534D522" w:tentative="1">
      <w:start w:val="1"/>
      <w:numFmt w:val="bullet"/>
      <w:lvlText w:val="•"/>
      <w:lvlJc w:val="left"/>
      <w:pPr>
        <w:tabs>
          <w:tab w:val="num" w:pos="2160"/>
        </w:tabs>
        <w:ind w:left="2160" w:hanging="360"/>
      </w:pPr>
      <w:rPr>
        <w:rFonts w:ascii="Times New Roman" w:hAnsi="Times New Roman" w:hint="default"/>
      </w:rPr>
    </w:lvl>
    <w:lvl w:ilvl="3" w:tplc="0EA08EB6" w:tentative="1">
      <w:start w:val="1"/>
      <w:numFmt w:val="bullet"/>
      <w:lvlText w:val="•"/>
      <w:lvlJc w:val="left"/>
      <w:pPr>
        <w:tabs>
          <w:tab w:val="num" w:pos="2880"/>
        </w:tabs>
        <w:ind w:left="2880" w:hanging="360"/>
      </w:pPr>
      <w:rPr>
        <w:rFonts w:ascii="Times New Roman" w:hAnsi="Times New Roman" w:hint="default"/>
      </w:rPr>
    </w:lvl>
    <w:lvl w:ilvl="4" w:tplc="87C4E7F4" w:tentative="1">
      <w:start w:val="1"/>
      <w:numFmt w:val="bullet"/>
      <w:lvlText w:val="•"/>
      <w:lvlJc w:val="left"/>
      <w:pPr>
        <w:tabs>
          <w:tab w:val="num" w:pos="3600"/>
        </w:tabs>
        <w:ind w:left="3600" w:hanging="360"/>
      </w:pPr>
      <w:rPr>
        <w:rFonts w:ascii="Times New Roman" w:hAnsi="Times New Roman" w:hint="default"/>
      </w:rPr>
    </w:lvl>
    <w:lvl w:ilvl="5" w:tplc="0256E270" w:tentative="1">
      <w:start w:val="1"/>
      <w:numFmt w:val="bullet"/>
      <w:lvlText w:val="•"/>
      <w:lvlJc w:val="left"/>
      <w:pPr>
        <w:tabs>
          <w:tab w:val="num" w:pos="4320"/>
        </w:tabs>
        <w:ind w:left="4320" w:hanging="360"/>
      </w:pPr>
      <w:rPr>
        <w:rFonts w:ascii="Times New Roman" w:hAnsi="Times New Roman" w:hint="default"/>
      </w:rPr>
    </w:lvl>
    <w:lvl w:ilvl="6" w:tplc="67E428CA" w:tentative="1">
      <w:start w:val="1"/>
      <w:numFmt w:val="bullet"/>
      <w:lvlText w:val="•"/>
      <w:lvlJc w:val="left"/>
      <w:pPr>
        <w:tabs>
          <w:tab w:val="num" w:pos="5040"/>
        </w:tabs>
        <w:ind w:left="5040" w:hanging="360"/>
      </w:pPr>
      <w:rPr>
        <w:rFonts w:ascii="Times New Roman" w:hAnsi="Times New Roman" w:hint="default"/>
      </w:rPr>
    </w:lvl>
    <w:lvl w:ilvl="7" w:tplc="292E5302" w:tentative="1">
      <w:start w:val="1"/>
      <w:numFmt w:val="bullet"/>
      <w:lvlText w:val="•"/>
      <w:lvlJc w:val="left"/>
      <w:pPr>
        <w:tabs>
          <w:tab w:val="num" w:pos="5760"/>
        </w:tabs>
        <w:ind w:left="5760" w:hanging="360"/>
      </w:pPr>
      <w:rPr>
        <w:rFonts w:ascii="Times New Roman" w:hAnsi="Times New Roman" w:hint="default"/>
      </w:rPr>
    </w:lvl>
    <w:lvl w:ilvl="8" w:tplc="F1DAC41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3"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4"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2"/>
  </w:num>
  <w:num w:numId="5">
    <w:abstractNumId w:val="3"/>
  </w:num>
  <w:num w:numId="6">
    <w:abstractNumId w:val="12"/>
  </w:num>
  <w:num w:numId="7">
    <w:abstractNumId w:val="23"/>
  </w:num>
  <w:num w:numId="8">
    <w:abstractNumId w:val="28"/>
  </w:num>
  <w:num w:numId="9">
    <w:abstractNumId w:val="9"/>
  </w:num>
  <w:num w:numId="10">
    <w:abstractNumId w:val="24"/>
  </w:num>
  <w:num w:numId="11">
    <w:abstractNumId w:val="6"/>
  </w:num>
  <w:num w:numId="12">
    <w:abstractNumId w:val="21"/>
  </w:num>
  <w:num w:numId="13">
    <w:abstractNumId w:val="4"/>
  </w:num>
  <w:num w:numId="14">
    <w:abstractNumId w:val="16"/>
  </w:num>
  <w:num w:numId="15">
    <w:abstractNumId w:val="20"/>
  </w:num>
  <w:num w:numId="16">
    <w:abstractNumId w:val="10"/>
  </w:num>
  <w:num w:numId="17">
    <w:abstractNumId w:val="7"/>
  </w:num>
  <w:num w:numId="18">
    <w:abstractNumId w:val="2"/>
  </w:num>
  <w:num w:numId="19">
    <w:abstractNumId w:val="0"/>
  </w:num>
  <w:num w:numId="20">
    <w:abstractNumId w:val="1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5"/>
  </w:num>
  <w:num w:numId="24">
    <w:abstractNumId w:val="26"/>
  </w:num>
  <w:num w:numId="25">
    <w:abstractNumId w:val="13"/>
  </w:num>
  <w:num w:numId="26">
    <w:abstractNumId w:val="17"/>
  </w:num>
  <w:num w:numId="27">
    <w:abstractNumId w:val="5"/>
  </w:num>
  <w:num w:numId="28">
    <w:abstractNumId w:val="27"/>
  </w:num>
  <w:num w:numId="29">
    <w:abstractNumId w:val="1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09A5"/>
    <w:rsid w:val="00092861"/>
    <w:rsid w:val="000B50EB"/>
    <w:rsid w:val="000C5A06"/>
    <w:rsid w:val="000D2F68"/>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085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1F04D2"/>
    <w:rsid w:val="00204199"/>
    <w:rsid w:val="0022647E"/>
    <w:rsid w:val="00230A23"/>
    <w:rsid w:val="00233196"/>
    <w:rsid w:val="002362C3"/>
    <w:rsid w:val="0024355C"/>
    <w:rsid w:val="002444FD"/>
    <w:rsid w:val="00253F1C"/>
    <w:rsid w:val="0025680A"/>
    <w:rsid w:val="00263B66"/>
    <w:rsid w:val="00266D7B"/>
    <w:rsid w:val="00271770"/>
    <w:rsid w:val="00275C47"/>
    <w:rsid w:val="00285668"/>
    <w:rsid w:val="0029604A"/>
    <w:rsid w:val="002A21E9"/>
    <w:rsid w:val="002C0CE1"/>
    <w:rsid w:val="002C1C1E"/>
    <w:rsid w:val="002C4061"/>
    <w:rsid w:val="002C458F"/>
    <w:rsid w:val="002D1ACD"/>
    <w:rsid w:val="002D5505"/>
    <w:rsid w:val="002E7764"/>
    <w:rsid w:val="002F7837"/>
    <w:rsid w:val="00307F8F"/>
    <w:rsid w:val="003315F6"/>
    <w:rsid w:val="003364D9"/>
    <w:rsid w:val="0034116F"/>
    <w:rsid w:val="00341ADD"/>
    <w:rsid w:val="00342421"/>
    <w:rsid w:val="00342485"/>
    <w:rsid w:val="00357A3C"/>
    <w:rsid w:val="00366224"/>
    <w:rsid w:val="003715DC"/>
    <w:rsid w:val="00380EFE"/>
    <w:rsid w:val="003914FC"/>
    <w:rsid w:val="0039601C"/>
    <w:rsid w:val="00397D05"/>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24645"/>
    <w:rsid w:val="004320A3"/>
    <w:rsid w:val="00435380"/>
    <w:rsid w:val="00437191"/>
    <w:rsid w:val="00441169"/>
    <w:rsid w:val="00443060"/>
    <w:rsid w:val="00450419"/>
    <w:rsid w:val="00455B1C"/>
    <w:rsid w:val="00466D51"/>
    <w:rsid w:val="00477213"/>
    <w:rsid w:val="00494ACA"/>
    <w:rsid w:val="00494B63"/>
    <w:rsid w:val="004A03A7"/>
    <w:rsid w:val="004A0E8C"/>
    <w:rsid w:val="004A3055"/>
    <w:rsid w:val="004B598A"/>
    <w:rsid w:val="004B63FF"/>
    <w:rsid w:val="004C25B8"/>
    <w:rsid w:val="004C2F6D"/>
    <w:rsid w:val="004C4E6F"/>
    <w:rsid w:val="004C7379"/>
    <w:rsid w:val="004D3C65"/>
    <w:rsid w:val="004D6C92"/>
    <w:rsid w:val="004D6FDA"/>
    <w:rsid w:val="004D7A73"/>
    <w:rsid w:val="004E16BF"/>
    <w:rsid w:val="004E4D17"/>
    <w:rsid w:val="004F6E96"/>
    <w:rsid w:val="0050050F"/>
    <w:rsid w:val="005026F4"/>
    <w:rsid w:val="005231E9"/>
    <w:rsid w:val="00530280"/>
    <w:rsid w:val="0054294A"/>
    <w:rsid w:val="00550C8E"/>
    <w:rsid w:val="005609B9"/>
    <w:rsid w:val="00573B63"/>
    <w:rsid w:val="00585904"/>
    <w:rsid w:val="00590CF7"/>
    <w:rsid w:val="0059298B"/>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67E5"/>
    <w:rsid w:val="00656847"/>
    <w:rsid w:val="006641AE"/>
    <w:rsid w:val="0066509B"/>
    <w:rsid w:val="0067066C"/>
    <w:rsid w:val="006747A9"/>
    <w:rsid w:val="0068195A"/>
    <w:rsid w:val="006A7496"/>
    <w:rsid w:val="006B25E2"/>
    <w:rsid w:val="006B574C"/>
    <w:rsid w:val="006C0BFF"/>
    <w:rsid w:val="006C14D3"/>
    <w:rsid w:val="006C5231"/>
    <w:rsid w:val="006D197F"/>
    <w:rsid w:val="006D535D"/>
    <w:rsid w:val="006D57EC"/>
    <w:rsid w:val="006D7ED3"/>
    <w:rsid w:val="006E052E"/>
    <w:rsid w:val="006E4714"/>
    <w:rsid w:val="006E5464"/>
    <w:rsid w:val="006E7349"/>
    <w:rsid w:val="006F1196"/>
    <w:rsid w:val="006F4101"/>
    <w:rsid w:val="006F542E"/>
    <w:rsid w:val="00703134"/>
    <w:rsid w:val="00706FF4"/>
    <w:rsid w:val="00710AC8"/>
    <w:rsid w:val="00716C44"/>
    <w:rsid w:val="00720026"/>
    <w:rsid w:val="00720A19"/>
    <w:rsid w:val="0073046A"/>
    <w:rsid w:val="0073339B"/>
    <w:rsid w:val="00733806"/>
    <w:rsid w:val="00735BDA"/>
    <w:rsid w:val="00736E27"/>
    <w:rsid w:val="0073794A"/>
    <w:rsid w:val="00751EB4"/>
    <w:rsid w:val="00752DF3"/>
    <w:rsid w:val="00753820"/>
    <w:rsid w:val="00755671"/>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3939"/>
    <w:rsid w:val="009143FB"/>
    <w:rsid w:val="009144AD"/>
    <w:rsid w:val="0091741E"/>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D71B2"/>
    <w:rsid w:val="009E5DA0"/>
    <w:rsid w:val="009E72DB"/>
    <w:rsid w:val="009F2A28"/>
    <w:rsid w:val="009F6BE6"/>
    <w:rsid w:val="00A0210C"/>
    <w:rsid w:val="00A02128"/>
    <w:rsid w:val="00A03D58"/>
    <w:rsid w:val="00A05C81"/>
    <w:rsid w:val="00A066DF"/>
    <w:rsid w:val="00A16AD5"/>
    <w:rsid w:val="00A20475"/>
    <w:rsid w:val="00A23F61"/>
    <w:rsid w:val="00A25541"/>
    <w:rsid w:val="00A255CA"/>
    <w:rsid w:val="00A33386"/>
    <w:rsid w:val="00A34455"/>
    <w:rsid w:val="00A37409"/>
    <w:rsid w:val="00A3741F"/>
    <w:rsid w:val="00A46EB1"/>
    <w:rsid w:val="00A52056"/>
    <w:rsid w:val="00A545B7"/>
    <w:rsid w:val="00A54D20"/>
    <w:rsid w:val="00A653BF"/>
    <w:rsid w:val="00A65677"/>
    <w:rsid w:val="00A73379"/>
    <w:rsid w:val="00A8743A"/>
    <w:rsid w:val="00A93DF7"/>
    <w:rsid w:val="00A9498E"/>
    <w:rsid w:val="00A95F62"/>
    <w:rsid w:val="00AA432E"/>
    <w:rsid w:val="00AB0AA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83F4A"/>
    <w:rsid w:val="00C97BB3"/>
    <w:rsid w:val="00CA55D1"/>
    <w:rsid w:val="00CB5E2A"/>
    <w:rsid w:val="00CB718F"/>
    <w:rsid w:val="00CD3BC5"/>
    <w:rsid w:val="00CD5399"/>
    <w:rsid w:val="00CF32A2"/>
    <w:rsid w:val="00CF32E0"/>
    <w:rsid w:val="00D0058C"/>
    <w:rsid w:val="00D029DA"/>
    <w:rsid w:val="00D0494C"/>
    <w:rsid w:val="00D06D0F"/>
    <w:rsid w:val="00D16961"/>
    <w:rsid w:val="00D248AF"/>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61181"/>
    <w:rsid w:val="00E62643"/>
    <w:rsid w:val="00E8073E"/>
    <w:rsid w:val="00E80D3E"/>
    <w:rsid w:val="00E86F72"/>
    <w:rsid w:val="00E91F09"/>
    <w:rsid w:val="00EA52AC"/>
    <w:rsid w:val="00EB0A9A"/>
    <w:rsid w:val="00EB29E9"/>
    <w:rsid w:val="00EB5433"/>
    <w:rsid w:val="00EC1901"/>
    <w:rsid w:val="00EC63FC"/>
    <w:rsid w:val="00ED0EB4"/>
    <w:rsid w:val="00EE1E08"/>
    <w:rsid w:val="00EE5C93"/>
    <w:rsid w:val="00EE7E87"/>
    <w:rsid w:val="00EF0A89"/>
    <w:rsid w:val="00F00275"/>
    <w:rsid w:val="00F06A45"/>
    <w:rsid w:val="00F13F0D"/>
    <w:rsid w:val="00F23127"/>
    <w:rsid w:val="00F30916"/>
    <w:rsid w:val="00F37478"/>
    <w:rsid w:val="00F420FD"/>
    <w:rsid w:val="00F42F8D"/>
    <w:rsid w:val="00F45AFC"/>
    <w:rsid w:val="00F53B06"/>
    <w:rsid w:val="00F558B4"/>
    <w:rsid w:val="00F5652C"/>
    <w:rsid w:val="00F60540"/>
    <w:rsid w:val="00F62F81"/>
    <w:rsid w:val="00F63794"/>
    <w:rsid w:val="00F934C3"/>
    <w:rsid w:val="00F97037"/>
    <w:rsid w:val="00FA4A6F"/>
    <w:rsid w:val="00FA5FC1"/>
    <w:rsid w:val="00FB349D"/>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 w:type="character" w:styleId="Strong">
    <w:name w:val="Strong"/>
    <w:basedOn w:val="DefaultParagraphFont"/>
    <w:uiPriority w:val="22"/>
    <w:qFormat/>
    <w:rsid w:val="002856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207184572">
      <w:bodyDiv w:val="1"/>
      <w:marLeft w:val="0"/>
      <w:marRight w:val="0"/>
      <w:marTop w:val="0"/>
      <w:marBottom w:val="0"/>
      <w:divBdr>
        <w:top w:val="none" w:sz="0" w:space="0" w:color="auto"/>
        <w:left w:val="none" w:sz="0" w:space="0" w:color="auto"/>
        <w:bottom w:val="none" w:sz="0" w:space="0" w:color="auto"/>
        <w:right w:val="none" w:sz="0" w:space="0" w:color="auto"/>
      </w:divBdr>
      <w:divsChild>
        <w:div w:id="11882505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emp-law/abou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emp-law/student-tutor-upda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practical-guidance-a-z/employment-law-resources" TargetMode="Externa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about"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practical-guidance-a-z/employment-law-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emp-law/student-tutor-update" TargetMode="External"/><Relationship Id="rId22" Type="http://schemas.openxmlformats.org/officeDocument/2006/relationships/footer" Target="foot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1565</Words>
  <Characters>8923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Ffion Evans (Hywel Dda UHB - Medical Workforce Officer)</cp:lastModifiedBy>
  <cp:revision>47</cp:revision>
  <cp:lastPrinted>2021-01-19T15:50:00Z</cp:lastPrinted>
  <dcterms:created xsi:type="dcterms:W3CDTF">2022-02-09T10:15:00Z</dcterms:created>
  <dcterms:modified xsi:type="dcterms:W3CDTF">2022-03-15T17:39:00Z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