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571E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9C0A59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140F4D7" w14:textId="77777777" w:rsidTr="00A55876">
        <w:tc>
          <w:tcPr>
            <w:tcW w:w="10670" w:type="dxa"/>
            <w:shd w:val="clear" w:color="auto" w:fill="C0C0C0"/>
          </w:tcPr>
          <w:p w14:paraId="1E9E05C0"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14:paraId="2F4F5371"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03FD86F8"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2AE13FB5" w14:textId="77777777" w:rsidTr="001A24F3">
        <w:tc>
          <w:tcPr>
            <w:tcW w:w="2093" w:type="dxa"/>
            <w:shd w:val="pct15" w:color="auto" w:fill="auto"/>
          </w:tcPr>
          <w:p w14:paraId="302F87A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A74B870" w14:textId="50B950EC"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r w:rsidR="00C109C8">
              <w:rPr>
                <w:rFonts w:ascii="Calibri" w:hAnsi="Calibri" w:cs="Arial"/>
                <w:b/>
                <w:sz w:val="22"/>
                <w:szCs w:val="22"/>
              </w:rPr>
              <w:t>Daniel Price</w:t>
            </w:r>
          </w:p>
        </w:tc>
        <w:tc>
          <w:tcPr>
            <w:tcW w:w="2613" w:type="dxa"/>
            <w:shd w:val="clear" w:color="auto" w:fill="D9D9D9"/>
          </w:tcPr>
          <w:p w14:paraId="5AD46A3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1FABAE9" w14:textId="30FDD8E0" w:rsidR="003B3F9D" w:rsidRPr="00C1361B" w:rsidRDefault="00C109C8" w:rsidP="001E57C1">
            <w:pPr>
              <w:spacing w:before="120" w:after="120"/>
              <w:jc w:val="both"/>
              <w:rPr>
                <w:rFonts w:ascii="Calibri" w:hAnsi="Calibri" w:cs="Arial"/>
                <w:b/>
                <w:sz w:val="22"/>
                <w:szCs w:val="22"/>
              </w:rPr>
            </w:pPr>
            <w:r>
              <w:rPr>
                <w:rFonts w:ascii="Calibri" w:hAnsi="Calibri" w:cs="Arial"/>
                <w:b/>
                <w:sz w:val="22"/>
                <w:szCs w:val="22"/>
              </w:rPr>
              <w:t>1700595</w:t>
            </w:r>
            <w:bookmarkStart w:id="0" w:name="_GoBack"/>
            <w:bookmarkEnd w:id="0"/>
          </w:p>
        </w:tc>
      </w:tr>
      <w:tr w:rsidR="00DB116D" w:rsidRPr="00C1361B" w14:paraId="65B98E61" w14:textId="77777777" w:rsidTr="001A24F3">
        <w:tc>
          <w:tcPr>
            <w:tcW w:w="2093" w:type="dxa"/>
            <w:shd w:val="pct15" w:color="auto" w:fill="auto"/>
          </w:tcPr>
          <w:p w14:paraId="1E55CC0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5C814178" w14:textId="6C12B008" w:rsidR="00DB116D" w:rsidRPr="008566E5" w:rsidRDefault="007423C5" w:rsidP="00B53B62">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00FB5CF8" w:rsidRPr="00C1361B" w14:paraId="2D85E5DF" w14:textId="77777777" w:rsidTr="001A24F3">
        <w:tc>
          <w:tcPr>
            <w:tcW w:w="2093" w:type="dxa"/>
            <w:shd w:val="pct15" w:color="auto" w:fill="auto"/>
          </w:tcPr>
          <w:p w14:paraId="1A980DC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5654A23E" w14:textId="157ED01D" w:rsidR="00FB5CF8" w:rsidRPr="00C1361B" w:rsidRDefault="007866E5" w:rsidP="00EA6801">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7E10B67"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F7F30F4" w14:textId="01FA5467" w:rsidR="00FB5CF8" w:rsidRPr="00C1361B" w:rsidRDefault="007423C5" w:rsidP="007866E5">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00B84B5B" w:rsidRPr="00C1361B" w14:paraId="79A265BB" w14:textId="77777777" w:rsidTr="001A24F3">
        <w:tc>
          <w:tcPr>
            <w:tcW w:w="2093" w:type="dxa"/>
            <w:shd w:val="pct15" w:color="auto" w:fill="auto"/>
          </w:tcPr>
          <w:p w14:paraId="04D05EB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48CDC5D4" w14:textId="7F227972" w:rsidR="00B84B5B" w:rsidRPr="00C1361B" w:rsidRDefault="00E3293C" w:rsidP="00152E9D">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192B3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29E30A34"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060B46A9" w14:textId="29A14BCA"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4F3D72FF" w14:textId="77777777" w:rsidTr="00BA6B2C">
        <w:tc>
          <w:tcPr>
            <w:tcW w:w="2093" w:type="dxa"/>
            <w:shd w:val="pct15" w:color="auto" w:fill="auto"/>
          </w:tcPr>
          <w:p w14:paraId="6625BACE"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507C650D" w14:textId="510BBF2B" w:rsidR="00BA6B2C" w:rsidRPr="00C1361B" w:rsidRDefault="00E3293C"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90C1982" w14:textId="77777777" w:rsidTr="001A24F3">
        <w:tc>
          <w:tcPr>
            <w:tcW w:w="2093" w:type="dxa"/>
            <w:shd w:val="pct15" w:color="auto" w:fill="auto"/>
          </w:tcPr>
          <w:p w14:paraId="037181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14:paraId="3477205B" w14:textId="4EE1ABF9" w:rsidR="00DB116D" w:rsidRPr="00F67644" w:rsidRDefault="00BC0EEA" w:rsidP="00BC0EEA">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592102D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276223B" w14:textId="0BA4BD3F"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21437509" w14:textId="77777777" w:rsidTr="001A24F3">
        <w:tc>
          <w:tcPr>
            <w:tcW w:w="2093" w:type="dxa"/>
            <w:shd w:val="pct15" w:color="auto" w:fill="auto"/>
          </w:tcPr>
          <w:p w14:paraId="103B7588"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5418AC0F" w14:textId="77777777" w:rsidR="00B84B5B" w:rsidRPr="00C1361B" w:rsidRDefault="00B84B5B" w:rsidP="005F0579">
            <w:pPr>
              <w:spacing w:before="120" w:after="120"/>
              <w:jc w:val="both"/>
              <w:rPr>
                <w:rFonts w:ascii="Calibri" w:hAnsi="Calibri" w:cs="Arial"/>
                <w:b/>
                <w:sz w:val="22"/>
                <w:szCs w:val="22"/>
              </w:rPr>
            </w:pPr>
          </w:p>
        </w:tc>
        <w:tc>
          <w:tcPr>
            <w:tcW w:w="2613" w:type="dxa"/>
            <w:shd w:val="pct15" w:color="auto" w:fill="auto"/>
          </w:tcPr>
          <w:p w14:paraId="518DAA7E"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14:paraId="42D284F5" w14:textId="04BBE341" w:rsidR="00B84B5B"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00152E9D" w:rsidRPr="00C1361B" w14:paraId="2269790A" w14:textId="77777777" w:rsidTr="00152E9D">
        <w:tc>
          <w:tcPr>
            <w:tcW w:w="2093" w:type="dxa"/>
            <w:shd w:val="pct15" w:color="auto" w:fill="auto"/>
          </w:tcPr>
          <w:p w14:paraId="33ED9F6E" w14:textId="58D4DABE"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14:paraId="3E0A0B8A" w14:textId="77D589BB" w:rsidR="007866E5"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bl>
    <w:p w14:paraId="4355282F" w14:textId="694E0065"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08D345A" w14:textId="77777777">
        <w:trPr>
          <w:trHeight w:val="421"/>
        </w:trPr>
        <w:tc>
          <w:tcPr>
            <w:tcW w:w="1809" w:type="dxa"/>
            <w:tcBorders>
              <w:top w:val="single" w:sz="6" w:space="0" w:color="auto"/>
            </w:tcBorders>
            <w:shd w:val="clear" w:color="auto" w:fill="D9D9D9"/>
          </w:tcPr>
          <w:p w14:paraId="34F36BB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97820BF"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14FF598C" w14:textId="77777777" w:rsidTr="00BA1176">
        <w:trPr>
          <w:trHeight w:val="666"/>
        </w:trPr>
        <w:tc>
          <w:tcPr>
            <w:tcW w:w="1809" w:type="dxa"/>
            <w:tcBorders>
              <w:top w:val="single" w:sz="6" w:space="0" w:color="auto"/>
            </w:tcBorders>
            <w:shd w:val="clear" w:color="auto" w:fill="D9D9D9"/>
          </w:tcPr>
          <w:p w14:paraId="141E2901"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6417C9B4"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FA1DD06"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7FA918D3"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52A5B5A" w14:textId="77777777" w:rsidR="00FB5CF8" w:rsidRPr="00C1361B" w:rsidRDefault="00FB5CF8" w:rsidP="00FB5CF8">
            <w:pPr>
              <w:rPr>
                <w:rFonts w:ascii="Calibri" w:hAnsi="Calibri" w:cs="Arial"/>
                <w:b/>
              </w:rPr>
            </w:pPr>
          </w:p>
        </w:tc>
      </w:tr>
    </w:tbl>
    <w:p w14:paraId="231B1F23"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6891BFCE" w14:textId="77777777" w:rsidTr="00152E9D">
        <w:trPr>
          <w:trHeight w:val="386"/>
        </w:trPr>
        <w:tc>
          <w:tcPr>
            <w:tcW w:w="9464" w:type="dxa"/>
            <w:vMerge w:val="restart"/>
            <w:shd w:val="pct15" w:color="auto" w:fill="auto"/>
          </w:tcPr>
          <w:p w14:paraId="62863B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14:paraId="52B61ED5"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FC9B782" w14:textId="77777777" w:rsidR="00BA1176" w:rsidRPr="00BF30FF" w:rsidRDefault="00BA1176" w:rsidP="00B81AD3">
            <w:pPr>
              <w:spacing w:before="120" w:after="120"/>
              <w:jc w:val="both"/>
              <w:rPr>
                <w:rFonts w:ascii="Calibri" w:hAnsi="Calibri" w:cs="Calibri"/>
                <w:b/>
              </w:rPr>
            </w:pPr>
          </w:p>
        </w:tc>
      </w:tr>
      <w:tr w:rsidR="00BA1176" w:rsidRPr="00BF30FF" w14:paraId="2E5F7482" w14:textId="77777777" w:rsidTr="00152E9D">
        <w:trPr>
          <w:trHeight w:val="408"/>
        </w:trPr>
        <w:tc>
          <w:tcPr>
            <w:tcW w:w="9464" w:type="dxa"/>
            <w:vMerge/>
            <w:shd w:val="pct15" w:color="auto" w:fill="auto"/>
          </w:tcPr>
          <w:p w14:paraId="3A7829E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EECB4F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9E697EE" w14:textId="44D97981"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1F055A0C" w14:textId="27F85878" w:rsidR="0028204E" w:rsidRDefault="0028204E" w:rsidP="00DB116D">
      <w:pPr>
        <w:rPr>
          <w:sz w:val="32"/>
        </w:rPr>
      </w:pPr>
    </w:p>
    <w:p w14:paraId="7D66CCE8" w14:textId="6BCFCDE6" w:rsidR="0025277B" w:rsidRDefault="0025277B" w:rsidP="00DB116D">
      <w:pPr>
        <w:rPr>
          <w:sz w:val="32"/>
        </w:rPr>
      </w:pPr>
    </w:p>
    <w:p w14:paraId="1E1AE6DE" w14:textId="0917A54C" w:rsidR="0025277B" w:rsidRDefault="0025277B" w:rsidP="00DB116D">
      <w:pPr>
        <w:rPr>
          <w:sz w:val="32"/>
        </w:rPr>
      </w:pPr>
    </w:p>
    <w:p w14:paraId="6B2D157F" w14:textId="3B9E8E84" w:rsidR="0025277B" w:rsidRDefault="0025277B" w:rsidP="00DB116D">
      <w:pPr>
        <w:rPr>
          <w:sz w:val="32"/>
        </w:rPr>
      </w:pPr>
    </w:p>
    <w:p w14:paraId="4CCE2EA7" w14:textId="1CE08833" w:rsidR="0025277B" w:rsidRDefault="0025277B" w:rsidP="00DB116D">
      <w:pPr>
        <w:rPr>
          <w:sz w:val="32"/>
        </w:rPr>
      </w:pPr>
    </w:p>
    <w:p w14:paraId="6CD5C399" w14:textId="5FBDB1D3" w:rsidR="0025277B" w:rsidRDefault="0025277B" w:rsidP="00DB116D">
      <w:pPr>
        <w:rPr>
          <w:sz w:val="32"/>
        </w:rPr>
      </w:pPr>
    </w:p>
    <w:p w14:paraId="0B5BE590" w14:textId="5F828D18" w:rsidR="0025277B" w:rsidRDefault="0025277B" w:rsidP="00DB116D">
      <w:pPr>
        <w:rPr>
          <w:sz w:val="32"/>
        </w:rPr>
      </w:pPr>
    </w:p>
    <w:p w14:paraId="560A618A" w14:textId="58E57FC5" w:rsidR="0025277B" w:rsidRDefault="0025277B" w:rsidP="0025277B">
      <w:pPr>
        <w:rPr>
          <w:rFonts w:asciiTheme="majorHAnsi" w:hAnsiTheme="majorHAnsi" w:cstheme="majorHAnsi"/>
          <w:sz w:val="28"/>
          <w:szCs w:val="24"/>
          <w:u w:val="single"/>
        </w:rPr>
      </w:pPr>
      <w:r w:rsidRPr="0025277B">
        <w:rPr>
          <w:rFonts w:asciiTheme="majorHAnsi" w:hAnsiTheme="majorHAnsi" w:cstheme="majorHAnsi"/>
          <w:sz w:val="28"/>
          <w:szCs w:val="24"/>
          <w:u w:val="single"/>
        </w:rPr>
        <w:t xml:space="preserve">Introduction </w:t>
      </w:r>
    </w:p>
    <w:p w14:paraId="77638387" w14:textId="77777777" w:rsidR="0025277B" w:rsidRPr="0025277B" w:rsidRDefault="0025277B" w:rsidP="0025277B">
      <w:pPr>
        <w:rPr>
          <w:rFonts w:asciiTheme="majorHAnsi" w:hAnsiTheme="majorHAnsi" w:cstheme="majorHAnsi"/>
          <w:sz w:val="28"/>
          <w:szCs w:val="24"/>
          <w:u w:val="single"/>
        </w:rPr>
      </w:pPr>
    </w:p>
    <w:p w14:paraId="674CD77A" w14:textId="77777777" w:rsidR="0025277B" w:rsidRPr="0025277B" w:rsidRDefault="0025277B" w:rsidP="0025277B">
      <w:pPr>
        <w:pStyle w:val="NormalWeb"/>
        <w:rPr>
          <w:rFonts w:asciiTheme="majorHAnsi" w:hAnsiTheme="majorHAnsi" w:cstheme="majorHAnsi"/>
          <w:szCs w:val="24"/>
        </w:rPr>
      </w:pPr>
      <w:r w:rsidRPr="0025277B">
        <w:rPr>
          <w:rFonts w:asciiTheme="majorHAnsi" w:hAnsiTheme="majorHAnsi" w:cstheme="majorHAnsi"/>
          <w:szCs w:val="24"/>
        </w:rPr>
        <w:t>School X is a ‘large 11-18 mixed comprehensive school’ in Swansea with 1700 pupils on roll, roughly 400 of these in the school’s Sixth Form. The pupils who attend School X are from varied social backgrounds, with 14% coming from ethnic minority families and 9.1% coming from homes where English is the not the first language. Also, the academic achievement of this school is above national average and the ‘percentage of pupils eligible for free school meals’ falls below the national average (</w:t>
      </w:r>
      <w:proofErr w:type="spellStart"/>
      <w:r w:rsidRPr="0025277B">
        <w:rPr>
          <w:rFonts w:asciiTheme="majorHAnsi" w:hAnsiTheme="majorHAnsi" w:cstheme="majorHAnsi"/>
          <w:szCs w:val="24"/>
        </w:rPr>
        <w:t>Estyn</w:t>
      </w:r>
      <w:proofErr w:type="spellEnd"/>
      <w:r w:rsidRPr="0025277B">
        <w:rPr>
          <w:rFonts w:asciiTheme="majorHAnsi" w:hAnsiTheme="majorHAnsi" w:cstheme="majorHAnsi"/>
          <w:szCs w:val="24"/>
        </w:rPr>
        <w:t xml:space="preserve">, 2011). All of the classes at School X are mixed ability, and my chosen class is no different. It is a mixed ability, year 9 group, with the learners’ abilities ranging from level 5 to level 7. In English reading assessments, the learners are required to produce written responses, referring to the text in their writing. I will be researching the impact of shared writing approaches on learners’ written responses to a reading assessment.  </w:t>
      </w:r>
    </w:p>
    <w:p w14:paraId="09F35630" w14:textId="77777777" w:rsidR="0025277B" w:rsidRPr="0025277B" w:rsidRDefault="0025277B" w:rsidP="0025277B">
      <w:pPr>
        <w:rPr>
          <w:rFonts w:asciiTheme="majorHAnsi" w:hAnsiTheme="majorHAnsi" w:cstheme="majorHAnsi"/>
          <w:sz w:val="24"/>
          <w:szCs w:val="24"/>
          <w:u w:val="single"/>
        </w:rPr>
      </w:pPr>
    </w:p>
    <w:p w14:paraId="573E345F" w14:textId="77777777" w:rsidR="0025277B" w:rsidRPr="0025277B" w:rsidRDefault="0025277B" w:rsidP="0025277B">
      <w:pPr>
        <w:rPr>
          <w:rFonts w:asciiTheme="majorHAnsi" w:hAnsiTheme="majorHAnsi" w:cstheme="majorHAnsi"/>
          <w:sz w:val="28"/>
          <w:szCs w:val="24"/>
          <w:u w:val="single"/>
        </w:rPr>
      </w:pPr>
      <w:r w:rsidRPr="0025277B">
        <w:rPr>
          <w:rFonts w:asciiTheme="majorHAnsi" w:hAnsiTheme="majorHAnsi" w:cstheme="majorHAnsi"/>
          <w:sz w:val="28"/>
          <w:szCs w:val="24"/>
          <w:u w:val="single"/>
        </w:rPr>
        <w:t xml:space="preserve">Literature Review </w:t>
      </w:r>
    </w:p>
    <w:p w14:paraId="086BFE8D" w14:textId="77777777" w:rsidR="0025277B" w:rsidRPr="0025277B" w:rsidRDefault="0025277B" w:rsidP="0025277B">
      <w:pPr>
        <w:rPr>
          <w:rFonts w:asciiTheme="majorHAnsi" w:hAnsiTheme="majorHAnsi" w:cstheme="majorHAnsi"/>
          <w:sz w:val="24"/>
          <w:szCs w:val="24"/>
          <w:u w:val="single"/>
        </w:rPr>
      </w:pPr>
    </w:p>
    <w:p w14:paraId="32111920"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In English, for KS3 reading assessments, learners are given a question in relation to a specific text. Their responses must aim to answer the given question, making explicit reference to the text provided. These responses must be written, and so my research looks at the impact shared writing can have on reading assessment responses. </w:t>
      </w:r>
    </w:p>
    <w:p w14:paraId="54FDB96A" w14:textId="77777777" w:rsidR="0025277B" w:rsidRPr="0025277B" w:rsidRDefault="0025277B" w:rsidP="0025277B">
      <w:pPr>
        <w:rPr>
          <w:rFonts w:asciiTheme="majorHAnsi" w:hAnsiTheme="majorHAnsi" w:cstheme="majorHAnsi"/>
          <w:sz w:val="24"/>
          <w:szCs w:val="24"/>
        </w:rPr>
      </w:pPr>
    </w:p>
    <w:p w14:paraId="24BEFAB7"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Reading and writing can often be seen as two separate entities; two areas of education that do not meet. However, the two fields are immediately related, and students’ knowledge of a topic improves by their ability to read and write about it (Cox, 1991; Mitchell, 2002; </w:t>
      </w:r>
      <w:proofErr w:type="spellStart"/>
      <w:r w:rsidRPr="0025277B">
        <w:rPr>
          <w:rFonts w:asciiTheme="majorHAnsi" w:hAnsiTheme="majorHAnsi" w:cstheme="majorHAnsi"/>
          <w:sz w:val="24"/>
          <w:szCs w:val="24"/>
        </w:rPr>
        <w:t>Dymoke</w:t>
      </w:r>
      <w:proofErr w:type="spellEnd"/>
      <w:r w:rsidRPr="0025277B">
        <w:rPr>
          <w:rFonts w:asciiTheme="majorHAnsi" w:hAnsiTheme="majorHAnsi" w:cstheme="majorHAnsi"/>
          <w:sz w:val="24"/>
          <w:szCs w:val="24"/>
        </w:rPr>
        <w:t>, 2003; Wainwright, 2004). The two are ‘closely intertwined and often inseparable’ (Rees, 1996: 8).</w:t>
      </w:r>
    </w:p>
    <w:p w14:paraId="4DA504D6" w14:textId="77777777" w:rsidR="0025277B" w:rsidRPr="0025277B" w:rsidRDefault="0025277B" w:rsidP="0025277B">
      <w:pPr>
        <w:rPr>
          <w:rFonts w:asciiTheme="majorHAnsi" w:hAnsiTheme="majorHAnsi" w:cstheme="majorHAnsi"/>
          <w:sz w:val="24"/>
          <w:szCs w:val="24"/>
        </w:rPr>
      </w:pPr>
    </w:p>
    <w:p w14:paraId="4EB77516"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Formative assessment is fundamental in effective teaching and learning, and ‘is at the heart’ of the shared writing process (Strong, 2013: 21). Dean also comments on the importance of formative assessment, noting that it is useful to ensure the ‘proper progress’ is made ‘in the area of designated learning’ (Dean, 2004: 119).</w:t>
      </w:r>
    </w:p>
    <w:p w14:paraId="6F13A3AF" w14:textId="77777777" w:rsidR="0025277B" w:rsidRPr="0025277B" w:rsidRDefault="0025277B" w:rsidP="0025277B">
      <w:pPr>
        <w:rPr>
          <w:rFonts w:asciiTheme="majorHAnsi" w:hAnsiTheme="majorHAnsi" w:cstheme="majorHAnsi"/>
          <w:sz w:val="24"/>
          <w:szCs w:val="24"/>
        </w:rPr>
      </w:pPr>
    </w:p>
    <w:p w14:paraId="5F7B507B"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Writing is more than just putting words on paper (</w:t>
      </w:r>
      <w:proofErr w:type="spellStart"/>
      <w:r w:rsidRPr="0025277B">
        <w:rPr>
          <w:rFonts w:asciiTheme="majorHAnsi" w:hAnsiTheme="majorHAnsi" w:cstheme="majorHAnsi"/>
          <w:sz w:val="24"/>
          <w:szCs w:val="24"/>
        </w:rPr>
        <w:t>Emig</w:t>
      </w:r>
      <w:proofErr w:type="spellEnd"/>
      <w:r w:rsidRPr="0025277B">
        <w:rPr>
          <w:rFonts w:asciiTheme="majorHAnsi" w:hAnsiTheme="majorHAnsi" w:cstheme="majorHAnsi"/>
          <w:sz w:val="24"/>
          <w:szCs w:val="24"/>
        </w:rPr>
        <w:t xml:space="preserve">, 1982 in Mercer, 1988; Rees, 1996); it is a complex aspect of language which is a process involving decision and choice making. It is therefore a process which requires a great deal of cognitive effort (Gardner, 1975; </w:t>
      </w:r>
      <w:proofErr w:type="spellStart"/>
      <w:r w:rsidRPr="0025277B">
        <w:rPr>
          <w:rFonts w:asciiTheme="majorHAnsi" w:hAnsiTheme="majorHAnsi" w:cstheme="majorHAnsi"/>
          <w:sz w:val="24"/>
          <w:szCs w:val="24"/>
        </w:rPr>
        <w:t>Emig</w:t>
      </w:r>
      <w:proofErr w:type="spellEnd"/>
      <w:r w:rsidRPr="0025277B">
        <w:rPr>
          <w:rFonts w:asciiTheme="majorHAnsi" w:hAnsiTheme="majorHAnsi" w:cstheme="majorHAnsi"/>
          <w:sz w:val="24"/>
          <w:szCs w:val="24"/>
        </w:rPr>
        <w:t xml:space="preserve">, 1982 in Mercer, 1988; Rees, 1996). ‘Each time we write we have to choose the most appropriate words and the best way to organise those words’ (Rees, 1996: 2), so while structure and vocabulary are important, ‘choice of content is also very important’ (Rees, 1996: 6). ‘Several researchers indicate the complexity of the writing process (Calkins, 1986; Camp, 1994; Freedman, 1985; Graves, 1983), so through shared writing I have attempted to tackle the complexities for them to access the reading assessment more readily.  </w:t>
      </w:r>
    </w:p>
    <w:p w14:paraId="18CB6BB5" w14:textId="77777777" w:rsidR="0025277B" w:rsidRPr="0025277B" w:rsidRDefault="0025277B" w:rsidP="0025277B">
      <w:pPr>
        <w:rPr>
          <w:rFonts w:asciiTheme="majorHAnsi" w:hAnsiTheme="majorHAnsi" w:cstheme="majorHAnsi"/>
          <w:sz w:val="24"/>
          <w:szCs w:val="24"/>
        </w:rPr>
      </w:pPr>
    </w:p>
    <w:p w14:paraId="4EEFBD3E"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‘National standards remain a major concern’ (Strong, 2013: 2) and the underperformance in writing can be attributed to the attitudes that learners have towards it. Learners associate writing with examination or assessments and so it creates a negative association in their minds, as well as an association with a ‘boring’ writing environment (</w:t>
      </w:r>
      <w:proofErr w:type="spellStart"/>
      <w:r w:rsidRPr="0025277B">
        <w:rPr>
          <w:rFonts w:asciiTheme="majorHAnsi" w:hAnsiTheme="majorHAnsi" w:cstheme="majorHAnsi"/>
          <w:sz w:val="24"/>
          <w:szCs w:val="24"/>
        </w:rPr>
        <w:t>Dymoke</w:t>
      </w:r>
      <w:proofErr w:type="spellEnd"/>
      <w:r w:rsidRPr="0025277B">
        <w:rPr>
          <w:rFonts w:asciiTheme="majorHAnsi" w:hAnsiTheme="majorHAnsi" w:cstheme="majorHAnsi"/>
          <w:sz w:val="24"/>
          <w:szCs w:val="24"/>
        </w:rPr>
        <w:t xml:space="preserve">, 2001; </w:t>
      </w:r>
      <w:proofErr w:type="spellStart"/>
      <w:r w:rsidRPr="0025277B">
        <w:rPr>
          <w:rFonts w:asciiTheme="majorHAnsi" w:hAnsiTheme="majorHAnsi" w:cstheme="majorHAnsi"/>
          <w:sz w:val="24"/>
          <w:szCs w:val="24"/>
        </w:rPr>
        <w:t>Oczkus</w:t>
      </w:r>
      <w:proofErr w:type="spellEnd"/>
      <w:r w:rsidRPr="0025277B">
        <w:rPr>
          <w:rFonts w:asciiTheme="majorHAnsi" w:hAnsiTheme="majorHAnsi" w:cstheme="majorHAnsi"/>
          <w:sz w:val="24"/>
          <w:szCs w:val="24"/>
        </w:rPr>
        <w:t>, 2007). Shared writing approaches aim to tackle these associations and improve learners’ motivations towards writing. This can be achieved through interactive tasks, which help students express their knowledge more clearly and ‘engage more with their learning and thus become more effective, confident learners’ (Strong, 2013: 8). This can be achieved through shared writing approaches, which have shown ‘children’s engagement in writing increase, particularly for boys and previously reluctant writers’ (Strong, 2013: 2).</w:t>
      </w:r>
    </w:p>
    <w:p w14:paraId="5E3BE018" w14:textId="77777777" w:rsidR="0025277B" w:rsidRPr="0025277B" w:rsidRDefault="0025277B" w:rsidP="0025277B">
      <w:pPr>
        <w:rPr>
          <w:rFonts w:asciiTheme="majorHAnsi" w:hAnsiTheme="majorHAnsi" w:cstheme="majorHAnsi"/>
          <w:sz w:val="24"/>
          <w:szCs w:val="24"/>
        </w:rPr>
      </w:pPr>
    </w:p>
    <w:p w14:paraId="3A10DA20"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These are some of the reason why I chose shared writing as an intervention to improve assessment responses, because these approaches have been found to tackle the issues with motivation and engagement as well as improve the quality of writing.</w:t>
      </w:r>
    </w:p>
    <w:p w14:paraId="338CDC8F" w14:textId="77777777" w:rsidR="0025277B" w:rsidRPr="0025277B" w:rsidRDefault="0025277B" w:rsidP="0025277B">
      <w:pPr>
        <w:rPr>
          <w:rFonts w:asciiTheme="majorHAnsi" w:hAnsiTheme="majorHAnsi" w:cstheme="majorHAnsi"/>
          <w:sz w:val="24"/>
          <w:szCs w:val="24"/>
          <w:u w:val="single"/>
        </w:rPr>
      </w:pPr>
    </w:p>
    <w:p w14:paraId="3DF6391C"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There are two different views of writing: traditional and reinvented. The former refers to writing as being ‘exclusively a silent and solitary activity’ in which learners write independently and do so in silence. The latter on the other hand, believes that ‘the process of writing can be enhanced by working in, and with, a group of other writers’ (</w:t>
      </w:r>
      <w:proofErr w:type="spellStart"/>
      <w:r w:rsidRPr="0025277B">
        <w:rPr>
          <w:rFonts w:asciiTheme="majorHAnsi" w:hAnsiTheme="majorHAnsi" w:cstheme="majorHAnsi"/>
          <w:sz w:val="24"/>
          <w:szCs w:val="24"/>
        </w:rPr>
        <w:t>Emig</w:t>
      </w:r>
      <w:proofErr w:type="spellEnd"/>
      <w:r w:rsidRPr="0025277B">
        <w:rPr>
          <w:rFonts w:asciiTheme="majorHAnsi" w:hAnsiTheme="majorHAnsi" w:cstheme="majorHAnsi"/>
          <w:sz w:val="24"/>
          <w:szCs w:val="24"/>
        </w:rPr>
        <w:t xml:space="preserve">, 1982: 213 in Mercer, 1988). However, these two views need not be exclusive choices, for each is beneficial in specific circumstances. While shared writing may focus on the ‘reinvented’ style for the majority of its teaching, it ultimately results in formative assessment which will be carried out in ‘traditional’ independence. </w:t>
      </w:r>
    </w:p>
    <w:p w14:paraId="29F9B4E0" w14:textId="77777777" w:rsidR="0025277B" w:rsidRPr="0025277B" w:rsidRDefault="0025277B" w:rsidP="0025277B">
      <w:pPr>
        <w:rPr>
          <w:rFonts w:asciiTheme="majorHAnsi" w:hAnsiTheme="majorHAnsi" w:cstheme="majorHAnsi"/>
          <w:sz w:val="24"/>
          <w:szCs w:val="24"/>
        </w:rPr>
      </w:pPr>
    </w:p>
    <w:p w14:paraId="6B9CB6B6"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Shared writing approaches are considered to be ‘an essential stage in the writing process’ and an ‘excellent tool’ in improving learners’ writing (Dean, 2004: 118-119). It is an approach which is held in high regard by many academic professionals, with some holding the belief that those who do not teach using these methods are ‘not teaching writing’ but instead allowing writing to happen (Palmer and Corbett, 2003: 55).</w:t>
      </w:r>
    </w:p>
    <w:p w14:paraId="761A4CF0" w14:textId="77777777" w:rsidR="0025277B" w:rsidRPr="0025277B" w:rsidRDefault="0025277B" w:rsidP="0025277B">
      <w:pPr>
        <w:rPr>
          <w:rFonts w:asciiTheme="majorHAnsi" w:hAnsiTheme="majorHAnsi" w:cstheme="majorHAnsi"/>
          <w:sz w:val="24"/>
          <w:szCs w:val="24"/>
        </w:rPr>
      </w:pPr>
    </w:p>
    <w:p w14:paraId="6A0697E2"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This style of teaching involves teachers ‘writing with students’ (Booth and Swartz, 2004: 74), and allows them the ‘opportunity to work closely with the pupils’ (Dean, 2004: 119). Through shared writing, teachers are able to ‘involve their pupils much more successfully and directly in their own learning, as pupils have to justify and explain choices they have made’ (Dean, 2004: 118).</w:t>
      </w:r>
    </w:p>
    <w:p w14:paraId="19FDAD51" w14:textId="77777777" w:rsidR="0025277B" w:rsidRPr="0025277B" w:rsidRDefault="0025277B" w:rsidP="0025277B">
      <w:pPr>
        <w:rPr>
          <w:rFonts w:asciiTheme="majorHAnsi" w:hAnsiTheme="majorHAnsi" w:cstheme="majorHAnsi"/>
          <w:sz w:val="24"/>
          <w:szCs w:val="24"/>
        </w:rPr>
      </w:pPr>
    </w:p>
    <w:p w14:paraId="33EECBB3"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Shared writing is based around collaboration, and ‘requires participants to continually reread parts of the texts, perhaps debate possible alternatives and modify the text when it seems necessary’ (Dean, 2004: 336). It is a process which ‘provides participants the opportunity to explore, discuss, cooperate and develop learning capabilities’ (Noel and Robert, 2004; </w:t>
      </w:r>
      <w:proofErr w:type="spellStart"/>
      <w:r w:rsidRPr="0025277B">
        <w:rPr>
          <w:rFonts w:asciiTheme="majorHAnsi" w:hAnsiTheme="majorHAnsi" w:cstheme="majorHAnsi"/>
          <w:sz w:val="24"/>
          <w:szCs w:val="24"/>
        </w:rPr>
        <w:t>Dobao</w:t>
      </w:r>
      <w:proofErr w:type="spellEnd"/>
      <w:r w:rsidRPr="0025277B">
        <w:rPr>
          <w:rFonts w:asciiTheme="majorHAnsi" w:hAnsiTheme="majorHAnsi" w:cstheme="majorHAnsi"/>
          <w:sz w:val="24"/>
          <w:szCs w:val="24"/>
        </w:rPr>
        <w:t xml:space="preserve">, 2012; </w:t>
      </w:r>
      <w:proofErr w:type="spellStart"/>
      <w:r w:rsidRPr="0025277B">
        <w:rPr>
          <w:rFonts w:asciiTheme="majorHAnsi" w:hAnsiTheme="majorHAnsi" w:cstheme="majorHAnsi"/>
          <w:sz w:val="24"/>
          <w:szCs w:val="24"/>
        </w:rPr>
        <w:t>Heidar</w:t>
      </w:r>
      <w:proofErr w:type="spellEnd"/>
      <w:r w:rsidRPr="0025277B">
        <w:rPr>
          <w:rFonts w:asciiTheme="majorHAnsi" w:hAnsiTheme="majorHAnsi" w:cstheme="majorHAnsi"/>
          <w:sz w:val="24"/>
          <w:szCs w:val="24"/>
        </w:rPr>
        <w:t>, 2016). The ‘power of this approach lies in its ability to enthuse teachers and students alike’ (Strong, 2013: 4), which relates to my previous point of breaking the negative associations learners have with writing, and creating positive associations and positive motivations related to writing.</w:t>
      </w:r>
    </w:p>
    <w:p w14:paraId="6B09729C" w14:textId="77777777" w:rsidR="0025277B" w:rsidRPr="0025277B" w:rsidRDefault="0025277B" w:rsidP="0025277B">
      <w:pPr>
        <w:rPr>
          <w:rFonts w:asciiTheme="majorHAnsi" w:hAnsiTheme="majorHAnsi" w:cstheme="majorHAnsi"/>
          <w:sz w:val="24"/>
          <w:szCs w:val="24"/>
        </w:rPr>
      </w:pPr>
    </w:p>
    <w:p w14:paraId="647EA9AE"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Vygotsky argues that social interaction precedes development; consciousness and cognition occur after interaction and as a result of socialisation (</w:t>
      </w:r>
      <w:proofErr w:type="spellStart"/>
      <w:r w:rsidRPr="0025277B">
        <w:rPr>
          <w:rFonts w:asciiTheme="majorHAnsi" w:hAnsiTheme="majorHAnsi" w:cstheme="majorHAnsi"/>
          <w:color w:val="000000" w:themeColor="text1"/>
          <w:sz w:val="24"/>
          <w:szCs w:val="24"/>
        </w:rPr>
        <w:t>Heidar</w:t>
      </w:r>
      <w:proofErr w:type="spellEnd"/>
      <w:r w:rsidRPr="0025277B">
        <w:rPr>
          <w:rFonts w:asciiTheme="majorHAnsi" w:hAnsiTheme="majorHAnsi" w:cstheme="majorHAnsi"/>
          <w:color w:val="000000" w:themeColor="text1"/>
          <w:sz w:val="24"/>
          <w:szCs w:val="24"/>
        </w:rPr>
        <w:t>, 2016). This is agreed by many in that humans are a communicative species (Aitchison, 1998). The implication of this is that speech is more natural to use than writing is, which, as previously stated, requires a greater cognitive effort. While social interaction and speech precede written ability, as Vygotsky noted (</w:t>
      </w:r>
      <w:proofErr w:type="spellStart"/>
      <w:r w:rsidRPr="0025277B">
        <w:rPr>
          <w:rFonts w:asciiTheme="majorHAnsi" w:hAnsiTheme="majorHAnsi" w:cstheme="majorHAnsi"/>
          <w:color w:val="000000" w:themeColor="text1"/>
          <w:sz w:val="24"/>
          <w:szCs w:val="24"/>
        </w:rPr>
        <w:t>Heidar</w:t>
      </w:r>
      <w:proofErr w:type="spellEnd"/>
      <w:r w:rsidRPr="0025277B">
        <w:rPr>
          <w:rFonts w:asciiTheme="majorHAnsi" w:hAnsiTheme="majorHAnsi" w:cstheme="majorHAnsi"/>
          <w:color w:val="000000" w:themeColor="text1"/>
          <w:sz w:val="24"/>
          <w:szCs w:val="24"/>
        </w:rPr>
        <w:t>, 2016), writing is thus a development of speech in the sense that writing is essentially talk written down (Britton, 1978; Mercer, 1988). In support of this is Moffett (1979), who defines writing in four ways, one of which is elaborating inner speech (</w:t>
      </w:r>
      <w:proofErr w:type="spellStart"/>
      <w:r w:rsidRPr="0025277B">
        <w:rPr>
          <w:rFonts w:asciiTheme="majorHAnsi" w:hAnsiTheme="majorHAnsi" w:cstheme="majorHAnsi"/>
          <w:color w:val="000000" w:themeColor="text1"/>
          <w:sz w:val="24"/>
          <w:szCs w:val="24"/>
        </w:rPr>
        <w:t>Emig</w:t>
      </w:r>
      <w:proofErr w:type="spellEnd"/>
      <w:r w:rsidRPr="0025277B">
        <w:rPr>
          <w:rFonts w:asciiTheme="majorHAnsi" w:hAnsiTheme="majorHAnsi" w:cstheme="majorHAnsi"/>
          <w:color w:val="000000" w:themeColor="text1"/>
          <w:sz w:val="24"/>
          <w:szCs w:val="24"/>
        </w:rPr>
        <w:t xml:space="preserve">, 1982 </w:t>
      </w:r>
      <w:r w:rsidRPr="0025277B">
        <w:rPr>
          <w:rFonts w:asciiTheme="majorHAnsi" w:hAnsiTheme="majorHAnsi" w:cstheme="majorHAnsi"/>
          <w:sz w:val="24"/>
          <w:szCs w:val="24"/>
        </w:rPr>
        <w:t>in Mercer, 1988</w:t>
      </w:r>
      <w:r w:rsidRPr="0025277B">
        <w:rPr>
          <w:rFonts w:asciiTheme="majorHAnsi" w:hAnsiTheme="majorHAnsi" w:cstheme="majorHAnsi"/>
          <w:color w:val="000000" w:themeColor="text1"/>
          <w:sz w:val="24"/>
          <w:szCs w:val="24"/>
        </w:rPr>
        <w:t xml:space="preserve">). Writing ‘as a process of language, cannot sensibly be treated wholly apart from’ verbal process (Mercer, 1988: 217), for you cannot write something if you cannot say it (Corbett, </w:t>
      </w:r>
      <w:proofErr w:type="spellStart"/>
      <w:r w:rsidRPr="0025277B">
        <w:rPr>
          <w:rFonts w:asciiTheme="majorHAnsi" w:hAnsiTheme="majorHAnsi" w:cstheme="majorHAnsi"/>
          <w:color w:val="000000" w:themeColor="text1"/>
          <w:sz w:val="24"/>
          <w:szCs w:val="24"/>
        </w:rPr>
        <w:t>n.d.</w:t>
      </w:r>
      <w:proofErr w:type="spellEnd"/>
      <w:r w:rsidRPr="0025277B">
        <w:rPr>
          <w:rFonts w:asciiTheme="majorHAnsi" w:hAnsiTheme="majorHAnsi" w:cstheme="majorHAnsi"/>
          <w:color w:val="000000" w:themeColor="text1"/>
          <w:sz w:val="24"/>
          <w:szCs w:val="24"/>
        </w:rPr>
        <w:t xml:space="preserve">).  </w:t>
      </w:r>
    </w:p>
    <w:p w14:paraId="6A405E56" w14:textId="77777777" w:rsidR="0025277B" w:rsidRPr="0025277B" w:rsidRDefault="0025277B" w:rsidP="0025277B">
      <w:pPr>
        <w:rPr>
          <w:rFonts w:asciiTheme="majorHAnsi" w:hAnsiTheme="majorHAnsi" w:cstheme="majorHAnsi"/>
          <w:color w:val="000000" w:themeColor="text1"/>
          <w:sz w:val="24"/>
          <w:szCs w:val="24"/>
        </w:rPr>
      </w:pPr>
    </w:p>
    <w:p w14:paraId="426FF92F"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As mentioned, shared writing is an approach which focuses on collaboration through the discussion of ideas before writing them down, which very much relates to Vygotsky’s notion of speech preceding writing in that the very practice of shared writing mirrors that, it is for this reason that people view the process as writing orally (Marty, 1991; Bouchard, 1995; </w:t>
      </w:r>
      <w:proofErr w:type="spellStart"/>
      <w:r w:rsidRPr="0025277B">
        <w:rPr>
          <w:rFonts w:asciiTheme="majorHAnsi" w:hAnsiTheme="majorHAnsi" w:cstheme="majorHAnsi"/>
          <w:color w:val="000000" w:themeColor="text1"/>
          <w:sz w:val="24"/>
          <w:szCs w:val="24"/>
        </w:rPr>
        <w:t>DeGaulmyn</w:t>
      </w:r>
      <w:proofErr w:type="spellEnd"/>
      <w:r w:rsidRPr="0025277B">
        <w:rPr>
          <w:rFonts w:asciiTheme="majorHAnsi" w:hAnsiTheme="majorHAnsi" w:cstheme="majorHAnsi"/>
          <w:color w:val="000000" w:themeColor="text1"/>
          <w:sz w:val="24"/>
          <w:szCs w:val="24"/>
        </w:rPr>
        <w:t>, 2002). It has also been found that ‘writers benefit from speaking about their writing while engaging in collaborative writing process’ (</w:t>
      </w:r>
      <w:proofErr w:type="spellStart"/>
      <w:r w:rsidRPr="0025277B">
        <w:rPr>
          <w:rFonts w:asciiTheme="majorHAnsi" w:hAnsiTheme="majorHAnsi" w:cstheme="majorHAnsi"/>
          <w:color w:val="000000" w:themeColor="text1"/>
          <w:sz w:val="24"/>
          <w:szCs w:val="24"/>
        </w:rPr>
        <w:t>Milian</w:t>
      </w:r>
      <w:proofErr w:type="spellEnd"/>
      <w:r w:rsidRPr="0025277B">
        <w:rPr>
          <w:rFonts w:asciiTheme="majorHAnsi" w:hAnsiTheme="majorHAnsi" w:cstheme="majorHAnsi"/>
          <w:color w:val="000000" w:themeColor="text1"/>
          <w:sz w:val="24"/>
          <w:szCs w:val="24"/>
        </w:rPr>
        <w:t>, 2005: 335), which implies that through collaboration, the participants share a specific goal (</w:t>
      </w:r>
      <w:proofErr w:type="spellStart"/>
      <w:r w:rsidRPr="0025277B">
        <w:rPr>
          <w:rFonts w:asciiTheme="majorHAnsi" w:hAnsiTheme="majorHAnsi" w:cstheme="majorHAnsi"/>
          <w:color w:val="000000" w:themeColor="text1"/>
          <w:sz w:val="24"/>
          <w:szCs w:val="24"/>
        </w:rPr>
        <w:t>Krafft</w:t>
      </w:r>
      <w:proofErr w:type="spellEnd"/>
      <w:r w:rsidRPr="0025277B">
        <w:rPr>
          <w:rFonts w:asciiTheme="majorHAnsi" w:hAnsiTheme="majorHAnsi" w:cstheme="majorHAnsi"/>
          <w:color w:val="000000" w:themeColor="text1"/>
          <w:sz w:val="24"/>
          <w:szCs w:val="24"/>
        </w:rPr>
        <w:t xml:space="preserve"> and </w:t>
      </w:r>
      <w:proofErr w:type="spellStart"/>
      <w:r w:rsidRPr="0025277B">
        <w:rPr>
          <w:rFonts w:asciiTheme="majorHAnsi" w:hAnsiTheme="majorHAnsi" w:cstheme="majorHAnsi"/>
          <w:color w:val="000000" w:themeColor="text1"/>
          <w:sz w:val="24"/>
          <w:szCs w:val="24"/>
        </w:rPr>
        <w:t>Dansendschon</w:t>
      </w:r>
      <w:proofErr w:type="spellEnd"/>
      <w:r w:rsidRPr="0025277B">
        <w:rPr>
          <w:rFonts w:asciiTheme="majorHAnsi" w:hAnsiTheme="majorHAnsi" w:cstheme="majorHAnsi"/>
          <w:color w:val="000000" w:themeColor="text1"/>
          <w:sz w:val="24"/>
          <w:szCs w:val="24"/>
        </w:rPr>
        <w:t>-Gay, 1995).</w:t>
      </w:r>
    </w:p>
    <w:p w14:paraId="5CB76826" w14:textId="77777777" w:rsidR="0025277B" w:rsidRPr="0025277B" w:rsidRDefault="0025277B" w:rsidP="0025277B">
      <w:pPr>
        <w:rPr>
          <w:rFonts w:asciiTheme="majorHAnsi" w:hAnsiTheme="majorHAnsi" w:cstheme="majorHAnsi"/>
          <w:sz w:val="24"/>
          <w:szCs w:val="24"/>
        </w:rPr>
      </w:pPr>
    </w:p>
    <w:p w14:paraId="03235F1D"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Metacognition refers to an awareness of thought process, and it is important that you are involving your audience in the writing process so they can have a deeper understanding of the process and are able to internalise that process (Strong, 2013). This is best done through the use of exemplar texts and model answers, which provide ‘a pattern for students to imitate, and then innovate on in a variety of ways so that they can internalise it and are able to apply it immediately’ (</w:t>
      </w:r>
      <w:proofErr w:type="spellStart"/>
      <w:r w:rsidRPr="0025277B">
        <w:rPr>
          <w:rFonts w:asciiTheme="majorHAnsi" w:hAnsiTheme="majorHAnsi" w:cstheme="majorHAnsi"/>
          <w:color w:val="000000" w:themeColor="text1"/>
          <w:sz w:val="24"/>
          <w:szCs w:val="24"/>
        </w:rPr>
        <w:t>Xerri</w:t>
      </w:r>
      <w:proofErr w:type="spellEnd"/>
      <w:r w:rsidRPr="0025277B">
        <w:rPr>
          <w:rFonts w:asciiTheme="majorHAnsi" w:hAnsiTheme="majorHAnsi" w:cstheme="majorHAnsi"/>
          <w:color w:val="000000" w:themeColor="text1"/>
          <w:sz w:val="24"/>
          <w:szCs w:val="24"/>
        </w:rPr>
        <w:t>, 2012: 8). As a result of expose to these exemplar texts, and familiarity in producing them, they are able to ‘fully internalise the approach so they can write independently’ when the time of assessment comes (</w:t>
      </w:r>
      <w:proofErr w:type="spellStart"/>
      <w:r w:rsidRPr="0025277B">
        <w:rPr>
          <w:rFonts w:asciiTheme="majorHAnsi" w:hAnsiTheme="majorHAnsi" w:cstheme="majorHAnsi"/>
          <w:color w:val="000000" w:themeColor="text1"/>
          <w:sz w:val="24"/>
          <w:szCs w:val="24"/>
        </w:rPr>
        <w:t>Xerri</w:t>
      </w:r>
      <w:proofErr w:type="spellEnd"/>
      <w:r w:rsidRPr="0025277B">
        <w:rPr>
          <w:rFonts w:asciiTheme="majorHAnsi" w:hAnsiTheme="majorHAnsi" w:cstheme="majorHAnsi"/>
          <w:color w:val="000000" w:themeColor="text1"/>
          <w:sz w:val="24"/>
          <w:szCs w:val="24"/>
        </w:rPr>
        <w:t>, 2011: 8).</w:t>
      </w:r>
    </w:p>
    <w:p w14:paraId="7F047ED3" w14:textId="77777777" w:rsidR="0025277B" w:rsidRPr="0025277B" w:rsidRDefault="0025277B" w:rsidP="0025277B">
      <w:pPr>
        <w:rPr>
          <w:rFonts w:asciiTheme="majorHAnsi" w:hAnsiTheme="majorHAnsi" w:cstheme="majorHAnsi"/>
          <w:color w:val="000000" w:themeColor="text1"/>
          <w:sz w:val="24"/>
          <w:szCs w:val="24"/>
        </w:rPr>
      </w:pPr>
    </w:p>
    <w:p w14:paraId="6A8253B2"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It is difficult to answer the ‘how do we make a student a better writer?’ question without knowing the answer to ‘what is a good writer?’ (Clarke, Dickinson and Westbrook, 2010). Instead, we look to focus on ‘what is a good written answer’ through the use of exemplar texts and model answers.</w:t>
      </w:r>
    </w:p>
    <w:p w14:paraId="24D1CBED" w14:textId="77777777" w:rsidR="0025277B" w:rsidRPr="0025277B" w:rsidRDefault="0025277B" w:rsidP="0025277B">
      <w:pPr>
        <w:rPr>
          <w:rFonts w:asciiTheme="majorHAnsi" w:hAnsiTheme="majorHAnsi" w:cstheme="majorHAnsi"/>
          <w:color w:val="000000" w:themeColor="text1"/>
          <w:sz w:val="24"/>
          <w:szCs w:val="24"/>
        </w:rPr>
      </w:pPr>
    </w:p>
    <w:p w14:paraId="1F890B08"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The use of exemplar texts is key for helping students understand ‘what they are trying to do’ (Strong, 2013: 24). Using exemplar texts are important for learners to understand what a ‘good’ answer is and ‘learn how to replicate it’ (Strong, 2013: 152). The most effective way for learners to understand a text in order to replicate it is through analysis. It is vital to demonstrate the patterns of the exemplar text and allow learners to ‘reflect critically on the structural and linguistic choices that writers make’ (Clarke, Dickinson and Westbrook, 2010: 179). By allowing them to analyse ‘how it works’ they are able to internalise the process (Strong, 2013: 143); this related to shared writing’s connection with metacognition in that learners will be aware of the thought process of writing, both of the exemplar text’s writer and of their own thought process. The analysis of exemplar texts is most effective if followed by the learners attempting to write their own response (</w:t>
      </w:r>
      <w:proofErr w:type="spellStart"/>
      <w:r w:rsidRPr="0025277B">
        <w:rPr>
          <w:rFonts w:asciiTheme="majorHAnsi" w:hAnsiTheme="majorHAnsi" w:cstheme="majorHAnsi"/>
          <w:color w:val="000000" w:themeColor="text1"/>
          <w:sz w:val="24"/>
          <w:szCs w:val="24"/>
        </w:rPr>
        <w:t>Xerri</w:t>
      </w:r>
      <w:proofErr w:type="spellEnd"/>
      <w:r w:rsidRPr="0025277B">
        <w:rPr>
          <w:rFonts w:asciiTheme="majorHAnsi" w:hAnsiTheme="majorHAnsi" w:cstheme="majorHAnsi"/>
          <w:color w:val="000000" w:themeColor="text1"/>
          <w:sz w:val="24"/>
          <w:szCs w:val="24"/>
        </w:rPr>
        <w:t xml:space="preserve">, 2011; Strong, 2013), especially if they have internalised the process. Furthermore, the use of models in these situations make writing tasks seem less daunting for individuals (Beach and Marshall, 1991), which relates to the previously made point of tackling negative associations. It is worth noting that the use of exemplar texts is not something that should be restricted to shared writing, </w:t>
      </w:r>
      <w:r w:rsidRPr="0025277B">
        <w:rPr>
          <w:rFonts w:asciiTheme="majorHAnsi" w:hAnsiTheme="majorHAnsi" w:cstheme="majorHAnsi"/>
          <w:sz w:val="24"/>
          <w:szCs w:val="24"/>
        </w:rPr>
        <w:t xml:space="preserve">if all teachers took this approach of creating exemplar answers then pupils would more readily be able to transfer skills across subjects and/or areas of learning (Strong, 2013). Donaldson places a great emphasis on transferring key skills across learning areas (Successful Futures, 2015) and it is something that is reflected in my placement school. Strong’s assertion is supported by </w:t>
      </w:r>
      <w:proofErr w:type="spellStart"/>
      <w:r w:rsidRPr="0025277B">
        <w:rPr>
          <w:rFonts w:asciiTheme="majorHAnsi" w:hAnsiTheme="majorHAnsi" w:cstheme="majorHAnsi"/>
          <w:sz w:val="24"/>
          <w:szCs w:val="24"/>
        </w:rPr>
        <w:t>Rijlaarsdam</w:t>
      </w:r>
      <w:proofErr w:type="spellEnd"/>
      <w:r w:rsidRPr="0025277B">
        <w:rPr>
          <w:rFonts w:asciiTheme="majorHAnsi" w:hAnsiTheme="majorHAnsi" w:cstheme="majorHAnsi"/>
          <w:sz w:val="24"/>
          <w:szCs w:val="24"/>
        </w:rPr>
        <w:t xml:space="preserve"> and Van den Bergh (2004), who believe students should be aware of the ability to transfer skills across topics and subjects; this idea of being aware of one’s thought process also supports the previously made points regarding metacognition and its place in shared writing.</w:t>
      </w:r>
    </w:p>
    <w:p w14:paraId="6778F3C4" w14:textId="77777777" w:rsidR="0025277B" w:rsidRPr="0025277B" w:rsidRDefault="0025277B" w:rsidP="0025277B">
      <w:pPr>
        <w:rPr>
          <w:rFonts w:asciiTheme="majorHAnsi" w:hAnsiTheme="majorHAnsi" w:cstheme="majorHAnsi"/>
          <w:sz w:val="24"/>
          <w:szCs w:val="24"/>
        </w:rPr>
      </w:pPr>
    </w:p>
    <w:p w14:paraId="262C9972" w14:textId="77777777" w:rsidR="0025277B" w:rsidRPr="0025277B" w:rsidRDefault="0025277B" w:rsidP="0025277B">
      <w:pPr>
        <w:rPr>
          <w:rFonts w:asciiTheme="majorHAnsi" w:hAnsiTheme="majorHAnsi" w:cstheme="majorHAnsi"/>
          <w:b/>
          <w:sz w:val="24"/>
          <w:szCs w:val="24"/>
        </w:rPr>
      </w:pPr>
      <w:r w:rsidRPr="0025277B">
        <w:rPr>
          <w:rFonts w:asciiTheme="majorHAnsi" w:hAnsiTheme="majorHAnsi" w:cstheme="majorHAnsi"/>
          <w:color w:val="000000" w:themeColor="text1"/>
          <w:sz w:val="24"/>
          <w:szCs w:val="24"/>
        </w:rPr>
        <w:t>A heightened metacognitive understanding can also be achieved through collaboration (</w:t>
      </w:r>
      <w:proofErr w:type="spellStart"/>
      <w:r w:rsidRPr="0025277B">
        <w:rPr>
          <w:rFonts w:asciiTheme="majorHAnsi" w:hAnsiTheme="majorHAnsi" w:cstheme="majorHAnsi"/>
          <w:color w:val="000000" w:themeColor="text1"/>
          <w:sz w:val="24"/>
          <w:szCs w:val="24"/>
        </w:rPr>
        <w:t>Humphris</w:t>
      </w:r>
      <w:proofErr w:type="spellEnd"/>
      <w:r w:rsidRPr="0025277B">
        <w:rPr>
          <w:rFonts w:asciiTheme="majorHAnsi" w:hAnsiTheme="majorHAnsi" w:cstheme="majorHAnsi"/>
          <w:color w:val="000000" w:themeColor="text1"/>
          <w:sz w:val="24"/>
          <w:szCs w:val="24"/>
        </w:rPr>
        <w:t xml:space="preserve">, 2010), which is a fundamental aspect of shared writing approaches. </w:t>
      </w:r>
      <w:r w:rsidRPr="0025277B">
        <w:rPr>
          <w:rFonts w:asciiTheme="majorHAnsi" w:hAnsiTheme="majorHAnsi" w:cstheme="majorHAnsi"/>
          <w:sz w:val="24"/>
          <w:szCs w:val="24"/>
        </w:rPr>
        <w:t>The idea of collaborative writing was built on a Vygotskian notion of cooperating with other by each contributing idea and jointly constructing the end product (</w:t>
      </w:r>
      <w:proofErr w:type="spellStart"/>
      <w:r w:rsidRPr="0025277B">
        <w:rPr>
          <w:rFonts w:asciiTheme="majorHAnsi" w:hAnsiTheme="majorHAnsi" w:cstheme="majorHAnsi"/>
          <w:sz w:val="24"/>
          <w:szCs w:val="24"/>
        </w:rPr>
        <w:t>Milian</w:t>
      </w:r>
      <w:proofErr w:type="spellEnd"/>
      <w:r w:rsidRPr="0025277B">
        <w:rPr>
          <w:rFonts w:asciiTheme="majorHAnsi" w:hAnsiTheme="majorHAnsi" w:cstheme="majorHAnsi"/>
          <w:sz w:val="24"/>
          <w:szCs w:val="24"/>
        </w:rPr>
        <w:t xml:space="preserve">, 2005; </w:t>
      </w:r>
      <w:proofErr w:type="spellStart"/>
      <w:r w:rsidRPr="0025277B">
        <w:rPr>
          <w:rFonts w:asciiTheme="majorHAnsi" w:hAnsiTheme="majorHAnsi" w:cstheme="majorHAnsi"/>
          <w:sz w:val="24"/>
          <w:szCs w:val="24"/>
        </w:rPr>
        <w:t>Heidar</w:t>
      </w:r>
      <w:proofErr w:type="spellEnd"/>
      <w:r w:rsidRPr="0025277B">
        <w:rPr>
          <w:rFonts w:asciiTheme="majorHAnsi" w:hAnsiTheme="majorHAnsi" w:cstheme="majorHAnsi"/>
          <w:sz w:val="24"/>
          <w:szCs w:val="24"/>
        </w:rPr>
        <w:t>, 2016). This concept of talking in groups as a prelude to individual writing seems to be a phenomenon with substantial evidence in its favour (Elbow, 1973). In these shared writing settings, the class needs to be divided so learners are in small groups with those of a similar writing ability (Dean, 2004). Allowing learners to work in collaborative groups ‘provides an especially powerful vehicle’ for producing text (</w:t>
      </w:r>
      <w:proofErr w:type="spellStart"/>
      <w:r w:rsidRPr="0025277B">
        <w:rPr>
          <w:rFonts w:asciiTheme="majorHAnsi" w:hAnsiTheme="majorHAnsi" w:cstheme="majorHAnsi"/>
          <w:sz w:val="24"/>
          <w:szCs w:val="24"/>
        </w:rPr>
        <w:t>Milian</w:t>
      </w:r>
      <w:proofErr w:type="spellEnd"/>
      <w:r w:rsidRPr="0025277B">
        <w:rPr>
          <w:rFonts w:asciiTheme="majorHAnsi" w:hAnsiTheme="majorHAnsi" w:cstheme="majorHAnsi"/>
          <w:sz w:val="24"/>
          <w:szCs w:val="24"/>
        </w:rPr>
        <w:t>, 2005: 335). These groups do require ‘two levels of negotiation: a social agreement to share the task and contribute to it as a shared activity and an agreement related to the representation of the task itself’ (</w:t>
      </w:r>
      <w:proofErr w:type="spellStart"/>
      <w:r w:rsidRPr="0025277B">
        <w:rPr>
          <w:rFonts w:asciiTheme="majorHAnsi" w:hAnsiTheme="majorHAnsi" w:cstheme="majorHAnsi"/>
          <w:sz w:val="24"/>
          <w:szCs w:val="24"/>
        </w:rPr>
        <w:t>Milian</w:t>
      </w:r>
      <w:proofErr w:type="spellEnd"/>
      <w:r w:rsidRPr="0025277B">
        <w:rPr>
          <w:rFonts w:asciiTheme="majorHAnsi" w:hAnsiTheme="majorHAnsi" w:cstheme="majorHAnsi"/>
          <w:sz w:val="24"/>
          <w:szCs w:val="24"/>
        </w:rPr>
        <w:t xml:space="preserve">, 2005: 338). When students are working collaboratively, it is important for them to share their work with one another to discuss how it could be improved (Beach and Marshall, 1991; Strong, 2013). </w:t>
      </w:r>
    </w:p>
    <w:p w14:paraId="18076BD4" w14:textId="77777777" w:rsidR="0025277B" w:rsidRPr="0025277B" w:rsidRDefault="0025277B" w:rsidP="0025277B">
      <w:pPr>
        <w:rPr>
          <w:rFonts w:asciiTheme="majorHAnsi" w:hAnsiTheme="majorHAnsi" w:cstheme="majorHAnsi"/>
          <w:sz w:val="24"/>
          <w:szCs w:val="24"/>
        </w:rPr>
      </w:pPr>
    </w:p>
    <w:p w14:paraId="6FC06D71"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Planning and drafting are essential stages in any writing process (Graves, 1983), and in shared writing these stages are to be carried out collaboratively. Having planned </w:t>
      </w:r>
      <w:proofErr w:type="gramStart"/>
      <w:r w:rsidRPr="0025277B">
        <w:rPr>
          <w:rFonts w:asciiTheme="majorHAnsi" w:hAnsiTheme="majorHAnsi" w:cstheme="majorHAnsi"/>
          <w:color w:val="000000" w:themeColor="text1"/>
          <w:sz w:val="24"/>
          <w:szCs w:val="24"/>
        </w:rPr>
        <w:t>what</w:t>
      </w:r>
      <w:proofErr w:type="gramEnd"/>
      <w:r w:rsidRPr="0025277B">
        <w:rPr>
          <w:rFonts w:asciiTheme="majorHAnsi" w:hAnsiTheme="majorHAnsi" w:cstheme="majorHAnsi"/>
          <w:color w:val="000000" w:themeColor="text1"/>
          <w:sz w:val="24"/>
          <w:szCs w:val="24"/>
        </w:rPr>
        <w:t xml:space="preserve"> they are going to write, learners need to consider how they are going to do so.  They do this by rereading what they have initially written in order to ‘reach an agreement’ about ‘both content and phrasing’ (</w:t>
      </w:r>
      <w:proofErr w:type="spellStart"/>
      <w:r w:rsidRPr="0025277B">
        <w:rPr>
          <w:rFonts w:asciiTheme="majorHAnsi" w:hAnsiTheme="majorHAnsi" w:cstheme="majorHAnsi"/>
          <w:color w:val="000000" w:themeColor="text1"/>
          <w:sz w:val="24"/>
          <w:szCs w:val="24"/>
        </w:rPr>
        <w:t>Milian</w:t>
      </w:r>
      <w:proofErr w:type="spellEnd"/>
      <w:r w:rsidRPr="0025277B">
        <w:rPr>
          <w:rFonts w:asciiTheme="majorHAnsi" w:hAnsiTheme="majorHAnsi" w:cstheme="majorHAnsi"/>
          <w:color w:val="000000" w:themeColor="text1"/>
          <w:sz w:val="24"/>
          <w:szCs w:val="24"/>
        </w:rPr>
        <w:t xml:space="preserve">, 2005: 336). These ongoing discussions and modifications refer to ‘transforming the text being built’ (Camps, </w:t>
      </w:r>
      <w:proofErr w:type="spellStart"/>
      <w:r w:rsidRPr="0025277B">
        <w:rPr>
          <w:rFonts w:asciiTheme="majorHAnsi" w:hAnsiTheme="majorHAnsi" w:cstheme="majorHAnsi"/>
          <w:color w:val="000000" w:themeColor="text1"/>
          <w:sz w:val="24"/>
          <w:szCs w:val="24"/>
        </w:rPr>
        <w:t>Guasch</w:t>
      </w:r>
      <w:proofErr w:type="spellEnd"/>
      <w:r w:rsidRPr="0025277B">
        <w:rPr>
          <w:rFonts w:asciiTheme="majorHAnsi" w:hAnsiTheme="majorHAnsi" w:cstheme="majorHAnsi"/>
          <w:color w:val="000000" w:themeColor="text1"/>
          <w:sz w:val="24"/>
          <w:szCs w:val="24"/>
        </w:rPr>
        <w:t xml:space="preserve">, </w:t>
      </w:r>
      <w:proofErr w:type="spellStart"/>
      <w:r w:rsidRPr="0025277B">
        <w:rPr>
          <w:rFonts w:asciiTheme="majorHAnsi" w:hAnsiTheme="majorHAnsi" w:cstheme="majorHAnsi"/>
          <w:color w:val="000000" w:themeColor="text1"/>
          <w:sz w:val="24"/>
          <w:szCs w:val="24"/>
        </w:rPr>
        <w:t>Milian</w:t>
      </w:r>
      <w:proofErr w:type="spellEnd"/>
      <w:r w:rsidRPr="0025277B">
        <w:rPr>
          <w:rFonts w:asciiTheme="majorHAnsi" w:hAnsiTheme="majorHAnsi" w:cstheme="majorHAnsi"/>
          <w:color w:val="000000" w:themeColor="text1"/>
          <w:sz w:val="24"/>
          <w:szCs w:val="24"/>
        </w:rPr>
        <w:t xml:space="preserve"> and </w:t>
      </w:r>
      <w:proofErr w:type="spellStart"/>
      <w:r w:rsidRPr="0025277B">
        <w:rPr>
          <w:rFonts w:asciiTheme="majorHAnsi" w:hAnsiTheme="majorHAnsi" w:cstheme="majorHAnsi"/>
          <w:color w:val="000000" w:themeColor="text1"/>
          <w:sz w:val="24"/>
          <w:szCs w:val="24"/>
        </w:rPr>
        <w:t>Ribas</w:t>
      </w:r>
      <w:proofErr w:type="spellEnd"/>
      <w:r w:rsidRPr="0025277B">
        <w:rPr>
          <w:rFonts w:asciiTheme="majorHAnsi" w:hAnsiTheme="majorHAnsi" w:cstheme="majorHAnsi"/>
          <w:color w:val="000000" w:themeColor="text1"/>
          <w:sz w:val="24"/>
          <w:szCs w:val="24"/>
        </w:rPr>
        <w:t>, 1997: 20). It is important for learners to ‘revise the text’ (</w:t>
      </w:r>
      <w:proofErr w:type="spellStart"/>
      <w:r w:rsidRPr="0025277B">
        <w:rPr>
          <w:rFonts w:asciiTheme="majorHAnsi" w:hAnsiTheme="majorHAnsi" w:cstheme="majorHAnsi"/>
          <w:color w:val="000000" w:themeColor="text1"/>
          <w:sz w:val="24"/>
          <w:szCs w:val="24"/>
        </w:rPr>
        <w:t>Milian</w:t>
      </w:r>
      <w:proofErr w:type="spellEnd"/>
      <w:r w:rsidRPr="0025277B">
        <w:rPr>
          <w:rFonts w:asciiTheme="majorHAnsi" w:hAnsiTheme="majorHAnsi" w:cstheme="majorHAnsi"/>
          <w:color w:val="000000" w:themeColor="text1"/>
          <w:sz w:val="24"/>
          <w:szCs w:val="24"/>
        </w:rPr>
        <w:t>, 2005: 336) written and reflect critically on their work (Andrews, 2008), as ‘constructively critiquing’ their work is part of the process (Clarke, Dickinson and Westbrook, 2010: 178). In critically reflecting upon each other’s work, learners stated it was easier to correct errors found in other people’s work than their own work (</w:t>
      </w:r>
      <w:proofErr w:type="spellStart"/>
      <w:r w:rsidRPr="0025277B">
        <w:rPr>
          <w:rFonts w:asciiTheme="majorHAnsi" w:hAnsiTheme="majorHAnsi" w:cstheme="majorHAnsi"/>
          <w:color w:val="000000" w:themeColor="text1"/>
          <w:sz w:val="24"/>
          <w:szCs w:val="24"/>
        </w:rPr>
        <w:t>Dobao</w:t>
      </w:r>
      <w:proofErr w:type="spellEnd"/>
      <w:r w:rsidRPr="0025277B">
        <w:rPr>
          <w:rFonts w:asciiTheme="majorHAnsi" w:hAnsiTheme="majorHAnsi" w:cstheme="majorHAnsi"/>
          <w:color w:val="000000" w:themeColor="text1"/>
          <w:sz w:val="24"/>
          <w:szCs w:val="24"/>
        </w:rPr>
        <w:t xml:space="preserve">, 2012; </w:t>
      </w:r>
      <w:proofErr w:type="spellStart"/>
      <w:r w:rsidRPr="0025277B">
        <w:rPr>
          <w:rFonts w:asciiTheme="majorHAnsi" w:hAnsiTheme="majorHAnsi" w:cstheme="majorHAnsi"/>
          <w:color w:val="000000" w:themeColor="text1"/>
          <w:sz w:val="24"/>
          <w:szCs w:val="24"/>
        </w:rPr>
        <w:t>Yeh</w:t>
      </w:r>
      <w:proofErr w:type="spellEnd"/>
      <w:r w:rsidRPr="0025277B">
        <w:rPr>
          <w:rFonts w:asciiTheme="majorHAnsi" w:hAnsiTheme="majorHAnsi" w:cstheme="majorHAnsi"/>
          <w:color w:val="000000" w:themeColor="text1"/>
          <w:sz w:val="24"/>
          <w:szCs w:val="24"/>
        </w:rPr>
        <w:t>, 2014), which enabled them to see the importance of peer and self-assessing to improve their work (</w:t>
      </w:r>
      <w:proofErr w:type="spellStart"/>
      <w:r w:rsidRPr="0025277B">
        <w:rPr>
          <w:rFonts w:asciiTheme="majorHAnsi" w:hAnsiTheme="majorHAnsi" w:cstheme="majorHAnsi"/>
          <w:color w:val="000000" w:themeColor="text1"/>
          <w:sz w:val="24"/>
          <w:szCs w:val="24"/>
        </w:rPr>
        <w:t>Talib</w:t>
      </w:r>
      <w:proofErr w:type="spellEnd"/>
      <w:r w:rsidRPr="0025277B">
        <w:rPr>
          <w:rFonts w:asciiTheme="majorHAnsi" w:hAnsiTheme="majorHAnsi" w:cstheme="majorHAnsi"/>
          <w:color w:val="000000" w:themeColor="text1"/>
          <w:sz w:val="24"/>
          <w:szCs w:val="24"/>
        </w:rPr>
        <w:t xml:space="preserve"> and Cheung, 2017). This then motivated learners to apply the same editing skills in their own work to improve it (</w:t>
      </w:r>
      <w:proofErr w:type="spellStart"/>
      <w:r w:rsidRPr="0025277B">
        <w:rPr>
          <w:rFonts w:asciiTheme="majorHAnsi" w:hAnsiTheme="majorHAnsi" w:cstheme="majorHAnsi"/>
          <w:color w:val="000000" w:themeColor="text1"/>
          <w:sz w:val="24"/>
          <w:szCs w:val="24"/>
        </w:rPr>
        <w:t>Dobao</w:t>
      </w:r>
      <w:proofErr w:type="spellEnd"/>
      <w:r w:rsidRPr="0025277B">
        <w:rPr>
          <w:rFonts w:asciiTheme="majorHAnsi" w:hAnsiTheme="majorHAnsi" w:cstheme="majorHAnsi"/>
          <w:color w:val="000000" w:themeColor="text1"/>
          <w:sz w:val="24"/>
          <w:szCs w:val="24"/>
        </w:rPr>
        <w:t xml:space="preserve">, 2012; Ong and </w:t>
      </w:r>
      <w:proofErr w:type="spellStart"/>
      <w:r w:rsidRPr="0025277B">
        <w:rPr>
          <w:rFonts w:asciiTheme="majorHAnsi" w:hAnsiTheme="majorHAnsi" w:cstheme="majorHAnsi"/>
          <w:color w:val="000000" w:themeColor="text1"/>
          <w:sz w:val="24"/>
          <w:szCs w:val="24"/>
        </w:rPr>
        <w:t>Maarof</w:t>
      </w:r>
      <w:proofErr w:type="spellEnd"/>
      <w:r w:rsidRPr="0025277B">
        <w:rPr>
          <w:rFonts w:asciiTheme="majorHAnsi" w:hAnsiTheme="majorHAnsi" w:cstheme="majorHAnsi"/>
          <w:color w:val="000000" w:themeColor="text1"/>
          <w:sz w:val="24"/>
          <w:szCs w:val="24"/>
        </w:rPr>
        <w:t>, 2013).</w:t>
      </w:r>
    </w:p>
    <w:p w14:paraId="4433888E" w14:textId="77777777" w:rsidR="0025277B" w:rsidRPr="0025277B" w:rsidRDefault="0025277B" w:rsidP="0025277B">
      <w:pPr>
        <w:rPr>
          <w:rFonts w:asciiTheme="majorHAnsi" w:hAnsiTheme="majorHAnsi" w:cstheme="majorHAnsi"/>
          <w:sz w:val="24"/>
          <w:szCs w:val="24"/>
        </w:rPr>
      </w:pPr>
    </w:p>
    <w:p w14:paraId="080A76D9"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Collaboration allows learners to enhance their cognitive understanding of the text, as well as their engagement with it (</w:t>
      </w:r>
      <w:proofErr w:type="spellStart"/>
      <w:r w:rsidRPr="0025277B">
        <w:rPr>
          <w:rFonts w:asciiTheme="majorHAnsi" w:hAnsiTheme="majorHAnsi" w:cstheme="majorHAnsi"/>
          <w:color w:val="000000" w:themeColor="text1"/>
          <w:sz w:val="24"/>
          <w:szCs w:val="24"/>
        </w:rPr>
        <w:t>Obied</w:t>
      </w:r>
      <w:proofErr w:type="spellEnd"/>
      <w:r w:rsidRPr="0025277B">
        <w:rPr>
          <w:rFonts w:asciiTheme="majorHAnsi" w:hAnsiTheme="majorHAnsi" w:cstheme="majorHAnsi"/>
          <w:color w:val="000000" w:themeColor="text1"/>
          <w:sz w:val="24"/>
          <w:szCs w:val="24"/>
        </w:rPr>
        <w:t>, 2007), which allows a ‘real and meaningful practice in all the skills of writing’ (Spiro, 2004: 10). It is thought that varying students’ partners will also allow them a deeper engagement and a more secure understanding, as they will have to explain things in a variety of ways (Strong, 2013). Working in groups has found learners to produce shorter, but better work in terms of quality in relation to content, grammatical accuracy and complexity of writing (</w:t>
      </w:r>
      <w:proofErr w:type="spellStart"/>
      <w:r w:rsidRPr="0025277B">
        <w:rPr>
          <w:rFonts w:asciiTheme="majorHAnsi" w:hAnsiTheme="majorHAnsi" w:cstheme="majorHAnsi"/>
          <w:color w:val="000000" w:themeColor="text1"/>
          <w:sz w:val="24"/>
          <w:szCs w:val="24"/>
        </w:rPr>
        <w:t>Yeh</w:t>
      </w:r>
      <w:proofErr w:type="spellEnd"/>
      <w:r w:rsidRPr="0025277B">
        <w:rPr>
          <w:rFonts w:asciiTheme="majorHAnsi" w:hAnsiTheme="majorHAnsi" w:cstheme="majorHAnsi"/>
          <w:color w:val="000000" w:themeColor="text1"/>
          <w:sz w:val="24"/>
          <w:szCs w:val="24"/>
        </w:rPr>
        <w:t xml:space="preserve">, 2014; Dowse and van </w:t>
      </w:r>
      <w:proofErr w:type="spellStart"/>
      <w:r w:rsidRPr="0025277B">
        <w:rPr>
          <w:rFonts w:asciiTheme="majorHAnsi" w:hAnsiTheme="majorHAnsi" w:cstheme="majorHAnsi"/>
          <w:color w:val="000000" w:themeColor="text1"/>
          <w:sz w:val="24"/>
          <w:szCs w:val="24"/>
        </w:rPr>
        <w:t>Rensburg</w:t>
      </w:r>
      <w:proofErr w:type="spellEnd"/>
      <w:r w:rsidRPr="0025277B">
        <w:rPr>
          <w:rFonts w:asciiTheme="majorHAnsi" w:hAnsiTheme="majorHAnsi" w:cstheme="majorHAnsi"/>
          <w:color w:val="000000" w:themeColor="text1"/>
          <w:sz w:val="24"/>
          <w:szCs w:val="24"/>
        </w:rPr>
        <w:t xml:space="preserve">, 2015). It has also been found that students who worked in these groups report being more satisfied with the work they produce (Ong and </w:t>
      </w:r>
      <w:proofErr w:type="spellStart"/>
      <w:r w:rsidRPr="0025277B">
        <w:rPr>
          <w:rFonts w:asciiTheme="majorHAnsi" w:hAnsiTheme="majorHAnsi" w:cstheme="majorHAnsi"/>
          <w:color w:val="000000" w:themeColor="text1"/>
          <w:sz w:val="24"/>
          <w:szCs w:val="24"/>
        </w:rPr>
        <w:t>Maarof</w:t>
      </w:r>
      <w:proofErr w:type="spellEnd"/>
      <w:r w:rsidRPr="0025277B">
        <w:rPr>
          <w:rFonts w:asciiTheme="majorHAnsi" w:hAnsiTheme="majorHAnsi" w:cstheme="majorHAnsi"/>
          <w:color w:val="000000" w:themeColor="text1"/>
          <w:sz w:val="24"/>
          <w:szCs w:val="24"/>
        </w:rPr>
        <w:t>, 2013) which supports the assertion that ‘collaborative talk is motivating’ (Clarke, Dickinson and Westbrook 2010: 180). This then relates to the idea of shared writing tackling negative associations with writing and improving attitudes towards it.</w:t>
      </w:r>
    </w:p>
    <w:p w14:paraId="147E0C58" w14:textId="77777777" w:rsidR="0025277B" w:rsidRPr="0025277B" w:rsidRDefault="0025277B" w:rsidP="0025277B">
      <w:pPr>
        <w:rPr>
          <w:rFonts w:asciiTheme="majorHAnsi" w:hAnsiTheme="majorHAnsi" w:cstheme="majorHAnsi"/>
          <w:color w:val="000000" w:themeColor="text1"/>
          <w:sz w:val="24"/>
          <w:szCs w:val="24"/>
        </w:rPr>
      </w:pPr>
    </w:p>
    <w:p w14:paraId="42AC5792"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Students are to ‘generate ideas and contribute to the writing of a text in a supportive environment’ (</w:t>
      </w:r>
      <w:proofErr w:type="spellStart"/>
      <w:r w:rsidRPr="0025277B">
        <w:rPr>
          <w:rFonts w:asciiTheme="majorHAnsi" w:hAnsiTheme="majorHAnsi" w:cstheme="majorHAnsi"/>
          <w:sz w:val="24"/>
          <w:szCs w:val="24"/>
        </w:rPr>
        <w:t>Xerri</w:t>
      </w:r>
      <w:proofErr w:type="spellEnd"/>
      <w:r w:rsidRPr="0025277B">
        <w:rPr>
          <w:rFonts w:asciiTheme="majorHAnsi" w:hAnsiTheme="majorHAnsi" w:cstheme="majorHAnsi"/>
          <w:sz w:val="24"/>
          <w:szCs w:val="24"/>
        </w:rPr>
        <w:t>, 2011: 178). With this in mind, it is essential for there to be a rapport between teacher and learners in order to create that supportive environment because ‘trust is important if you want them to write’ (Mitchell, 2002: 166). Shared writing experiences help learners overcome a fear of writing and allow them to ‘develop the confidence to write on their own’ (</w:t>
      </w:r>
      <w:proofErr w:type="spellStart"/>
      <w:r w:rsidRPr="0025277B">
        <w:rPr>
          <w:rFonts w:asciiTheme="majorHAnsi" w:hAnsiTheme="majorHAnsi" w:cstheme="majorHAnsi"/>
          <w:sz w:val="24"/>
          <w:szCs w:val="24"/>
        </w:rPr>
        <w:t>Xerri</w:t>
      </w:r>
      <w:proofErr w:type="spellEnd"/>
      <w:r w:rsidRPr="0025277B">
        <w:rPr>
          <w:rFonts w:asciiTheme="majorHAnsi" w:hAnsiTheme="majorHAnsi" w:cstheme="majorHAnsi"/>
          <w:sz w:val="24"/>
          <w:szCs w:val="24"/>
        </w:rPr>
        <w:t>, 2011: 176), as they are initially afraid to fail and so modelling and writing together are essential first steps in growing that confidence (Corbett, 2010).</w:t>
      </w:r>
    </w:p>
    <w:p w14:paraId="68A86071" w14:textId="77777777" w:rsidR="0025277B" w:rsidRPr="0025277B" w:rsidRDefault="0025277B" w:rsidP="0025277B">
      <w:pPr>
        <w:rPr>
          <w:rFonts w:asciiTheme="majorHAnsi" w:hAnsiTheme="majorHAnsi" w:cstheme="majorHAnsi"/>
          <w:sz w:val="24"/>
          <w:szCs w:val="24"/>
        </w:rPr>
      </w:pPr>
    </w:p>
    <w:p w14:paraId="1E88B82D"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A crucial element to that environment are those within it, so in a process which relies so heavily on collaboration, both amongst learners and between learners and the teacher, it is obvious that a teacher will have an impact on the learning. The initial job is to ‘engage their pupils in carefully exploring and identifying key characteristics’ of the text (Dean, 2004: 118). Following this, they are to demonstrate how to create that sort of text via shared writing (Dean, 2004). The issues with these are that the teacher might fail to engage the pupils or not demonstrate with clarity, in which case the process is not beneficial to the learners. While pupils are in the writing phase, teachers are able to intervene at critical moments and, through collaboration, help scaffold the task for them and offer suggestions for improvement (Dean, 2004; Clarke, Dickinson, Westbrook, 2010). Of course, it is not ‘possible to work alongside all of these groups at the same time’ (Dean, 2004: 119) so the degree of guidance children receive will vary (Rees, 1996) because it is ‘more likely that the teacher would most likely choose to support less-confident readers at the very beginning of their writing, joining other groups at different. junctures in the writing process’ (Dean, 2004: 119). It is important for teachers to make these interventions and provide the necessary support ‘without being prescriptive or controlling’ (</w:t>
      </w:r>
      <w:proofErr w:type="spellStart"/>
      <w:r w:rsidRPr="0025277B">
        <w:rPr>
          <w:rFonts w:asciiTheme="majorHAnsi" w:hAnsiTheme="majorHAnsi" w:cstheme="majorHAnsi"/>
          <w:sz w:val="24"/>
          <w:szCs w:val="24"/>
        </w:rPr>
        <w:t>Womelsduff</w:t>
      </w:r>
      <w:proofErr w:type="spellEnd"/>
      <w:r w:rsidRPr="0025277B">
        <w:rPr>
          <w:rFonts w:asciiTheme="majorHAnsi" w:hAnsiTheme="majorHAnsi" w:cstheme="majorHAnsi"/>
          <w:sz w:val="24"/>
          <w:szCs w:val="24"/>
        </w:rPr>
        <w:t>, 2005: 27). This can be done through appropriate use of questions, using them to ‘verify and consolidate…understanding’ as well as probe learners to think in more depth (Booth and Swartz, 2004: 74).</w:t>
      </w:r>
    </w:p>
    <w:p w14:paraId="7E0E6A1D" w14:textId="77777777" w:rsidR="0025277B" w:rsidRPr="0025277B" w:rsidRDefault="0025277B" w:rsidP="0025277B">
      <w:pPr>
        <w:rPr>
          <w:rFonts w:asciiTheme="majorHAnsi" w:hAnsiTheme="majorHAnsi" w:cstheme="majorHAnsi"/>
          <w:sz w:val="24"/>
          <w:szCs w:val="24"/>
        </w:rPr>
      </w:pPr>
    </w:p>
    <w:p w14:paraId="0A09DD97"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While questioning is a powerful tool to gauge understanding from their verbal answers, ‘the text being written differs from the utterances spoken when writing collaboratively’ (</w:t>
      </w:r>
      <w:proofErr w:type="spellStart"/>
      <w:r w:rsidRPr="0025277B">
        <w:rPr>
          <w:rFonts w:asciiTheme="majorHAnsi" w:hAnsiTheme="majorHAnsi" w:cstheme="majorHAnsi"/>
          <w:sz w:val="24"/>
          <w:szCs w:val="24"/>
        </w:rPr>
        <w:t>Milian</w:t>
      </w:r>
      <w:proofErr w:type="spellEnd"/>
      <w:r w:rsidRPr="0025277B">
        <w:rPr>
          <w:rFonts w:asciiTheme="majorHAnsi" w:hAnsiTheme="majorHAnsi" w:cstheme="majorHAnsi"/>
          <w:sz w:val="24"/>
          <w:szCs w:val="24"/>
        </w:rPr>
        <w:t xml:space="preserve">, 2005: 336). </w:t>
      </w:r>
      <w:proofErr w:type="spellStart"/>
      <w:r w:rsidRPr="0025277B">
        <w:rPr>
          <w:rFonts w:asciiTheme="majorHAnsi" w:hAnsiTheme="majorHAnsi" w:cstheme="majorHAnsi"/>
          <w:sz w:val="24"/>
          <w:szCs w:val="24"/>
        </w:rPr>
        <w:t>Milian</w:t>
      </w:r>
      <w:proofErr w:type="spellEnd"/>
      <w:r w:rsidRPr="0025277B">
        <w:rPr>
          <w:rFonts w:asciiTheme="majorHAnsi" w:hAnsiTheme="majorHAnsi" w:cstheme="majorHAnsi"/>
          <w:sz w:val="24"/>
          <w:szCs w:val="24"/>
        </w:rPr>
        <w:t xml:space="preserve"> states that there will always be differences ‘between the way participants conceive the text in the process of planning’ verbally and the end product (2005: 336). Camps (1994) also makes the distinction between intended texts and written texts, stating that the two are often very dissimilar. These differences could relate to a previously made point that speech is in fact more natural to us, and so it is easier for us to express our thoughts through speech than it is through writing.</w:t>
      </w:r>
    </w:p>
    <w:p w14:paraId="3786917E" w14:textId="77777777" w:rsidR="0025277B" w:rsidRPr="0025277B" w:rsidRDefault="0025277B" w:rsidP="0025277B">
      <w:pPr>
        <w:rPr>
          <w:rFonts w:asciiTheme="majorHAnsi" w:hAnsiTheme="majorHAnsi" w:cstheme="majorHAnsi"/>
          <w:sz w:val="24"/>
          <w:szCs w:val="24"/>
        </w:rPr>
      </w:pPr>
    </w:p>
    <w:p w14:paraId="40886BFC"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When this approach has been applied, ‘the proportion </w:t>
      </w:r>
      <w:proofErr w:type="spellStart"/>
      <w:r w:rsidRPr="0025277B">
        <w:rPr>
          <w:rFonts w:asciiTheme="majorHAnsi" w:hAnsiTheme="majorHAnsi" w:cstheme="majorHAnsi"/>
          <w:color w:val="000000" w:themeColor="text1"/>
          <w:sz w:val="24"/>
          <w:szCs w:val="24"/>
        </w:rPr>
        <w:t>proportion</w:t>
      </w:r>
      <w:proofErr w:type="spellEnd"/>
      <w:r w:rsidRPr="0025277B">
        <w:rPr>
          <w:rFonts w:asciiTheme="majorHAnsi" w:hAnsiTheme="majorHAnsi" w:cstheme="majorHAnsi"/>
          <w:color w:val="000000" w:themeColor="text1"/>
          <w:sz w:val="24"/>
          <w:szCs w:val="24"/>
        </w:rPr>
        <w:t xml:space="preserve"> of children attaining the expected levels at the end of primary school has increased from around 30% to well over 90%’ (Strong, 2013: 8). While it is mostly suitable for younger learners, and was originally devised for primary schools (</w:t>
      </w:r>
      <w:proofErr w:type="spellStart"/>
      <w:r w:rsidRPr="0025277B">
        <w:rPr>
          <w:rFonts w:asciiTheme="majorHAnsi" w:hAnsiTheme="majorHAnsi" w:cstheme="majorHAnsi"/>
          <w:color w:val="000000" w:themeColor="text1"/>
          <w:sz w:val="24"/>
          <w:szCs w:val="24"/>
        </w:rPr>
        <w:t>DfEE</w:t>
      </w:r>
      <w:proofErr w:type="spellEnd"/>
      <w:r w:rsidRPr="0025277B">
        <w:rPr>
          <w:rFonts w:asciiTheme="majorHAnsi" w:hAnsiTheme="majorHAnsi" w:cstheme="majorHAnsi"/>
          <w:color w:val="000000" w:themeColor="text1"/>
          <w:sz w:val="24"/>
          <w:szCs w:val="24"/>
        </w:rPr>
        <w:t>, 2011; Strong, 2013), it is believed that it should be a feature of all writing programmes, regardless of age (</w:t>
      </w:r>
      <w:proofErr w:type="spellStart"/>
      <w:r w:rsidRPr="0025277B">
        <w:rPr>
          <w:rFonts w:asciiTheme="majorHAnsi" w:hAnsiTheme="majorHAnsi" w:cstheme="majorHAnsi"/>
          <w:color w:val="000000" w:themeColor="text1"/>
          <w:sz w:val="24"/>
          <w:szCs w:val="24"/>
        </w:rPr>
        <w:t>Routman</w:t>
      </w:r>
      <w:proofErr w:type="spellEnd"/>
      <w:r w:rsidRPr="0025277B">
        <w:rPr>
          <w:rFonts w:asciiTheme="majorHAnsi" w:hAnsiTheme="majorHAnsi" w:cstheme="majorHAnsi"/>
          <w:color w:val="000000" w:themeColor="text1"/>
          <w:sz w:val="24"/>
          <w:szCs w:val="24"/>
        </w:rPr>
        <w:t>, 2005).</w:t>
      </w:r>
    </w:p>
    <w:p w14:paraId="4CA37AE3" w14:textId="77777777" w:rsidR="0025277B" w:rsidRPr="0025277B" w:rsidRDefault="0025277B" w:rsidP="0025277B">
      <w:pPr>
        <w:rPr>
          <w:rFonts w:asciiTheme="majorHAnsi" w:hAnsiTheme="majorHAnsi" w:cstheme="majorHAnsi"/>
          <w:sz w:val="28"/>
          <w:szCs w:val="24"/>
          <w:u w:val="single"/>
        </w:rPr>
      </w:pPr>
    </w:p>
    <w:p w14:paraId="36AE3639" w14:textId="77777777" w:rsidR="0025277B" w:rsidRPr="0025277B" w:rsidRDefault="0025277B" w:rsidP="0025277B">
      <w:pPr>
        <w:rPr>
          <w:rFonts w:asciiTheme="majorHAnsi" w:hAnsiTheme="majorHAnsi" w:cstheme="majorHAnsi"/>
          <w:sz w:val="28"/>
          <w:szCs w:val="24"/>
          <w:u w:val="single"/>
        </w:rPr>
      </w:pPr>
      <w:r w:rsidRPr="0025277B">
        <w:rPr>
          <w:rFonts w:asciiTheme="majorHAnsi" w:hAnsiTheme="majorHAnsi" w:cstheme="majorHAnsi"/>
          <w:sz w:val="28"/>
          <w:szCs w:val="24"/>
          <w:u w:val="single"/>
        </w:rPr>
        <w:t xml:space="preserve">Methodology and Ethics </w:t>
      </w:r>
    </w:p>
    <w:p w14:paraId="546307CA" w14:textId="77777777" w:rsidR="0025277B" w:rsidRPr="0025277B" w:rsidRDefault="0025277B" w:rsidP="0025277B">
      <w:pPr>
        <w:rPr>
          <w:rFonts w:asciiTheme="majorHAnsi" w:hAnsiTheme="majorHAnsi" w:cstheme="majorHAnsi"/>
          <w:sz w:val="24"/>
          <w:szCs w:val="24"/>
          <w:u w:val="single"/>
        </w:rPr>
      </w:pPr>
    </w:p>
    <w:p w14:paraId="762EBD7A"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It is thought that ‘to conduct good research, it is vital to construct meaningful variables and to measure the variables properly’ (</w:t>
      </w:r>
      <w:proofErr w:type="spellStart"/>
      <w:r w:rsidRPr="0025277B">
        <w:rPr>
          <w:rFonts w:asciiTheme="majorHAnsi" w:hAnsiTheme="majorHAnsi" w:cstheme="majorHAnsi"/>
          <w:sz w:val="24"/>
          <w:szCs w:val="24"/>
        </w:rPr>
        <w:t>Vanderstoep</w:t>
      </w:r>
      <w:proofErr w:type="spellEnd"/>
      <w:r w:rsidRPr="0025277B">
        <w:rPr>
          <w:rFonts w:asciiTheme="majorHAnsi" w:hAnsiTheme="majorHAnsi" w:cstheme="majorHAnsi"/>
          <w:sz w:val="24"/>
          <w:szCs w:val="24"/>
        </w:rPr>
        <w:t xml:space="preserve"> and Johnston, 2008: 47). As a result, before conducting any research, it is vital to consider potential methods for research and data collection. I aim for research to address the following questions:</w:t>
      </w:r>
    </w:p>
    <w:p w14:paraId="7A27DD24" w14:textId="77777777" w:rsidR="0025277B" w:rsidRPr="0025277B" w:rsidRDefault="0025277B" w:rsidP="0025277B">
      <w:pPr>
        <w:pStyle w:val="ListParagraph"/>
        <w:numPr>
          <w:ilvl w:val="0"/>
          <w:numId w:val="25"/>
        </w:numPr>
        <w:rPr>
          <w:rFonts w:asciiTheme="majorHAnsi" w:hAnsiTheme="majorHAnsi" w:cstheme="majorHAnsi"/>
          <w:sz w:val="24"/>
          <w:szCs w:val="24"/>
        </w:rPr>
      </w:pPr>
      <w:r w:rsidRPr="0025277B">
        <w:rPr>
          <w:rFonts w:asciiTheme="majorHAnsi" w:hAnsiTheme="majorHAnsi" w:cstheme="majorHAnsi"/>
          <w:sz w:val="24"/>
          <w:szCs w:val="24"/>
        </w:rPr>
        <w:t>Do shared writing approaches improve the reading attainment of year 9 pupils?</w:t>
      </w:r>
    </w:p>
    <w:p w14:paraId="665B969A" w14:textId="77777777" w:rsidR="0025277B" w:rsidRPr="0025277B" w:rsidRDefault="0025277B" w:rsidP="0025277B">
      <w:pPr>
        <w:pStyle w:val="ListParagraph"/>
        <w:numPr>
          <w:ilvl w:val="0"/>
          <w:numId w:val="25"/>
        </w:numPr>
        <w:rPr>
          <w:rFonts w:asciiTheme="majorHAnsi" w:hAnsiTheme="majorHAnsi" w:cstheme="majorHAnsi"/>
          <w:sz w:val="24"/>
          <w:szCs w:val="24"/>
        </w:rPr>
      </w:pPr>
      <w:r w:rsidRPr="0025277B">
        <w:rPr>
          <w:rFonts w:asciiTheme="majorHAnsi" w:hAnsiTheme="majorHAnsi" w:cstheme="majorHAnsi"/>
          <w:sz w:val="24"/>
          <w:szCs w:val="24"/>
        </w:rPr>
        <w:t>Do shared writing approaches improve the reading attainment of boys?</w:t>
      </w:r>
    </w:p>
    <w:p w14:paraId="62AD7AC5" w14:textId="77777777" w:rsidR="0025277B" w:rsidRPr="0025277B" w:rsidRDefault="0025277B" w:rsidP="0025277B">
      <w:pPr>
        <w:rPr>
          <w:rFonts w:asciiTheme="majorHAnsi" w:hAnsiTheme="majorHAnsi" w:cstheme="majorHAnsi"/>
          <w:sz w:val="24"/>
          <w:szCs w:val="24"/>
        </w:rPr>
      </w:pPr>
    </w:p>
    <w:p w14:paraId="344BB5D4"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In order for me to assess any level of improvement and track progress, I must first have a baseline to work from. By this, I mean that I should have their attainment levels in reading prior to the research to gauge how much, if any, they improve after the intervention. Cohen et al had suggested that this idea of using a ‘placement test’, or pre-test, prior to the study itself as an indicator of their ‘starting abilities’, followed by a summative assessment after the intervention which is ‘designed to measure achievement’ (2013: 481). Due to the school’s curriculum, each module is assessed in the form of summative assessment and so my study aligned with the school’s regular teaching practice. Furthermore, I started teaching this class the lesson after they had finished a previous assessment. </w:t>
      </w:r>
    </w:p>
    <w:p w14:paraId="578B4CD2" w14:textId="77777777" w:rsidR="0025277B" w:rsidRPr="0025277B" w:rsidRDefault="0025277B" w:rsidP="0025277B">
      <w:pPr>
        <w:rPr>
          <w:rFonts w:asciiTheme="majorHAnsi" w:hAnsiTheme="majorHAnsi" w:cstheme="majorHAnsi"/>
          <w:sz w:val="24"/>
          <w:szCs w:val="24"/>
        </w:rPr>
      </w:pPr>
    </w:p>
    <w:p w14:paraId="160F0715"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Cohen et al (2013) and </w:t>
      </w:r>
      <w:proofErr w:type="spellStart"/>
      <w:r w:rsidRPr="0025277B">
        <w:rPr>
          <w:rFonts w:asciiTheme="majorHAnsi" w:hAnsiTheme="majorHAnsi" w:cstheme="majorHAnsi"/>
          <w:sz w:val="24"/>
          <w:szCs w:val="24"/>
        </w:rPr>
        <w:t>Vanderstoep</w:t>
      </w:r>
      <w:proofErr w:type="spellEnd"/>
      <w:r w:rsidRPr="0025277B">
        <w:rPr>
          <w:rFonts w:asciiTheme="majorHAnsi" w:hAnsiTheme="majorHAnsi" w:cstheme="majorHAnsi"/>
          <w:sz w:val="24"/>
          <w:szCs w:val="24"/>
        </w:rPr>
        <w:t xml:space="preserve"> and Johnston (2008) suggest the importance of the tests’ timings and that they should be taken into consideration when making preparations. They suggest that both the day and the time of day can impact pupils’ performance and so it should remain a consistent variable for best results. </w:t>
      </w:r>
    </w:p>
    <w:p w14:paraId="598F6E98" w14:textId="77777777" w:rsidR="0025277B" w:rsidRPr="0025277B" w:rsidRDefault="0025277B" w:rsidP="0025277B">
      <w:pPr>
        <w:rPr>
          <w:rFonts w:asciiTheme="majorHAnsi" w:hAnsiTheme="majorHAnsi" w:cstheme="majorHAnsi"/>
          <w:sz w:val="24"/>
          <w:szCs w:val="24"/>
        </w:rPr>
      </w:pPr>
    </w:p>
    <w:p w14:paraId="6E929F5F"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Cohen et al (2013) also suggest that these tests should have the same level of difficulty (493) to ensure that results are representative of the intervention’s effect. With this in mind, it is difficult to measure the ‘difficulty’ of a reading question, but each test will be marked in accordance with the National Curriculum Key Stage 3 Attainment Levels (Curriculum for Wales, 2015). </w:t>
      </w:r>
    </w:p>
    <w:p w14:paraId="09F8FDC5" w14:textId="77777777" w:rsidR="0025277B" w:rsidRPr="0025277B" w:rsidRDefault="0025277B" w:rsidP="0025277B">
      <w:pPr>
        <w:rPr>
          <w:rFonts w:asciiTheme="majorHAnsi" w:hAnsiTheme="majorHAnsi" w:cstheme="majorHAnsi"/>
          <w:sz w:val="24"/>
          <w:szCs w:val="24"/>
          <w:u w:val="single"/>
        </w:rPr>
      </w:pPr>
    </w:p>
    <w:p w14:paraId="302C2497"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The first step in conducting research is to understand why you are carrying out that research and set clearly defined objectives (Cohen et al, 2013; </w:t>
      </w:r>
      <w:proofErr w:type="spellStart"/>
      <w:r w:rsidRPr="0025277B">
        <w:rPr>
          <w:rFonts w:asciiTheme="majorHAnsi" w:hAnsiTheme="majorHAnsi" w:cstheme="majorHAnsi"/>
          <w:sz w:val="24"/>
          <w:szCs w:val="24"/>
        </w:rPr>
        <w:t>Goertzen</w:t>
      </w:r>
      <w:proofErr w:type="spellEnd"/>
      <w:r w:rsidRPr="0025277B">
        <w:rPr>
          <w:rFonts w:asciiTheme="majorHAnsi" w:hAnsiTheme="majorHAnsi" w:cstheme="majorHAnsi"/>
          <w:sz w:val="24"/>
          <w:szCs w:val="24"/>
        </w:rPr>
        <w:t>, 2017). Once the objectives have been defined and set, the next step is to consider who the research will be conducted on and by extension its sample size. Selecting a sample size is vital in research and ‘too small a sample might not be representative’ (Cohen et al, 2013: 145). While its size is important, there is ‘no clear-cut answer as to how large a sample size should be’ (Cohen et al, 2013: 144), as it will vary according to the statistics that will be required to be used (Cohen et al, 2013). Some researchers will ‘work from the bottom up’ in that they ‘determine the minimum number of respondents needed to conduct the research’ (Bailey, 1994 in Cohen et al, 2013: 143). However, in the research I will be conducting I will have no control over the sample size. I am selecting a class and the number of pupils in that class will form my sample size. While I could focus on a specific number of pupils within the class to have control over the sample size, that will result in it being too small and would also involve me withholding information from the rest of the class.</w:t>
      </w:r>
    </w:p>
    <w:p w14:paraId="28848D46" w14:textId="77777777" w:rsidR="0025277B" w:rsidRPr="0025277B" w:rsidRDefault="0025277B" w:rsidP="0025277B">
      <w:pPr>
        <w:rPr>
          <w:rFonts w:asciiTheme="majorHAnsi" w:hAnsiTheme="majorHAnsi" w:cstheme="majorHAnsi"/>
          <w:sz w:val="24"/>
          <w:szCs w:val="24"/>
        </w:rPr>
      </w:pPr>
    </w:p>
    <w:p w14:paraId="002C76CC"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Data captures and represents the reality of what we have experienced and wish to explain (</w:t>
      </w:r>
      <w:proofErr w:type="spellStart"/>
      <w:r w:rsidRPr="0025277B">
        <w:rPr>
          <w:rFonts w:asciiTheme="majorHAnsi" w:hAnsiTheme="majorHAnsi" w:cstheme="majorHAnsi"/>
          <w:sz w:val="24"/>
          <w:szCs w:val="24"/>
        </w:rPr>
        <w:t>Goertzen</w:t>
      </w:r>
      <w:proofErr w:type="spellEnd"/>
      <w:r w:rsidRPr="0025277B">
        <w:rPr>
          <w:rFonts w:asciiTheme="majorHAnsi" w:hAnsiTheme="majorHAnsi" w:cstheme="majorHAnsi"/>
          <w:sz w:val="24"/>
          <w:szCs w:val="24"/>
        </w:rPr>
        <w:t>, 2017). There are two forms of data which enable us to do this: quantitative and qualitative. Quantitative data refers to data which can be collected and analysed numerically, and can provide evidence for collection (</w:t>
      </w:r>
      <w:proofErr w:type="spellStart"/>
      <w:r w:rsidRPr="0025277B">
        <w:rPr>
          <w:rFonts w:asciiTheme="majorHAnsi" w:hAnsiTheme="majorHAnsi" w:cstheme="majorHAnsi"/>
          <w:sz w:val="24"/>
          <w:szCs w:val="24"/>
        </w:rPr>
        <w:t>Goertzen</w:t>
      </w:r>
      <w:proofErr w:type="spellEnd"/>
      <w:r w:rsidRPr="0025277B">
        <w:rPr>
          <w:rFonts w:asciiTheme="majorHAnsi" w:hAnsiTheme="majorHAnsi" w:cstheme="majorHAnsi"/>
          <w:sz w:val="24"/>
          <w:szCs w:val="24"/>
        </w:rPr>
        <w:t>, 2017). One of quantitative data’s central goals is to</w:t>
      </w:r>
      <w:r w:rsidRPr="0025277B">
        <w:rPr>
          <w:rFonts w:asciiTheme="majorHAnsi" w:hAnsiTheme="majorHAnsi" w:cstheme="majorHAnsi"/>
          <w:color w:val="000000" w:themeColor="text1"/>
          <w:sz w:val="24"/>
          <w:szCs w:val="24"/>
        </w:rPr>
        <w:t xml:space="preserve"> ‘build accurate and reliable measurements that allow for statistical analysis’ (</w:t>
      </w:r>
      <w:proofErr w:type="spellStart"/>
      <w:r w:rsidRPr="0025277B">
        <w:rPr>
          <w:rFonts w:asciiTheme="majorHAnsi" w:hAnsiTheme="majorHAnsi" w:cstheme="majorHAnsi"/>
          <w:color w:val="000000" w:themeColor="text1"/>
          <w:sz w:val="24"/>
          <w:szCs w:val="24"/>
        </w:rPr>
        <w:t>Goerzten</w:t>
      </w:r>
      <w:proofErr w:type="spellEnd"/>
      <w:r w:rsidRPr="0025277B">
        <w:rPr>
          <w:rFonts w:asciiTheme="majorHAnsi" w:hAnsiTheme="majorHAnsi" w:cstheme="majorHAnsi"/>
          <w:color w:val="000000" w:themeColor="text1"/>
          <w:sz w:val="24"/>
          <w:szCs w:val="24"/>
        </w:rPr>
        <w:t>, 2017: 12). The data collected through quantitative methods are ‘large and be easily examined for a variety of purpose’ (</w:t>
      </w:r>
      <w:proofErr w:type="spellStart"/>
      <w:r w:rsidRPr="0025277B">
        <w:rPr>
          <w:rFonts w:asciiTheme="majorHAnsi" w:hAnsiTheme="majorHAnsi" w:cstheme="majorHAnsi"/>
          <w:color w:val="000000" w:themeColor="text1"/>
          <w:sz w:val="24"/>
          <w:szCs w:val="24"/>
        </w:rPr>
        <w:t>Goertzen</w:t>
      </w:r>
      <w:proofErr w:type="spellEnd"/>
      <w:r w:rsidRPr="0025277B">
        <w:rPr>
          <w:rFonts w:asciiTheme="majorHAnsi" w:hAnsiTheme="majorHAnsi" w:cstheme="majorHAnsi"/>
          <w:color w:val="000000" w:themeColor="text1"/>
          <w:sz w:val="24"/>
          <w:szCs w:val="24"/>
        </w:rPr>
        <w:t>, 2017: 17). However, the data set will only ever be as large as the sample size. So the validity of this assertion rests on the sample size, and in my research the sample size is as big as the class so the data set will also only be as big as the class. The findings produced by quantitative data ‘uncover behaviours and trends’ but ‘not the motivation behind observed behaviours’ (</w:t>
      </w:r>
      <w:proofErr w:type="spellStart"/>
      <w:r w:rsidRPr="0025277B">
        <w:rPr>
          <w:rFonts w:asciiTheme="majorHAnsi" w:hAnsiTheme="majorHAnsi" w:cstheme="majorHAnsi"/>
          <w:color w:val="000000" w:themeColor="text1"/>
          <w:sz w:val="24"/>
          <w:szCs w:val="24"/>
        </w:rPr>
        <w:t>Goertzen</w:t>
      </w:r>
      <w:proofErr w:type="spellEnd"/>
      <w:r w:rsidRPr="0025277B">
        <w:rPr>
          <w:rFonts w:asciiTheme="majorHAnsi" w:hAnsiTheme="majorHAnsi" w:cstheme="majorHAnsi"/>
          <w:color w:val="000000" w:themeColor="text1"/>
          <w:sz w:val="24"/>
          <w:szCs w:val="24"/>
        </w:rPr>
        <w:t xml:space="preserve">, 2017: 12). </w:t>
      </w:r>
      <w:proofErr w:type="spellStart"/>
      <w:r w:rsidRPr="0025277B">
        <w:rPr>
          <w:rFonts w:asciiTheme="majorHAnsi" w:hAnsiTheme="majorHAnsi" w:cstheme="majorHAnsi"/>
          <w:color w:val="000000" w:themeColor="text1"/>
          <w:sz w:val="24"/>
          <w:szCs w:val="24"/>
        </w:rPr>
        <w:t>Vanderstoep</w:t>
      </w:r>
      <w:proofErr w:type="spellEnd"/>
      <w:r w:rsidRPr="0025277B">
        <w:rPr>
          <w:rFonts w:asciiTheme="majorHAnsi" w:hAnsiTheme="majorHAnsi" w:cstheme="majorHAnsi"/>
          <w:color w:val="000000" w:themeColor="text1"/>
          <w:sz w:val="24"/>
          <w:szCs w:val="24"/>
        </w:rPr>
        <w:t xml:space="preserve"> and Johnston suggest that the use of quantitate data is beneficial because, in using this for </w:t>
      </w:r>
      <w:proofErr w:type="gramStart"/>
      <w:r w:rsidRPr="0025277B">
        <w:rPr>
          <w:rFonts w:asciiTheme="majorHAnsi" w:hAnsiTheme="majorHAnsi" w:cstheme="majorHAnsi"/>
          <w:color w:val="000000" w:themeColor="text1"/>
          <w:sz w:val="24"/>
          <w:szCs w:val="24"/>
        </w:rPr>
        <w:t>my</w:t>
      </w:r>
      <w:proofErr w:type="gramEnd"/>
      <w:r w:rsidRPr="0025277B">
        <w:rPr>
          <w:rFonts w:asciiTheme="majorHAnsi" w:hAnsiTheme="majorHAnsi" w:cstheme="majorHAnsi"/>
          <w:color w:val="000000" w:themeColor="text1"/>
          <w:sz w:val="24"/>
          <w:szCs w:val="24"/>
        </w:rPr>
        <w:t xml:space="preserve"> of data, the finding will move accurately ‘reflect the overall population’ which will allow for ‘statistical validity’ (2008: 7).</w:t>
      </w:r>
    </w:p>
    <w:p w14:paraId="44D624B6" w14:textId="77777777" w:rsidR="0025277B" w:rsidRPr="0025277B" w:rsidRDefault="0025277B" w:rsidP="0025277B">
      <w:pPr>
        <w:rPr>
          <w:rFonts w:asciiTheme="majorHAnsi" w:hAnsiTheme="majorHAnsi" w:cstheme="majorHAnsi"/>
          <w:sz w:val="24"/>
          <w:szCs w:val="24"/>
        </w:rPr>
      </w:pPr>
    </w:p>
    <w:p w14:paraId="664B2139"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Data which is able to explain the motivation behind the observed behaviours, including how people ‘think, feel, or act’ (</w:t>
      </w:r>
      <w:proofErr w:type="spellStart"/>
      <w:r w:rsidRPr="0025277B">
        <w:rPr>
          <w:rFonts w:asciiTheme="majorHAnsi" w:hAnsiTheme="majorHAnsi" w:cstheme="majorHAnsi"/>
          <w:sz w:val="24"/>
          <w:szCs w:val="24"/>
        </w:rPr>
        <w:t>Goertzen</w:t>
      </w:r>
      <w:proofErr w:type="spellEnd"/>
      <w:r w:rsidRPr="0025277B">
        <w:rPr>
          <w:rFonts w:asciiTheme="majorHAnsi" w:hAnsiTheme="majorHAnsi" w:cstheme="majorHAnsi"/>
          <w:sz w:val="24"/>
          <w:szCs w:val="24"/>
        </w:rPr>
        <w:t>, 2017: 12) is qualitative. The literature on qualitative research emphasises the importance of higher-order thinking skills (McLaughlin and Talbert, 1993). The teaching of higher-order thinking skills focuses on ‘conveying understanding’ rather than ‘conveying information’ (</w:t>
      </w:r>
      <w:proofErr w:type="spellStart"/>
      <w:r w:rsidRPr="0025277B">
        <w:rPr>
          <w:rFonts w:asciiTheme="majorHAnsi" w:hAnsiTheme="majorHAnsi" w:cstheme="majorHAnsi"/>
          <w:sz w:val="24"/>
          <w:szCs w:val="24"/>
        </w:rPr>
        <w:t>Wenglinsky</w:t>
      </w:r>
      <w:proofErr w:type="spellEnd"/>
      <w:r w:rsidRPr="0025277B">
        <w:rPr>
          <w:rFonts w:asciiTheme="majorHAnsi" w:hAnsiTheme="majorHAnsi" w:cstheme="majorHAnsi"/>
          <w:sz w:val="24"/>
          <w:szCs w:val="24"/>
        </w:rPr>
        <w:t>, 2001: 5). These skills are learned through application and simulation; learners either apply the concepts to problems or are provided with concrete versions of the concept (</w:t>
      </w:r>
      <w:proofErr w:type="spellStart"/>
      <w:r w:rsidRPr="0025277B">
        <w:rPr>
          <w:rFonts w:asciiTheme="majorHAnsi" w:hAnsiTheme="majorHAnsi" w:cstheme="majorHAnsi"/>
          <w:sz w:val="24"/>
          <w:szCs w:val="24"/>
        </w:rPr>
        <w:t>Wenglinsky</w:t>
      </w:r>
      <w:proofErr w:type="spellEnd"/>
      <w:r w:rsidRPr="0025277B">
        <w:rPr>
          <w:rFonts w:asciiTheme="majorHAnsi" w:hAnsiTheme="majorHAnsi" w:cstheme="majorHAnsi"/>
          <w:sz w:val="24"/>
          <w:szCs w:val="24"/>
        </w:rPr>
        <w:t>, 2001: 5). The learners ‘learn to understand the concept by putting it in another concept’ (</w:t>
      </w:r>
      <w:proofErr w:type="spellStart"/>
      <w:r w:rsidRPr="0025277B">
        <w:rPr>
          <w:rFonts w:asciiTheme="majorHAnsi" w:hAnsiTheme="majorHAnsi" w:cstheme="majorHAnsi"/>
          <w:sz w:val="24"/>
          <w:szCs w:val="24"/>
        </w:rPr>
        <w:t>Wenglinsky</w:t>
      </w:r>
      <w:proofErr w:type="spellEnd"/>
      <w:r w:rsidRPr="0025277B">
        <w:rPr>
          <w:rFonts w:asciiTheme="majorHAnsi" w:hAnsiTheme="majorHAnsi" w:cstheme="majorHAnsi"/>
          <w:sz w:val="24"/>
          <w:szCs w:val="24"/>
        </w:rPr>
        <w:t xml:space="preserve">, 2001: 5). </w:t>
      </w:r>
    </w:p>
    <w:p w14:paraId="6B467E64" w14:textId="77777777" w:rsidR="0025277B" w:rsidRPr="0025277B" w:rsidRDefault="0025277B" w:rsidP="0025277B">
      <w:pPr>
        <w:rPr>
          <w:rFonts w:asciiTheme="majorHAnsi" w:hAnsiTheme="majorHAnsi" w:cstheme="majorHAnsi"/>
          <w:sz w:val="24"/>
          <w:szCs w:val="24"/>
        </w:rPr>
      </w:pPr>
    </w:p>
    <w:p w14:paraId="0A6BB7BF"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In my research, I used a combination of both quantitative and qualitative data. The results, and general focus, of the research will centre around quantitative data in that it is the pupils’ attainment levels which will signal any progress, if any, made from the intervention. The qualitative data refers to the learners’ verbal contribution in class. Through this, along with questioning, I was able to gauge their understanding of the topic and track the progress of their understanding through their contributions. </w:t>
      </w:r>
    </w:p>
    <w:p w14:paraId="6174BFC6" w14:textId="77777777" w:rsidR="0025277B" w:rsidRPr="0025277B" w:rsidRDefault="0025277B" w:rsidP="0025277B">
      <w:pPr>
        <w:rPr>
          <w:rFonts w:asciiTheme="majorHAnsi" w:hAnsiTheme="majorHAnsi" w:cstheme="majorHAnsi"/>
          <w:sz w:val="24"/>
          <w:szCs w:val="24"/>
        </w:rPr>
      </w:pPr>
    </w:p>
    <w:p w14:paraId="56EE0145"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My study aims to uncover whether shared writing approaches improve written responses to reading assessments in a year 9 class. Assessments are marked and levelled in accordance with the National Curriculum Guidelines (Curriculum for Wales, 2015), thus given a numerical value. The learners’ pre and post tests have also been assessed numerically and this will allow for easier comparison between the two, in terms of progress. </w:t>
      </w:r>
    </w:p>
    <w:p w14:paraId="03B394F4" w14:textId="77777777" w:rsidR="0025277B" w:rsidRPr="0025277B" w:rsidRDefault="0025277B" w:rsidP="0025277B">
      <w:pPr>
        <w:rPr>
          <w:rFonts w:asciiTheme="majorHAnsi" w:hAnsiTheme="majorHAnsi" w:cstheme="majorHAnsi"/>
          <w:sz w:val="24"/>
          <w:szCs w:val="24"/>
        </w:rPr>
      </w:pPr>
    </w:p>
    <w:p w14:paraId="1B6602CD"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To ensure that I respected the rights of my pupils to ‘exert control over their lives and to take decisions for themselves’ (Cohen, et al, 2013: 77), my study strictly adhered to the British Educational Research Association’s (BERA, 2011) ethical guidelines for educational research. Essentially, this takes the form of informed consent and anonymity. When presenting the pupils’ initial attainment and subsequent progress they will be anonymised as: Pupil A, Pupil B, Pupil C etc. </w:t>
      </w:r>
    </w:p>
    <w:p w14:paraId="338621C1" w14:textId="77777777" w:rsidR="0025277B" w:rsidRPr="0025277B" w:rsidRDefault="0025277B" w:rsidP="0025277B">
      <w:pPr>
        <w:rPr>
          <w:rFonts w:asciiTheme="majorHAnsi" w:hAnsiTheme="majorHAnsi" w:cstheme="majorHAnsi"/>
          <w:sz w:val="24"/>
          <w:szCs w:val="24"/>
        </w:rPr>
      </w:pPr>
    </w:p>
    <w:p w14:paraId="3BC9B431"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Informed consent refers to the ‘procedures in which individuals choose whether to participate in an investigation after being informed of facts that would be likely to influence their decision’ (</w:t>
      </w:r>
      <w:proofErr w:type="spellStart"/>
      <w:r w:rsidRPr="0025277B">
        <w:rPr>
          <w:rFonts w:asciiTheme="majorHAnsi" w:hAnsiTheme="majorHAnsi" w:cstheme="majorHAnsi"/>
          <w:sz w:val="24"/>
          <w:szCs w:val="24"/>
        </w:rPr>
        <w:t>Diener</w:t>
      </w:r>
      <w:proofErr w:type="spellEnd"/>
      <w:r w:rsidRPr="0025277B">
        <w:rPr>
          <w:rFonts w:asciiTheme="majorHAnsi" w:hAnsiTheme="majorHAnsi" w:cstheme="majorHAnsi"/>
          <w:sz w:val="24"/>
          <w:szCs w:val="24"/>
        </w:rPr>
        <w:t xml:space="preserve"> and Crandall, 1978: 58). In addition to this definition, Cohen et al stress that in order for someone to give informed consent, the need to have ‘competence, voluntarism, full information and comprehension’ (2013: 78). Consequently, all of the aforementioned literature (</w:t>
      </w:r>
      <w:proofErr w:type="spellStart"/>
      <w:r w:rsidRPr="0025277B">
        <w:rPr>
          <w:rFonts w:asciiTheme="majorHAnsi" w:hAnsiTheme="majorHAnsi" w:cstheme="majorHAnsi"/>
          <w:sz w:val="24"/>
          <w:szCs w:val="24"/>
        </w:rPr>
        <w:t>Diener</w:t>
      </w:r>
      <w:proofErr w:type="spellEnd"/>
      <w:r w:rsidRPr="0025277B">
        <w:rPr>
          <w:rFonts w:asciiTheme="majorHAnsi" w:hAnsiTheme="majorHAnsi" w:cstheme="majorHAnsi"/>
          <w:sz w:val="24"/>
          <w:szCs w:val="24"/>
        </w:rPr>
        <w:t xml:space="preserve"> and Crandall, 1978; BERA, 2011; Cohen et al, 2013) hold the belief that informed consent is crucial to ethical practice in research. As a result, prior to the intervention taking place, all of this information was explained to the pupils, including the study itself, how it was being tested, its anonymity and the use of data. I also gave the pupils an opportunity to ask any questions they had regarding the study, and as a result, no student opted out of the research. As School X regularly carries out research on its pupils, consent forms are sent home at the beginning of every academic year so I was advised that verbal consent would be sufficient.  </w:t>
      </w:r>
    </w:p>
    <w:p w14:paraId="441295CA" w14:textId="77777777" w:rsidR="0025277B" w:rsidRPr="0025277B" w:rsidRDefault="0025277B" w:rsidP="0025277B">
      <w:pPr>
        <w:rPr>
          <w:rFonts w:asciiTheme="majorHAnsi" w:hAnsiTheme="majorHAnsi" w:cstheme="majorHAnsi"/>
          <w:sz w:val="24"/>
          <w:szCs w:val="24"/>
        </w:rPr>
      </w:pPr>
    </w:p>
    <w:p w14:paraId="180945FE"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sz w:val="24"/>
          <w:szCs w:val="24"/>
        </w:rPr>
        <w:t xml:space="preserve">Barrow (2010) discusses the ‘power relations between a teacher and their pupils’ (68) and how they can complicate any form of interaction between teacher and pupil, particularly one which requires the consent of a pupil. It is important that they do not ‘feel coerced or pressurised to volunteer’ (Cohen et al, 2013: 80). In order to avoid imposing any pressure on the pupils, I explained to them that a decision to not take part would not in any way result in any negative consequences. Furthermore, they were made aware of their right to withdraw from the study, and reminded of this fact frequently. Equally, pupils were not offered any incentives to take part in the study. </w:t>
      </w:r>
    </w:p>
    <w:p w14:paraId="36CEF26C" w14:textId="77777777" w:rsidR="0025277B" w:rsidRPr="0025277B" w:rsidRDefault="0025277B" w:rsidP="0025277B">
      <w:pPr>
        <w:rPr>
          <w:rFonts w:asciiTheme="majorHAnsi" w:hAnsiTheme="majorHAnsi" w:cstheme="majorHAnsi"/>
          <w:sz w:val="24"/>
          <w:szCs w:val="24"/>
          <w:u w:val="single"/>
        </w:rPr>
      </w:pPr>
    </w:p>
    <w:p w14:paraId="3C36E836" w14:textId="77777777" w:rsidR="0025277B" w:rsidRPr="0025277B" w:rsidRDefault="0025277B" w:rsidP="0025277B">
      <w:pPr>
        <w:rPr>
          <w:rFonts w:asciiTheme="majorHAnsi" w:hAnsiTheme="majorHAnsi" w:cstheme="majorHAnsi"/>
          <w:sz w:val="24"/>
          <w:szCs w:val="24"/>
          <w:u w:val="single"/>
        </w:rPr>
      </w:pPr>
    </w:p>
    <w:p w14:paraId="21772454" w14:textId="77777777" w:rsidR="0025277B" w:rsidRPr="0025277B" w:rsidRDefault="0025277B" w:rsidP="0025277B">
      <w:pPr>
        <w:rPr>
          <w:rFonts w:asciiTheme="majorHAnsi" w:hAnsiTheme="majorHAnsi" w:cstheme="majorHAnsi"/>
          <w:sz w:val="28"/>
          <w:szCs w:val="24"/>
          <w:u w:val="single"/>
        </w:rPr>
      </w:pPr>
      <w:r w:rsidRPr="0025277B">
        <w:rPr>
          <w:rFonts w:asciiTheme="majorHAnsi" w:hAnsiTheme="majorHAnsi" w:cstheme="majorHAnsi"/>
          <w:sz w:val="28"/>
          <w:szCs w:val="24"/>
          <w:u w:val="single"/>
        </w:rPr>
        <w:t>Evaluation and Conclusion</w:t>
      </w:r>
    </w:p>
    <w:p w14:paraId="72B973A5" w14:textId="77777777" w:rsidR="0025277B" w:rsidRPr="0025277B" w:rsidRDefault="0025277B" w:rsidP="0025277B">
      <w:pPr>
        <w:rPr>
          <w:rFonts w:asciiTheme="majorHAnsi" w:hAnsiTheme="majorHAnsi" w:cstheme="majorHAnsi"/>
          <w:sz w:val="24"/>
          <w:szCs w:val="24"/>
          <w:u w:val="single"/>
        </w:rPr>
      </w:pPr>
    </w:p>
    <w:p w14:paraId="4F966592"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sz w:val="24"/>
          <w:szCs w:val="24"/>
        </w:rPr>
        <w:t xml:space="preserve">I chose to begin my investigation as soon as I was given my class as we were starting a new topic on gothic fiction. This aligned well with Cohen et </w:t>
      </w:r>
      <w:proofErr w:type="spellStart"/>
      <w:r w:rsidRPr="0025277B">
        <w:rPr>
          <w:rFonts w:asciiTheme="majorHAnsi" w:hAnsiTheme="majorHAnsi" w:cstheme="majorHAnsi"/>
          <w:sz w:val="24"/>
          <w:szCs w:val="24"/>
        </w:rPr>
        <w:t>al’s</w:t>
      </w:r>
      <w:proofErr w:type="spellEnd"/>
      <w:r w:rsidRPr="0025277B">
        <w:rPr>
          <w:rFonts w:asciiTheme="majorHAnsi" w:hAnsiTheme="majorHAnsi" w:cstheme="majorHAnsi"/>
          <w:sz w:val="24"/>
          <w:szCs w:val="24"/>
        </w:rPr>
        <w:t xml:space="preserve"> notion of a pre-test to gauge starting abilities (2013) as they had recently completed a reading assessment in their previous topic. These levels, marked against the KS3 Attainment Levels, enabled me to have an understanding of their abilities. Due to this intervention being focused on collaboration between learners (Dean, 2004),</w:t>
      </w:r>
      <w:r w:rsidRPr="0025277B">
        <w:rPr>
          <w:rFonts w:asciiTheme="majorHAnsi" w:hAnsiTheme="majorHAnsi" w:cstheme="majorHAnsi"/>
          <w:color w:val="000000" w:themeColor="text1"/>
          <w:sz w:val="24"/>
          <w:szCs w:val="24"/>
        </w:rPr>
        <w:t xml:space="preserve"> I acknowledged the importance of who learners would be collaborating with. As a result, I used their pre-test results and split the learners into quartiles of ability. Using these quartiles, learners were sat in pairs. For example, in my planning, they were labelled 1, 2, 3 and 4. Those in the highest quartile (1) would be sat next to those in the third quartile (3), and those in the second (2) and fourth (4) quartile would be sat next to each other. The reason behind this is so those in the lower quartiles are able to learn from those in the higher quartiles without the gulf of ability being too great. It will allow learners to set themselves higher expectations and challenge them further to work with someone of a higher ability. Likewise, research indicates that </w:t>
      </w:r>
      <w:proofErr w:type="gramStart"/>
      <w:r w:rsidRPr="0025277B">
        <w:rPr>
          <w:rFonts w:asciiTheme="majorHAnsi" w:hAnsiTheme="majorHAnsi" w:cstheme="majorHAnsi"/>
          <w:color w:val="000000" w:themeColor="text1"/>
          <w:sz w:val="24"/>
          <w:szCs w:val="24"/>
        </w:rPr>
        <w:t>more able</w:t>
      </w:r>
      <w:proofErr w:type="gramEnd"/>
      <w:r w:rsidRPr="0025277B">
        <w:rPr>
          <w:rFonts w:asciiTheme="majorHAnsi" w:hAnsiTheme="majorHAnsi" w:cstheme="majorHAnsi"/>
          <w:color w:val="000000" w:themeColor="text1"/>
          <w:sz w:val="24"/>
          <w:szCs w:val="24"/>
        </w:rPr>
        <w:t xml:space="preserve"> individuals benefit from assuming a ‘coaching role’ with their peers (Pearce, </w:t>
      </w:r>
      <w:proofErr w:type="spellStart"/>
      <w:r w:rsidRPr="0025277B">
        <w:rPr>
          <w:rFonts w:asciiTheme="majorHAnsi" w:hAnsiTheme="majorHAnsi" w:cstheme="majorHAnsi"/>
          <w:color w:val="000000" w:themeColor="text1"/>
          <w:sz w:val="24"/>
          <w:szCs w:val="24"/>
        </w:rPr>
        <w:t>n.d.</w:t>
      </w:r>
      <w:proofErr w:type="spellEnd"/>
      <w:r w:rsidRPr="0025277B">
        <w:rPr>
          <w:rFonts w:asciiTheme="majorHAnsi" w:hAnsiTheme="majorHAnsi" w:cstheme="majorHAnsi"/>
          <w:color w:val="000000" w:themeColor="text1"/>
          <w:sz w:val="24"/>
          <w:szCs w:val="24"/>
        </w:rPr>
        <w:t>). I based my scheme of work for this on Julia Strong’s 5-step model:</w:t>
      </w:r>
    </w:p>
    <w:p w14:paraId="57C369C7" w14:textId="77777777" w:rsidR="0025277B" w:rsidRPr="0025277B" w:rsidRDefault="0025277B" w:rsidP="0025277B">
      <w:pPr>
        <w:pStyle w:val="ListParagraph"/>
        <w:numPr>
          <w:ilvl w:val="0"/>
          <w:numId w:val="26"/>
        </w:num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Familiarise with genre;</w:t>
      </w:r>
    </w:p>
    <w:p w14:paraId="7EBDEC07" w14:textId="77777777" w:rsidR="0025277B" w:rsidRPr="0025277B" w:rsidRDefault="0025277B" w:rsidP="0025277B">
      <w:pPr>
        <w:pStyle w:val="ListParagraph"/>
        <w:numPr>
          <w:ilvl w:val="0"/>
          <w:numId w:val="26"/>
        </w:num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Capturing ideas;</w:t>
      </w:r>
    </w:p>
    <w:p w14:paraId="5714C898" w14:textId="77777777" w:rsidR="0025277B" w:rsidRPr="0025277B" w:rsidRDefault="0025277B" w:rsidP="0025277B">
      <w:pPr>
        <w:pStyle w:val="ListParagraph"/>
        <w:numPr>
          <w:ilvl w:val="0"/>
          <w:numId w:val="26"/>
        </w:num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Demonstration;</w:t>
      </w:r>
    </w:p>
    <w:p w14:paraId="53605964" w14:textId="77777777" w:rsidR="0025277B" w:rsidRPr="0025277B" w:rsidRDefault="0025277B" w:rsidP="0025277B">
      <w:pPr>
        <w:pStyle w:val="ListParagraph"/>
        <w:numPr>
          <w:ilvl w:val="0"/>
          <w:numId w:val="26"/>
        </w:num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Teacher scribe;</w:t>
      </w:r>
    </w:p>
    <w:p w14:paraId="325239EE" w14:textId="77777777" w:rsidR="0025277B" w:rsidRPr="0025277B" w:rsidRDefault="0025277B" w:rsidP="0025277B">
      <w:pPr>
        <w:pStyle w:val="ListParagraph"/>
        <w:numPr>
          <w:ilvl w:val="0"/>
          <w:numId w:val="26"/>
        </w:num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Individual writing.</w:t>
      </w:r>
    </w:p>
    <w:p w14:paraId="178528D2" w14:textId="77777777" w:rsidR="0025277B" w:rsidRPr="0025277B" w:rsidRDefault="0025277B" w:rsidP="0025277B">
      <w:pPr>
        <w:rPr>
          <w:rFonts w:asciiTheme="majorHAnsi" w:hAnsiTheme="majorHAnsi" w:cstheme="majorHAnsi"/>
          <w:color w:val="000000" w:themeColor="text1"/>
          <w:sz w:val="24"/>
          <w:szCs w:val="24"/>
        </w:rPr>
      </w:pPr>
    </w:p>
    <w:p w14:paraId="6A7BAD18"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In my teaching practice thus far, I have witnessed the use of learning objectives in almost every lesson I have observed. Moss and Brookhart (2009) believe that the first step towards assessment of any kind is being clear about the learning. However, some teachers simply display the learning objective on the board, often in ‘teacher language’ and verbalise it. Learners need to know what that learning objective means and how it is relevant to their learning; what is its significance in relation to the end goal and most importantly how do we achieve that. These are issues I wanted to address in this investigation and so at the beginning of each lesson I would present them with the mark scheme that I would use when I mark their assessments at the end of the scheme of work. I would then highlight one particular aspect of the mark scheme and tell the class that this is what today’s lesson would focus on. This enabled them to be aware of what they would be doing in the lesson as well why they were doing it, as being aware of its relevance is a motivating factor. To address the issue of learning objectives being in ‘teacher language’, I allowed them the opportunity to discuss what they thought it meant and how they thought they could achieve that. This was followed by a discussion before I would display the objective, and criteria to meet that objective, in pupil friendly language. The discussion would set the tone for collaboration which is a key element in shared writing, particularly Julia Strong’s talk-for-writing. It would also allow them to engage with the relevance of their learning on a different level to deepen their understanding of the content. The criteria’s established from these discussions would then be present throughout the lesson and displayed on all slides where it was relevant.</w:t>
      </w:r>
    </w:p>
    <w:p w14:paraId="25AC6363" w14:textId="77777777" w:rsidR="0025277B" w:rsidRPr="0025277B" w:rsidRDefault="0025277B" w:rsidP="0025277B">
      <w:pPr>
        <w:rPr>
          <w:rFonts w:asciiTheme="majorHAnsi" w:hAnsiTheme="majorHAnsi" w:cstheme="majorHAnsi"/>
          <w:color w:val="000000" w:themeColor="text1"/>
          <w:sz w:val="24"/>
          <w:szCs w:val="24"/>
        </w:rPr>
      </w:pPr>
    </w:p>
    <w:p w14:paraId="616D957E"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My first two lessons focused on familiarising pupils with the genre, as it was a new topic. These lessons would have always been an introduction to the genre, but because the idea of familiarising them with the genre was part of the model I was using, it was now part of the investigation. Due to informed consent being crucial in research (</w:t>
      </w:r>
      <w:proofErr w:type="spellStart"/>
      <w:r w:rsidRPr="0025277B">
        <w:rPr>
          <w:rFonts w:asciiTheme="majorHAnsi" w:hAnsiTheme="majorHAnsi" w:cstheme="majorHAnsi"/>
          <w:color w:val="000000" w:themeColor="text1"/>
          <w:sz w:val="24"/>
          <w:szCs w:val="24"/>
        </w:rPr>
        <w:t>Diener</w:t>
      </w:r>
      <w:proofErr w:type="spellEnd"/>
      <w:r w:rsidRPr="0025277B">
        <w:rPr>
          <w:rFonts w:asciiTheme="majorHAnsi" w:hAnsiTheme="majorHAnsi" w:cstheme="majorHAnsi"/>
          <w:color w:val="000000" w:themeColor="text1"/>
          <w:sz w:val="24"/>
          <w:szCs w:val="24"/>
        </w:rPr>
        <w:t xml:space="preserve"> and Crandall, 1978; BERA, 2011; Cohen et al, 2013), I began the first lesson by explaining my research to the class in detail, allowing them to opportunity to ask questions about it. During this time, I also provided my school email address to give learners the opportunity to opt out of the study at any given time, should they feel uncomfortable in doing so in front of their peers. As the lessons were centred around pupils developing their understanding of the genre and the concept of atmosphere, I exposed them to several examples of gothic images, texts and their summaries. Looking at different images engaged learners visually in thinking about gothic features. Furthermore, through looking at a variety of texts, learners were able to identify similarities and, as a result of both, create a ‘recipe’ for gothic fiction. The learners then used this recipe to adapt an extract so it would be representative of a gothic fiction text.</w:t>
      </w:r>
    </w:p>
    <w:p w14:paraId="440CFC62" w14:textId="77777777" w:rsidR="0025277B" w:rsidRPr="0025277B" w:rsidRDefault="0025277B" w:rsidP="0025277B">
      <w:pPr>
        <w:rPr>
          <w:rFonts w:asciiTheme="majorHAnsi" w:hAnsiTheme="majorHAnsi" w:cstheme="majorHAnsi"/>
          <w:color w:val="000000" w:themeColor="text1"/>
          <w:sz w:val="24"/>
          <w:szCs w:val="24"/>
        </w:rPr>
      </w:pPr>
    </w:p>
    <w:p w14:paraId="413B0DE0"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In the third lesson, I provided the class with the extract that they were to analyse for their reading assessment. We used this lesson to read through the extract and annotate it in preparation.</w:t>
      </w:r>
    </w:p>
    <w:p w14:paraId="11900ECA" w14:textId="77777777" w:rsidR="0025277B" w:rsidRPr="0025277B" w:rsidRDefault="0025277B" w:rsidP="0025277B">
      <w:pPr>
        <w:rPr>
          <w:rFonts w:asciiTheme="majorHAnsi" w:hAnsiTheme="majorHAnsi" w:cstheme="majorHAnsi"/>
          <w:color w:val="000000" w:themeColor="text1"/>
          <w:sz w:val="24"/>
          <w:szCs w:val="24"/>
        </w:rPr>
      </w:pPr>
    </w:p>
    <w:p w14:paraId="5E9408A3"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The fourth lesson in the sequence was another opportunity to capture learners’ ideas. In the previous lesson, some learners produced thoughtful responses to the quotations selected, but many were happy to accept them at face value instead of looking for different layers of meaning. The ability to identify different levels of meaning in a text would push the learners into the higher levels of their assessment (KS3 Attainment Levels), so I designed this lesson around that idea. I split the class into groups and gave each a quotation and a different coloured pen. After 2 minutes they had to swap their quotation with the next table, adding to the analysis as it went around. This forced them into thinking deeper about what was in front of them. My seating arrangement was particularly useful here as the </w:t>
      </w:r>
      <w:proofErr w:type="gramStart"/>
      <w:r w:rsidRPr="0025277B">
        <w:rPr>
          <w:rFonts w:asciiTheme="majorHAnsi" w:hAnsiTheme="majorHAnsi" w:cstheme="majorHAnsi"/>
          <w:color w:val="000000" w:themeColor="text1"/>
          <w:sz w:val="24"/>
          <w:szCs w:val="24"/>
        </w:rPr>
        <w:t>more able</w:t>
      </w:r>
      <w:proofErr w:type="gramEnd"/>
      <w:r w:rsidRPr="0025277B">
        <w:rPr>
          <w:rFonts w:asciiTheme="majorHAnsi" w:hAnsiTheme="majorHAnsi" w:cstheme="majorHAnsi"/>
          <w:color w:val="000000" w:themeColor="text1"/>
          <w:sz w:val="24"/>
          <w:szCs w:val="24"/>
        </w:rPr>
        <w:t xml:space="preserve"> were able to support the lower attaining pupils in their group in the latter stages of analysis. The decision to place learners in groups for this lesson was based on </w:t>
      </w:r>
      <w:proofErr w:type="spellStart"/>
      <w:r w:rsidRPr="0025277B">
        <w:rPr>
          <w:rFonts w:asciiTheme="majorHAnsi" w:hAnsiTheme="majorHAnsi" w:cstheme="majorHAnsi"/>
          <w:color w:val="000000" w:themeColor="text1"/>
          <w:sz w:val="24"/>
          <w:szCs w:val="24"/>
        </w:rPr>
        <w:t>Emig’s</w:t>
      </w:r>
      <w:proofErr w:type="spellEnd"/>
      <w:r w:rsidRPr="0025277B">
        <w:rPr>
          <w:rFonts w:asciiTheme="majorHAnsi" w:hAnsiTheme="majorHAnsi" w:cstheme="majorHAnsi"/>
          <w:color w:val="000000" w:themeColor="text1"/>
          <w:sz w:val="24"/>
          <w:szCs w:val="24"/>
        </w:rPr>
        <w:t xml:space="preserve"> assertion that group work can enhance the written product (1982 </w:t>
      </w:r>
      <w:r w:rsidRPr="0025277B">
        <w:rPr>
          <w:rFonts w:asciiTheme="majorHAnsi" w:hAnsiTheme="majorHAnsi" w:cstheme="majorHAnsi"/>
          <w:sz w:val="24"/>
          <w:szCs w:val="24"/>
        </w:rPr>
        <w:t>in Mercer, 1988</w:t>
      </w:r>
      <w:r w:rsidRPr="0025277B">
        <w:rPr>
          <w:rFonts w:asciiTheme="majorHAnsi" w:hAnsiTheme="majorHAnsi" w:cstheme="majorHAnsi"/>
          <w:color w:val="000000" w:themeColor="text1"/>
          <w:sz w:val="24"/>
          <w:szCs w:val="24"/>
        </w:rPr>
        <w:t>). They then had to produce a brief analysis of the quotation they were left with using the criteria provided, but learners were not referring to the criteria when doing so and it was not as effective as I had hoped.</w:t>
      </w:r>
    </w:p>
    <w:p w14:paraId="701C4A53" w14:textId="77777777" w:rsidR="0025277B" w:rsidRPr="0025277B" w:rsidRDefault="0025277B" w:rsidP="0025277B">
      <w:pPr>
        <w:rPr>
          <w:rFonts w:asciiTheme="majorHAnsi" w:hAnsiTheme="majorHAnsi" w:cstheme="majorHAnsi"/>
          <w:color w:val="000000" w:themeColor="text1"/>
          <w:sz w:val="24"/>
          <w:szCs w:val="24"/>
        </w:rPr>
      </w:pPr>
    </w:p>
    <w:p w14:paraId="085C4EB0"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In the fourth lesson I had hoped for learners to be familiar with the success criteria and improve one another’s answers; however, they were not able to do this as readily as I hoped. As a result, I started the fifth lesson with a retrieval task – for learners to recall information regarding the success criteria from the previous lesson. The previous lessons had focused on capturing ideas from the class, now it was time to put those ideas into writing. First, I had to show demonstrate how to do so, and for this I used an exemplar answer and presented the success criteria to assess it, drawing on the previously mentioned work of </w:t>
      </w:r>
      <w:r w:rsidRPr="0025277B">
        <w:rPr>
          <w:rFonts w:asciiTheme="majorHAnsi" w:hAnsiTheme="majorHAnsi" w:cstheme="majorHAnsi"/>
          <w:sz w:val="24"/>
          <w:szCs w:val="24"/>
        </w:rPr>
        <w:t xml:space="preserve">Beach and Marshall (1991), Clarke, Dickinson and Westbrook (2010), </w:t>
      </w:r>
      <w:proofErr w:type="spellStart"/>
      <w:r w:rsidRPr="0025277B">
        <w:rPr>
          <w:rFonts w:asciiTheme="majorHAnsi" w:hAnsiTheme="majorHAnsi" w:cstheme="majorHAnsi"/>
          <w:sz w:val="24"/>
          <w:szCs w:val="24"/>
        </w:rPr>
        <w:t>Xerri</w:t>
      </w:r>
      <w:proofErr w:type="spellEnd"/>
      <w:r w:rsidRPr="0025277B">
        <w:rPr>
          <w:rFonts w:asciiTheme="majorHAnsi" w:hAnsiTheme="majorHAnsi" w:cstheme="majorHAnsi"/>
          <w:sz w:val="24"/>
          <w:szCs w:val="24"/>
        </w:rPr>
        <w:t xml:space="preserve"> (2011) and Strong (2013).</w:t>
      </w:r>
    </w:p>
    <w:p w14:paraId="58436537" w14:textId="77777777" w:rsidR="0025277B" w:rsidRPr="0025277B" w:rsidRDefault="0025277B" w:rsidP="0025277B">
      <w:pPr>
        <w:rPr>
          <w:rFonts w:asciiTheme="majorHAnsi" w:hAnsiTheme="majorHAnsi" w:cstheme="majorHAnsi"/>
          <w:color w:val="000000" w:themeColor="text1"/>
          <w:sz w:val="24"/>
          <w:szCs w:val="24"/>
        </w:rPr>
      </w:pPr>
    </w:p>
    <w:p w14:paraId="2C8EE06C"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sz w:val="24"/>
          <w:szCs w:val="24"/>
        </w:rPr>
        <w:t>I</w:t>
      </w:r>
      <w:r w:rsidRPr="0025277B">
        <w:rPr>
          <w:rFonts w:asciiTheme="majorHAnsi" w:hAnsiTheme="majorHAnsi" w:cstheme="majorHAnsi"/>
          <w:color w:val="000000" w:themeColor="text1"/>
          <w:sz w:val="24"/>
          <w:szCs w:val="24"/>
        </w:rPr>
        <w:t>t is believed by some that learning takes place through the imitation of models and by exposing learners to examples of texts they will develop their own ability to produce that kind of text (</w:t>
      </w:r>
      <w:proofErr w:type="spellStart"/>
      <w:r w:rsidRPr="0025277B">
        <w:rPr>
          <w:rFonts w:asciiTheme="majorHAnsi" w:hAnsiTheme="majorHAnsi" w:cstheme="majorHAnsi"/>
          <w:color w:val="000000" w:themeColor="text1"/>
          <w:sz w:val="24"/>
          <w:szCs w:val="24"/>
        </w:rPr>
        <w:t>Somba</w:t>
      </w:r>
      <w:proofErr w:type="spellEnd"/>
      <w:r w:rsidRPr="0025277B">
        <w:rPr>
          <w:rFonts w:asciiTheme="majorHAnsi" w:hAnsiTheme="majorHAnsi" w:cstheme="majorHAnsi"/>
          <w:color w:val="000000" w:themeColor="text1"/>
          <w:sz w:val="24"/>
          <w:szCs w:val="24"/>
        </w:rPr>
        <w:t xml:space="preserve"> et al, 2015). Using exemplar answers also promotes the positive transfer of strategies and skills to their own assessment task (To and Carless, 2015). As previously mentioned, the use of success criteria has been prevalent throughout this investigation, but presenting learners with criteria for success can be abstract, so exemplar answers represent a concrete embodiment of the criteria which makes it more meaningful for learners (Price et al, 2012). As my approach was a talk-for-writing approach (Strong, 2013), I allowed learners to discuss the model answer as discussion has been proven to help students understand the quality of an answer (To and Carless, 2015). In addition to this, clarifying the nature of good quality work in relation to success criteria will also support learners’ understanding of the feedback they receive on assessments (To and Carless, 2015) which was particularly beneficial given that they had just completed one. Bell et al (2015) reported a high level of engagement with model answers when the criteria for success was used to annotate those answers, which is something I used in my own lessons to help embed that information. However, Handley and Williams (2011) suggest that the exemplar texts could be used uncritically to simply imitated or plagiarise. I considered this when planning, so provided an example response of a different genre so they would only be focusing on the transferring the skills and strategies (</w:t>
      </w:r>
      <w:proofErr w:type="spellStart"/>
      <w:r w:rsidRPr="0025277B">
        <w:rPr>
          <w:rFonts w:asciiTheme="majorHAnsi" w:hAnsiTheme="majorHAnsi" w:cstheme="majorHAnsi"/>
          <w:color w:val="000000" w:themeColor="text1"/>
          <w:sz w:val="24"/>
          <w:szCs w:val="24"/>
        </w:rPr>
        <w:t>Somba</w:t>
      </w:r>
      <w:proofErr w:type="spellEnd"/>
      <w:r w:rsidRPr="0025277B">
        <w:rPr>
          <w:rFonts w:asciiTheme="majorHAnsi" w:hAnsiTheme="majorHAnsi" w:cstheme="majorHAnsi"/>
          <w:color w:val="000000" w:themeColor="text1"/>
          <w:sz w:val="24"/>
          <w:szCs w:val="24"/>
        </w:rPr>
        <w:t xml:space="preserve"> et al, 2015) of PEE (Point Evidence Explain) responses.</w:t>
      </w:r>
    </w:p>
    <w:p w14:paraId="0044693A" w14:textId="77777777" w:rsidR="0025277B" w:rsidRPr="0025277B" w:rsidRDefault="0025277B" w:rsidP="0025277B">
      <w:pPr>
        <w:rPr>
          <w:rFonts w:asciiTheme="majorHAnsi" w:hAnsiTheme="majorHAnsi" w:cstheme="majorHAnsi"/>
          <w:color w:val="000000" w:themeColor="text1"/>
          <w:sz w:val="24"/>
          <w:szCs w:val="24"/>
        </w:rPr>
      </w:pPr>
    </w:p>
    <w:p w14:paraId="5B858F50"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Following the work on the exemplar response, I displayed a quotation from the extract and ask learners to discuss how they would produce a PEE response using this quotation. Following ample discussion time, I took several ides from a selection of pairings and wrote them on the board. Learners were only able to do this because of the classroom environment created, relating to previously made points by </w:t>
      </w:r>
      <w:proofErr w:type="spellStart"/>
      <w:r w:rsidRPr="0025277B">
        <w:rPr>
          <w:rFonts w:asciiTheme="majorHAnsi" w:hAnsiTheme="majorHAnsi" w:cstheme="majorHAnsi"/>
          <w:color w:val="000000" w:themeColor="text1"/>
          <w:sz w:val="24"/>
          <w:szCs w:val="24"/>
        </w:rPr>
        <w:t>Xerri</w:t>
      </w:r>
      <w:proofErr w:type="spellEnd"/>
      <w:r w:rsidRPr="0025277B">
        <w:rPr>
          <w:rFonts w:asciiTheme="majorHAnsi" w:hAnsiTheme="majorHAnsi" w:cstheme="majorHAnsi"/>
          <w:color w:val="000000" w:themeColor="text1"/>
          <w:sz w:val="24"/>
          <w:szCs w:val="24"/>
        </w:rPr>
        <w:t xml:space="preserve"> (2011) and Mitchell (2002). Once the ideas were on the board, I allowed learners the opportunity to discuss how we could phrase our ideas, relating to </w:t>
      </w:r>
      <w:proofErr w:type="spellStart"/>
      <w:r w:rsidRPr="0025277B">
        <w:rPr>
          <w:rFonts w:asciiTheme="majorHAnsi" w:hAnsiTheme="majorHAnsi" w:cstheme="majorHAnsi"/>
          <w:color w:val="000000" w:themeColor="text1"/>
          <w:sz w:val="24"/>
          <w:szCs w:val="24"/>
        </w:rPr>
        <w:t>Milian’s</w:t>
      </w:r>
      <w:proofErr w:type="spellEnd"/>
      <w:r w:rsidRPr="0025277B">
        <w:rPr>
          <w:rFonts w:asciiTheme="majorHAnsi" w:hAnsiTheme="majorHAnsi" w:cstheme="majorHAnsi"/>
          <w:color w:val="000000" w:themeColor="text1"/>
          <w:sz w:val="24"/>
          <w:szCs w:val="24"/>
        </w:rPr>
        <w:t xml:space="preserve"> idea of learners using discussion to contribute to its ‘content and phrasing’ (2005: 336) but also previously mentioned idea of ‘transforming the text being built’ by Camps, </w:t>
      </w:r>
      <w:proofErr w:type="spellStart"/>
      <w:r w:rsidRPr="0025277B">
        <w:rPr>
          <w:rFonts w:asciiTheme="majorHAnsi" w:hAnsiTheme="majorHAnsi" w:cstheme="majorHAnsi"/>
          <w:color w:val="000000" w:themeColor="text1"/>
          <w:sz w:val="24"/>
          <w:szCs w:val="24"/>
        </w:rPr>
        <w:t>Guasch</w:t>
      </w:r>
      <w:proofErr w:type="spellEnd"/>
      <w:r w:rsidRPr="0025277B">
        <w:rPr>
          <w:rFonts w:asciiTheme="majorHAnsi" w:hAnsiTheme="majorHAnsi" w:cstheme="majorHAnsi"/>
          <w:color w:val="000000" w:themeColor="text1"/>
          <w:sz w:val="24"/>
          <w:szCs w:val="24"/>
        </w:rPr>
        <w:t xml:space="preserve">, </w:t>
      </w:r>
      <w:proofErr w:type="spellStart"/>
      <w:r w:rsidRPr="0025277B">
        <w:rPr>
          <w:rFonts w:asciiTheme="majorHAnsi" w:hAnsiTheme="majorHAnsi" w:cstheme="majorHAnsi"/>
          <w:color w:val="000000" w:themeColor="text1"/>
          <w:sz w:val="24"/>
          <w:szCs w:val="24"/>
        </w:rPr>
        <w:t>Milian</w:t>
      </w:r>
      <w:proofErr w:type="spellEnd"/>
      <w:r w:rsidRPr="0025277B">
        <w:rPr>
          <w:rFonts w:asciiTheme="majorHAnsi" w:hAnsiTheme="majorHAnsi" w:cstheme="majorHAnsi"/>
          <w:color w:val="000000" w:themeColor="text1"/>
          <w:sz w:val="24"/>
          <w:szCs w:val="24"/>
        </w:rPr>
        <w:t xml:space="preserve"> and </w:t>
      </w:r>
      <w:proofErr w:type="spellStart"/>
      <w:r w:rsidRPr="0025277B">
        <w:rPr>
          <w:rFonts w:asciiTheme="majorHAnsi" w:hAnsiTheme="majorHAnsi" w:cstheme="majorHAnsi"/>
          <w:color w:val="000000" w:themeColor="text1"/>
          <w:sz w:val="24"/>
          <w:szCs w:val="24"/>
        </w:rPr>
        <w:t>Ribas</w:t>
      </w:r>
      <w:proofErr w:type="spellEnd"/>
      <w:r w:rsidRPr="0025277B">
        <w:rPr>
          <w:rFonts w:asciiTheme="majorHAnsi" w:hAnsiTheme="majorHAnsi" w:cstheme="majorHAnsi"/>
          <w:color w:val="000000" w:themeColor="text1"/>
          <w:sz w:val="24"/>
          <w:szCs w:val="24"/>
        </w:rPr>
        <w:t xml:space="preserve"> (1997: 20). After we had agreed on a phrasing, we used the criteria to mark our own answer. Considering that the criteria did not have the effect I had hoped for in the previous lesson, this time, I attributed scores to each point and said that our answer wouldn’t be complete unless it scored </w:t>
      </w:r>
      <w:r w:rsidRPr="0025277B">
        <w:rPr>
          <w:rFonts w:asciiTheme="majorHAnsi" w:hAnsiTheme="majorHAnsi" w:cstheme="majorHAnsi"/>
          <w:i/>
          <w:color w:val="000000" w:themeColor="text1"/>
          <w:sz w:val="24"/>
          <w:szCs w:val="24"/>
        </w:rPr>
        <w:t>x</w:t>
      </w:r>
      <w:r w:rsidRPr="0025277B">
        <w:rPr>
          <w:rFonts w:asciiTheme="majorHAnsi" w:hAnsiTheme="majorHAnsi" w:cstheme="majorHAnsi"/>
          <w:color w:val="000000" w:themeColor="text1"/>
          <w:sz w:val="24"/>
          <w:szCs w:val="24"/>
        </w:rPr>
        <w:t xml:space="preserve"> amount of points. This was an effective way of engaging the learners with the criteria and forcing them to apply it.</w:t>
      </w:r>
    </w:p>
    <w:p w14:paraId="2DD7E793" w14:textId="77777777" w:rsidR="0025277B" w:rsidRPr="0025277B" w:rsidRDefault="0025277B" w:rsidP="0025277B">
      <w:pPr>
        <w:rPr>
          <w:rFonts w:asciiTheme="majorHAnsi" w:hAnsiTheme="majorHAnsi" w:cstheme="majorHAnsi"/>
          <w:color w:val="000000" w:themeColor="text1"/>
          <w:sz w:val="24"/>
          <w:szCs w:val="24"/>
        </w:rPr>
      </w:pPr>
    </w:p>
    <w:p w14:paraId="4EDBCFC3"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The following lesson was the final before the individual writing, or assessment. In this lesson learners drafted an introduction and conclusion, doing both via a mind map as I provided probing questions related to what you would expect to find in each. After this, I displayed a quote from the extract on the board and, in pairs, learners had to write a PEE response to it, again relating to </w:t>
      </w:r>
      <w:proofErr w:type="spellStart"/>
      <w:r w:rsidRPr="0025277B">
        <w:rPr>
          <w:rFonts w:asciiTheme="majorHAnsi" w:hAnsiTheme="majorHAnsi" w:cstheme="majorHAnsi"/>
          <w:color w:val="000000" w:themeColor="text1"/>
          <w:sz w:val="24"/>
          <w:szCs w:val="24"/>
        </w:rPr>
        <w:t>Milian’s</w:t>
      </w:r>
      <w:proofErr w:type="spellEnd"/>
      <w:r w:rsidRPr="0025277B">
        <w:rPr>
          <w:rFonts w:asciiTheme="majorHAnsi" w:hAnsiTheme="majorHAnsi" w:cstheme="majorHAnsi"/>
          <w:color w:val="000000" w:themeColor="text1"/>
          <w:sz w:val="24"/>
          <w:szCs w:val="24"/>
        </w:rPr>
        <w:t xml:space="preserve"> idea of learners discussing the content and phrasing of what is to be written (2005: 336). Once they had completed their writing, they were to highlight a sentence that they thought needed improving. While I asked for examples of these sentences which needed improving, I expected others to use the criteria displayed to offer suggestions for improving. This method is something I had tried in a previous lesson but it had not worked; I hoped that it would work this time because learners had been engaging more with the criteria based on the points system, and it did work. </w:t>
      </w:r>
    </w:p>
    <w:p w14:paraId="61BE521D" w14:textId="77777777" w:rsidR="0025277B" w:rsidRPr="0025277B" w:rsidRDefault="0025277B" w:rsidP="0025277B">
      <w:pPr>
        <w:rPr>
          <w:rFonts w:asciiTheme="majorHAnsi" w:hAnsiTheme="majorHAnsi" w:cstheme="majorHAnsi"/>
          <w:color w:val="000000" w:themeColor="text1"/>
          <w:sz w:val="24"/>
          <w:szCs w:val="24"/>
        </w:rPr>
      </w:pPr>
    </w:p>
    <w:p w14:paraId="5D61206A"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The final lesson in the sequence was the individual writing phase, which aligned with the school’s assessment policies as learners were to complete their assessment individually.</w:t>
      </w:r>
    </w:p>
    <w:p w14:paraId="72256257" w14:textId="77777777" w:rsidR="0025277B" w:rsidRPr="0025277B" w:rsidRDefault="0025277B" w:rsidP="0025277B">
      <w:pPr>
        <w:rPr>
          <w:rFonts w:asciiTheme="majorHAnsi" w:hAnsiTheme="majorHAnsi" w:cstheme="majorHAnsi"/>
          <w:color w:val="000000" w:themeColor="text1"/>
          <w:sz w:val="24"/>
          <w:szCs w:val="24"/>
        </w:rPr>
      </w:pPr>
    </w:p>
    <w:p w14:paraId="1F3A89A9" w14:textId="77777777" w:rsidR="0025277B" w:rsidRPr="0025277B" w:rsidRDefault="0025277B" w:rsidP="0025277B">
      <w:pPr>
        <w:rPr>
          <w:rFonts w:asciiTheme="majorHAnsi" w:hAnsiTheme="majorHAnsi" w:cstheme="majorHAnsi"/>
          <w:b/>
          <w:color w:val="000000" w:themeColor="text1"/>
          <w:sz w:val="24"/>
          <w:szCs w:val="24"/>
        </w:rPr>
      </w:pPr>
      <w:r w:rsidRPr="0025277B">
        <w:rPr>
          <w:rFonts w:asciiTheme="majorHAnsi" w:hAnsiTheme="majorHAnsi" w:cstheme="majorHAnsi"/>
          <w:b/>
          <w:color w:val="000000" w:themeColor="text1"/>
          <w:sz w:val="24"/>
          <w:szCs w:val="24"/>
        </w:rPr>
        <w:t>Figure 1</w:t>
      </w:r>
    </w:p>
    <w:p w14:paraId="23BFDB28" w14:textId="77777777" w:rsidR="0025277B" w:rsidRPr="0025277B" w:rsidRDefault="0025277B" w:rsidP="0025277B">
      <w:pPr>
        <w:rPr>
          <w:rFonts w:asciiTheme="majorHAnsi" w:hAnsiTheme="majorHAnsi" w:cstheme="majorHAnsi"/>
          <w:color w:val="000000" w:themeColor="text1"/>
          <w:sz w:val="24"/>
          <w:szCs w:val="24"/>
        </w:rPr>
      </w:pPr>
    </w:p>
    <w:tbl>
      <w:tblPr>
        <w:tblW w:w="4740" w:type="dxa"/>
        <w:tblLook w:val="04A0" w:firstRow="1" w:lastRow="0" w:firstColumn="1" w:lastColumn="0" w:noHBand="0" w:noVBand="1"/>
      </w:tblPr>
      <w:tblGrid>
        <w:gridCol w:w="2140"/>
        <w:gridCol w:w="1300"/>
        <w:gridCol w:w="1300"/>
      </w:tblGrid>
      <w:tr w:rsidR="0025277B" w:rsidRPr="0025277B" w14:paraId="167C1809" w14:textId="77777777" w:rsidTr="00376E92">
        <w:trPr>
          <w:trHeight w:val="38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7614E" w14:textId="77777777" w:rsidR="0025277B" w:rsidRPr="0025277B" w:rsidRDefault="0025277B" w:rsidP="00376E92">
            <w:pPr>
              <w:rPr>
                <w:rFonts w:asciiTheme="majorHAnsi" w:hAnsiTheme="majorHAnsi" w:cstheme="majorHAnsi"/>
                <w:b/>
                <w:bCs/>
                <w:color w:val="000000"/>
                <w:sz w:val="24"/>
                <w:szCs w:val="24"/>
              </w:rPr>
            </w:pPr>
            <w:r w:rsidRPr="0025277B">
              <w:rPr>
                <w:rFonts w:asciiTheme="majorHAnsi" w:hAnsiTheme="majorHAnsi" w:cstheme="majorHAnsi"/>
                <w:b/>
                <w:bCs/>
                <w:color w:val="000000"/>
                <w:sz w:val="24"/>
                <w:szCs w:val="24"/>
              </w:rPr>
              <w:t>Pupil:</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76CA3A8" w14:textId="77777777" w:rsidR="0025277B" w:rsidRPr="0025277B" w:rsidRDefault="0025277B" w:rsidP="00376E92">
            <w:pPr>
              <w:rPr>
                <w:rFonts w:asciiTheme="majorHAnsi" w:hAnsiTheme="majorHAnsi" w:cstheme="majorHAnsi"/>
                <w:b/>
                <w:bCs/>
                <w:color w:val="000000"/>
                <w:sz w:val="24"/>
                <w:szCs w:val="24"/>
              </w:rPr>
            </w:pPr>
            <w:r w:rsidRPr="0025277B">
              <w:rPr>
                <w:rFonts w:asciiTheme="majorHAnsi" w:hAnsiTheme="majorHAnsi" w:cstheme="majorHAnsi"/>
                <w:b/>
                <w:bCs/>
                <w:color w:val="000000"/>
                <w:sz w:val="24"/>
                <w:szCs w:val="24"/>
              </w:rPr>
              <w:t>Pre test</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DCF5851" w14:textId="77777777" w:rsidR="0025277B" w:rsidRPr="0025277B" w:rsidRDefault="0025277B" w:rsidP="00376E92">
            <w:pPr>
              <w:rPr>
                <w:rFonts w:asciiTheme="majorHAnsi" w:hAnsiTheme="majorHAnsi" w:cstheme="majorHAnsi"/>
                <w:b/>
                <w:bCs/>
                <w:color w:val="000000"/>
                <w:sz w:val="24"/>
                <w:szCs w:val="24"/>
              </w:rPr>
            </w:pPr>
            <w:r w:rsidRPr="0025277B">
              <w:rPr>
                <w:rFonts w:asciiTheme="majorHAnsi" w:hAnsiTheme="majorHAnsi" w:cstheme="majorHAnsi"/>
                <w:b/>
                <w:bCs/>
                <w:color w:val="000000"/>
                <w:sz w:val="24"/>
                <w:szCs w:val="24"/>
              </w:rPr>
              <w:t>Post test</w:t>
            </w:r>
          </w:p>
        </w:tc>
      </w:tr>
      <w:tr w:rsidR="0025277B" w:rsidRPr="0025277B" w14:paraId="0C8892A2"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31B2C77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A</w:t>
            </w:r>
          </w:p>
        </w:tc>
        <w:tc>
          <w:tcPr>
            <w:tcW w:w="1300" w:type="dxa"/>
            <w:tcBorders>
              <w:top w:val="nil"/>
              <w:left w:val="nil"/>
              <w:bottom w:val="single" w:sz="4" w:space="0" w:color="auto"/>
              <w:right w:val="single" w:sz="4" w:space="0" w:color="auto"/>
            </w:tcBorders>
            <w:shd w:val="clear" w:color="auto" w:fill="auto"/>
            <w:noWrap/>
            <w:vAlign w:val="bottom"/>
            <w:hideMark/>
          </w:tcPr>
          <w:p w14:paraId="329A206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5DD9EDE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r>
      <w:tr w:rsidR="0025277B" w:rsidRPr="0025277B" w14:paraId="1D0B530D"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E6E10E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B</w:t>
            </w:r>
          </w:p>
        </w:tc>
        <w:tc>
          <w:tcPr>
            <w:tcW w:w="1300" w:type="dxa"/>
            <w:tcBorders>
              <w:top w:val="nil"/>
              <w:left w:val="nil"/>
              <w:bottom w:val="single" w:sz="4" w:space="0" w:color="auto"/>
              <w:right w:val="single" w:sz="4" w:space="0" w:color="auto"/>
            </w:tcBorders>
            <w:shd w:val="clear" w:color="auto" w:fill="auto"/>
            <w:noWrap/>
            <w:vAlign w:val="bottom"/>
            <w:hideMark/>
          </w:tcPr>
          <w:p w14:paraId="0F8BC67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0049749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0231E034"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67DCD0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C</w:t>
            </w:r>
          </w:p>
        </w:tc>
        <w:tc>
          <w:tcPr>
            <w:tcW w:w="1300" w:type="dxa"/>
            <w:tcBorders>
              <w:top w:val="nil"/>
              <w:left w:val="nil"/>
              <w:bottom w:val="single" w:sz="4" w:space="0" w:color="auto"/>
              <w:right w:val="single" w:sz="4" w:space="0" w:color="auto"/>
            </w:tcBorders>
            <w:shd w:val="clear" w:color="auto" w:fill="auto"/>
            <w:noWrap/>
            <w:vAlign w:val="bottom"/>
            <w:hideMark/>
          </w:tcPr>
          <w:p w14:paraId="33303DD8"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5CC1644E"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8</w:t>
            </w:r>
          </w:p>
        </w:tc>
      </w:tr>
      <w:tr w:rsidR="0025277B" w:rsidRPr="0025277B" w14:paraId="45F7FBB2"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E72D28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D</w:t>
            </w:r>
          </w:p>
        </w:tc>
        <w:tc>
          <w:tcPr>
            <w:tcW w:w="1300" w:type="dxa"/>
            <w:tcBorders>
              <w:top w:val="nil"/>
              <w:left w:val="nil"/>
              <w:bottom w:val="single" w:sz="4" w:space="0" w:color="auto"/>
              <w:right w:val="single" w:sz="4" w:space="0" w:color="auto"/>
            </w:tcBorders>
            <w:shd w:val="clear" w:color="auto" w:fill="auto"/>
            <w:noWrap/>
            <w:vAlign w:val="bottom"/>
            <w:hideMark/>
          </w:tcPr>
          <w:p w14:paraId="2603624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6ADD46F4"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r>
      <w:tr w:rsidR="0025277B" w:rsidRPr="0025277B" w14:paraId="7B3D3FBE"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57FBBA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E</w:t>
            </w:r>
          </w:p>
        </w:tc>
        <w:tc>
          <w:tcPr>
            <w:tcW w:w="1300" w:type="dxa"/>
            <w:tcBorders>
              <w:top w:val="nil"/>
              <w:left w:val="nil"/>
              <w:bottom w:val="single" w:sz="4" w:space="0" w:color="auto"/>
              <w:right w:val="single" w:sz="4" w:space="0" w:color="auto"/>
            </w:tcBorders>
            <w:shd w:val="clear" w:color="auto" w:fill="auto"/>
            <w:noWrap/>
            <w:vAlign w:val="bottom"/>
            <w:hideMark/>
          </w:tcPr>
          <w:p w14:paraId="204E9CEF"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02E73733"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 +</w:t>
            </w:r>
          </w:p>
        </w:tc>
      </w:tr>
      <w:tr w:rsidR="0025277B" w:rsidRPr="0025277B" w14:paraId="79661FFC"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7C3604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F</w:t>
            </w:r>
          </w:p>
        </w:tc>
        <w:tc>
          <w:tcPr>
            <w:tcW w:w="1300" w:type="dxa"/>
            <w:tcBorders>
              <w:top w:val="nil"/>
              <w:left w:val="nil"/>
              <w:bottom w:val="single" w:sz="4" w:space="0" w:color="auto"/>
              <w:right w:val="single" w:sz="4" w:space="0" w:color="auto"/>
            </w:tcBorders>
            <w:shd w:val="clear" w:color="auto" w:fill="auto"/>
            <w:noWrap/>
            <w:vAlign w:val="bottom"/>
            <w:hideMark/>
          </w:tcPr>
          <w:p w14:paraId="1D513EC4"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50E196E1"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034A3A3B"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DE5F61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G</w:t>
            </w:r>
          </w:p>
        </w:tc>
        <w:tc>
          <w:tcPr>
            <w:tcW w:w="1300" w:type="dxa"/>
            <w:tcBorders>
              <w:top w:val="nil"/>
              <w:left w:val="nil"/>
              <w:bottom w:val="single" w:sz="4" w:space="0" w:color="auto"/>
              <w:right w:val="single" w:sz="4" w:space="0" w:color="auto"/>
            </w:tcBorders>
            <w:shd w:val="clear" w:color="auto" w:fill="auto"/>
            <w:noWrap/>
            <w:vAlign w:val="bottom"/>
            <w:hideMark/>
          </w:tcPr>
          <w:p w14:paraId="5A1FA23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7 -</w:t>
            </w:r>
          </w:p>
        </w:tc>
        <w:tc>
          <w:tcPr>
            <w:tcW w:w="1300" w:type="dxa"/>
            <w:tcBorders>
              <w:top w:val="nil"/>
              <w:left w:val="nil"/>
              <w:bottom w:val="single" w:sz="4" w:space="0" w:color="auto"/>
              <w:right w:val="single" w:sz="4" w:space="0" w:color="auto"/>
            </w:tcBorders>
            <w:shd w:val="clear" w:color="auto" w:fill="auto"/>
            <w:noWrap/>
            <w:vAlign w:val="bottom"/>
            <w:hideMark/>
          </w:tcPr>
          <w:p w14:paraId="0A9EA5C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7 - </w:t>
            </w:r>
          </w:p>
        </w:tc>
      </w:tr>
      <w:tr w:rsidR="0025277B" w:rsidRPr="0025277B" w14:paraId="10D33EAE"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1A89DBC"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H</w:t>
            </w:r>
          </w:p>
        </w:tc>
        <w:tc>
          <w:tcPr>
            <w:tcW w:w="1300" w:type="dxa"/>
            <w:tcBorders>
              <w:top w:val="nil"/>
              <w:left w:val="nil"/>
              <w:bottom w:val="single" w:sz="4" w:space="0" w:color="auto"/>
              <w:right w:val="single" w:sz="4" w:space="0" w:color="auto"/>
            </w:tcBorders>
            <w:shd w:val="clear" w:color="auto" w:fill="auto"/>
            <w:noWrap/>
            <w:vAlign w:val="bottom"/>
            <w:hideMark/>
          </w:tcPr>
          <w:p w14:paraId="4CB806E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5 +</w:t>
            </w:r>
          </w:p>
        </w:tc>
        <w:tc>
          <w:tcPr>
            <w:tcW w:w="1300" w:type="dxa"/>
            <w:tcBorders>
              <w:top w:val="nil"/>
              <w:left w:val="nil"/>
              <w:bottom w:val="single" w:sz="4" w:space="0" w:color="auto"/>
              <w:right w:val="single" w:sz="4" w:space="0" w:color="auto"/>
            </w:tcBorders>
            <w:shd w:val="clear" w:color="auto" w:fill="auto"/>
            <w:noWrap/>
            <w:vAlign w:val="bottom"/>
            <w:hideMark/>
          </w:tcPr>
          <w:p w14:paraId="4AED689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r>
      <w:tr w:rsidR="0025277B" w:rsidRPr="0025277B" w14:paraId="66FF9DF3"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1318656B"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I</w:t>
            </w:r>
          </w:p>
        </w:tc>
        <w:tc>
          <w:tcPr>
            <w:tcW w:w="1300" w:type="dxa"/>
            <w:tcBorders>
              <w:top w:val="nil"/>
              <w:left w:val="nil"/>
              <w:bottom w:val="single" w:sz="4" w:space="0" w:color="auto"/>
              <w:right w:val="single" w:sz="4" w:space="0" w:color="auto"/>
            </w:tcBorders>
            <w:shd w:val="clear" w:color="auto" w:fill="auto"/>
            <w:noWrap/>
            <w:vAlign w:val="bottom"/>
            <w:hideMark/>
          </w:tcPr>
          <w:p w14:paraId="29F762EF"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129B32FC"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34CDB078"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75B5A2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J</w:t>
            </w:r>
          </w:p>
        </w:tc>
        <w:tc>
          <w:tcPr>
            <w:tcW w:w="1300" w:type="dxa"/>
            <w:tcBorders>
              <w:top w:val="nil"/>
              <w:left w:val="nil"/>
              <w:bottom w:val="single" w:sz="4" w:space="0" w:color="auto"/>
              <w:right w:val="single" w:sz="4" w:space="0" w:color="auto"/>
            </w:tcBorders>
            <w:shd w:val="clear" w:color="auto" w:fill="auto"/>
            <w:noWrap/>
            <w:vAlign w:val="bottom"/>
            <w:hideMark/>
          </w:tcPr>
          <w:p w14:paraId="069E731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07B13868"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r>
      <w:tr w:rsidR="0025277B" w:rsidRPr="0025277B" w14:paraId="32E14B7D"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1F7B86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K</w:t>
            </w:r>
          </w:p>
        </w:tc>
        <w:tc>
          <w:tcPr>
            <w:tcW w:w="1300" w:type="dxa"/>
            <w:tcBorders>
              <w:top w:val="nil"/>
              <w:left w:val="nil"/>
              <w:bottom w:val="single" w:sz="4" w:space="0" w:color="auto"/>
              <w:right w:val="single" w:sz="4" w:space="0" w:color="auto"/>
            </w:tcBorders>
            <w:shd w:val="clear" w:color="auto" w:fill="auto"/>
            <w:noWrap/>
            <w:vAlign w:val="bottom"/>
            <w:hideMark/>
          </w:tcPr>
          <w:p w14:paraId="2769DB80"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23168B0E"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5 +</w:t>
            </w:r>
          </w:p>
        </w:tc>
      </w:tr>
      <w:tr w:rsidR="0025277B" w:rsidRPr="0025277B" w14:paraId="030917E5"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819C51E"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L</w:t>
            </w:r>
          </w:p>
        </w:tc>
        <w:tc>
          <w:tcPr>
            <w:tcW w:w="1300" w:type="dxa"/>
            <w:tcBorders>
              <w:top w:val="nil"/>
              <w:left w:val="nil"/>
              <w:bottom w:val="single" w:sz="4" w:space="0" w:color="auto"/>
              <w:right w:val="single" w:sz="4" w:space="0" w:color="auto"/>
            </w:tcBorders>
            <w:shd w:val="clear" w:color="auto" w:fill="auto"/>
            <w:noWrap/>
            <w:vAlign w:val="bottom"/>
            <w:hideMark/>
          </w:tcPr>
          <w:p w14:paraId="5FABC70B"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5BFFE53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r>
      <w:tr w:rsidR="0025277B" w:rsidRPr="0025277B" w14:paraId="25A25C7D"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EE6666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M</w:t>
            </w:r>
          </w:p>
        </w:tc>
        <w:tc>
          <w:tcPr>
            <w:tcW w:w="1300" w:type="dxa"/>
            <w:tcBorders>
              <w:top w:val="nil"/>
              <w:left w:val="nil"/>
              <w:bottom w:val="single" w:sz="4" w:space="0" w:color="auto"/>
              <w:right w:val="single" w:sz="4" w:space="0" w:color="auto"/>
            </w:tcBorders>
            <w:shd w:val="clear" w:color="auto" w:fill="auto"/>
            <w:noWrap/>
            <w:vAlign w:val="bottom"/>
            <w:hideMark/>
          </w:tcPr>
          <w:p w14:paraId="37F3A928"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19AD3A4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1900D2CB"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0C2E9F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N</w:t>
            </w:r>
          </w:p>
        </w:tc>
        <w:tc>
          <w:tcPr>
            <w:tcW w:w="1300" w:type="dxa"/>
            <w:tcBorders>
              <w:top w:val="nil"/>
              <w:left w:val="nil"/>
              <w:bottom w:val="single" w:sz="4" w:space="0" w:color="auto"/>
              <w:right w:val="single" w:sz="4" w:space="0" w:color="auto"/>
            </w:tcBorders>
            <w:shd w:val="clear" w:color="auto" w:fill="auto"/>
            <w:noWrap/>
            <w:vAlign w:val="bottom"/>
            <w:hideMark/>
          </w:tcPr>
          <w:p w14:paraId="3095CE2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7E122420"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6 - </w:t>
            </w:r>
          </w:p>
        </w:tc>
      </w:tr>
      <w:tr w:rsidR="0025277B" w:rsidRPr="0025277B" w14:paraId="2A9344C6"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FA37044"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O</w:t>
            </w:r>
          </w:p>
        </w:tc>
        <w:tc>
          <w:tcPr>
            <w:tcW w:w="1300" w:type="dxa"/>
            <w:tcBorders>
              <w:top w:val="nil"/>
              <w:left w:val="nil"/>
              <w:bottom w:val="single" w:sz="4" w:space="0" w:color="auto"/>
              <w:right w:val="single" w:sz="4" w:space="0" w:color="auto"/>
            </w:tcBorders>
            <w:shd w:val="clear" w:color="auto" w:fill="auto"/>
            <w:noWrap/>
            <w:vAlign w:val="bottom"/>
            <w:hideMark/>
          </w:tcPr>
          <w:p w14:paraId="4C16B53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1E33215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7 - </w:t>
            </w:r>
          </w:p>
        </w:tc>
      </w:tr>
      <w:tr w:rsidR="0025277B" w:rsidRPr="0025277B" w14:paraId="1D11E4DB"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EC239EB"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P</w:t>
            </w:r>
          </w:p>
        </w:tc>
        <w:tc>
          <w:tcPr>
            <w:tcW w:w="1300" w:type="dxa"/>
            <w:tcBorders>
              <w:top w:val="nil"/>
              <w:left w:val="nil"/>
              <w:bottom w:val="single" w:sz="4" w:space="0" w:color="auto"/>
              <w:right w:val="single" w:sz="4" w:space="0" w:color="auto"/>
            </w:tcBorders>
            <w:shd w:val="clear" w:color="auto" w:fill="auto"/>
            <w:noWrap/>
            <w:vAlign w:val="bottom"/>
            <w:hideMark/>
          </w:tcPr>
          <w:p w14:paraId="2C34CBFB"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00822D56"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6 - </w:t>
            </w:r>
          </w:p>
        </w:tc>
      </w:tr>
      <w:tr w:rsidR="0025277B" w:rsidRPr="0025277B" w14:paraId="04891DB3"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2856A4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Q</w:t>
            </w:r>
          </w:p>
        </w:tc>
        <w:tc>
          <w:tcPr>
            <w:tcW w:w="1300" w:type="dxa"/>
            <w:tcBorders>
              <w:top w:val="nil"/>
              <w:left w:val="nil"/>
              <w:bottom w:val="single" w:sz="4" w:space="0" w:color="auto"/>
              <w:right w:val="single" w:sz="4" w:space="0" w:color="auto"/>
            </w:tcBorders>
            <w:shd w:val="clear" w:color="auto" w:fill="auto"/>
            <w:noWrap/>
            <w:vAlign w:val="bottom"/>
            <w:hideMark/>
          </w:tcPr>
          <w:p w14:paraId="634AADB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c>
          <w:tcPr>
            <w:tcW w:w="1300" w:type="dxa"/>
            <w:tcBorders>
              <w:top w:val="nil"/>
              <w:left w:val="nil"/>
              <w:bottom w:val="single" w:sz="4" w:space="0" w:color="auto"/>
              <w:right w:val="single" w:sz="4" w:space="0" w:color="auto"/>
            </w:tcBorders>
            <w:shd w:val="clear" w:color="auto" w:fill="auto"/>
            <w:noWrap/>
            <w:vAlign w:val="bottom"/>
            <w:hideMark/>
          </w:tcPr>
          <w:p w14:paraId="42F678E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53ADB4B7"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1B44FF1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R</w:t>
            </w:r>
          </w:p>
        </w:tc>
        <w:tc>
          <w:tcPr>
            <w:tcW w:w="1300" w:type="dxa"/>
            <w:tcBorders>
              <w:top w:val="nil"/>
              <w:left w:val="nil"/>
              <w:bottom w:val="single" w:sz="4" w:space="0" w:color="auto"/>
              <w:right w:val="single" w:sz="4" w:space="0" w:color="auto"/>
            </w:tcBorders>
            <w:shd w:val="clear" w:color="auto" w:fill="auto"/>
            <w:noWrap/>
            <w:vAlign w:val="bottom"/>
            <w:hideMark/>
          </w:tcPr>
          <w:p w14:paraId="40FB15DC"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7B82601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r>
      <w:tr w:rsidR="0025277B" w:rsidRPr="0025277B" w14:paraId="1CC6A409"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9FAA04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S</w:t>
            </w:r>
          </w:p>
        </w:tc>
        <w:tc>
          <w:tcPr>
            <w:tcW w:w="1300" w:type="dxa"/>
            <w:tcBorders>
              <w:top w:val="nil"/>
              <w:left w:val="nil"/>
              <w:bottom w:val="single" w:sz="4" w:space="0" w:color="auto"/>
              <w:right w:val="single" w:sz="4" w:space="0" w:color="auto"/>
            </w:tcBorders>
            <w:shd w:val="clear" w:color="auto" w:fill="auto"/>
            <w:noWrap/>
            <w:vAlign w:val="bottom"/>
            <w:hideMark/>
          </w:tcPr>
          <w:p w14:paraId="2EE3AECB"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6FB563E8"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6 - </w:t>
            </w:r>
          </w:p>
        </w:tc>
      </w:tr>
      <w:tr w:rsidR="0025277B" w:rsidRPr="0025277B" w14:paraId="4D7390D7"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B8F9E5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T</w:t>
            </w:r>
          </w:p>
        </w:tc>
        <w:tc>
          <w:tcPr>
            <w:tcW w:w="1300" w:type="dxa"/>
            <w:tcBorders>
              <w:top w:val="nil"/>
              <w:left w:val="nil"/>
              <w:bottom w:val="single" w:sz="4" w:space="0" w:color="auto"/>
              <w:right w:val="single" w:sz="4" w:space="0" w:color="auto"/>
            </w:tcBorders>
            <w:shd w:val="clear" w:color="auto" w:fill="auto"/>
            <w:noWrap/>
            <w:vAlign w:val="bottom"/>
            <w:hideMark/>
          </w:tcPr>
          <w:p w14:paraId="1FBA9533"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5+</w:t>
            </w:r>
          </w:p>
        </w:tc>
        <w:tc>
          <w:tcPr>
            <w:tcW w:w="1300" w:type="dxa"/>
            <w:tcBorders>
              <w:top w:val="nil"/>
              <w:left w:val="nil"/>
              <w:bottom w:val="single" w:sz="4" w:space="0" w:color="auto"/>
              <w:right w:val="single" w:sz="4" w:space="0" w:color="auto"/>
            </w:tcBorders>
            <w:shd w:val="clear" w:color="auto" w:fill="auto"/>
            <w:noWrap/>
            <w:vAlign w:val="bottom"/>
            <w:hideMark/>
          </w:tcPr>
          <w:p w14:paraId="53FA8956"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5 +</w:t>
            </w:r>
          </w:p>
        </w:tc>
      </w:tr>
      <w:tr w:rsidR="0025277B" w:rsidRPr="0025277B" w14:paraId="33DDB089"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58877D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U</w:t>
            </w:r>
          </w:p>
        </w:tc>
        <w:tc>
          <w:tcPr>
            <w:tcW w:w="1300" w:type="dxa"/>
            <w:tcBorders>
              <w:top w:val="nil"/>
              <w:left w:val="nil"/>
              <w:bottom w:val="single" w:sz="4" w:space="0" w:color="auto"/>
              <w:right w:val="single" w:sz="4" w:space="0" w:color="auto"/>
            </w:tcBorders>
            <w:shd w:val="clear" w:color="auto" w:fill="auto"/>
            <w:noWrap/>
            <w:vAlign w:val="bottom"/>
            <w:hideMark/>
          </w:tcPr>
          <w:p w14:paraId="3F69ACD3"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5417E5F4"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7 -</w:t>
            </w:r>
          </w:p>
        </w:tc>
      </w:tr>
      <w:tr w:rsidR="0025277B" w:rsidRPr="0025277B" w14:paraId="1D3B21CE"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ACA4B03"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V</w:t>
            </w:r>
          </w:p>
        </w:tc>
        <w:tc>
          <w:tcPr>
            <w:tcW w:w="1300" w:type="dxa"/>
            <w:tcBorders>
              <w:top w:val="nil"/>
              <w:left w:val="nil"/>
              <w:bottom w:val="single" w:sz="4" w:space="0" w:color="auto"/>
              <w:right w:val="single" w:sz="4" w:space="0" w:color="auto"/>
            </w:tcBorders>
            <w:shd w:val="clear" w:color="auto" w:fill="auto"/>
            <w:noWrap/>
            <w:vAlign w:val="bottom"/>
            <w:hideMark/>
          </w:tcPr>
          <w:p w14:paraId="1DACAAB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7 - </w:t>
            </w:r>
          </w:p>
        </w:tc>
        <w:tc>
          <w:tcPr>
            <w:tcW w:w="1300" w:type="dxa"/>
            <w:tcBorders>
              <w:top w:val="nil"/>
              <w:left w:val="nil"/>
              <w:bottom w:val="single" w:sz="4" w:space="0" w:color="auto"/>
              <w:right w:val="single" w:sz="4" w:space="0" w:color="auto"/>
            </w:tcBorders>
            <w:shd w:val="clear" w:color="auto" w:fill="auto"/>
            <w:noWrap/>
            <w:vAlign w:val="bottom"/>
            <w:hideMark/>
          </w:tcPr>
          <w:p w14:paraId="041E65FC"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r>
      <w:tr w:rsidR="0025277B" w:rsidRPr="0025277B" w14:paraId="38549D79"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08CAA9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W</w:t>
            </w:r>
          </w:p>
        </w:tc>
        <w:tc>
          <w:tcPr>
            <w:tcW w:w="1300" w:type="dxa"/>
            <w:tcBorders>
              <w:top w:val="nil"/>
              <w:left w:val="nil"/>
              <w:bottom w:val="single" w:sz="4" w:space="0" w:color="auto"/>
              <w:right w:val="single" w:sz="4" w:space="0" w:color="auto"/>
            </w:tcBorders>
            <w:shd w:val="clear" w:color="auto" w:fill="auto"/>
            <w:noWrap/>
            <w:vAlign w:val="bottom"/>
            <w:hideMark/>
          </w:tcPr>
          <w:p w14:paraId="2F7912A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7 -</w:t>
            </w:r>
          </w:p>
        </w:tc>
        <w:tc>
          <w:tcPr>
            <w:tcW w:w="1300" w:type="dxa"/>
            <w:tcBorders>
              <w:top w:val="nil"/>
              <w:left w:val="nil"/>
              <w:bottom w:val="single" w:sz="4" w:space="0" w:color="auto"/>
              <w:right w:val="single" w:sz="4" w:space="0" w:color="auto"/>
            </w:tcBorders>
            <w:shd w:val="clear" w:color="auto" w:fill="auto"/>
            <w:noWrap/>
            <w:vAlign w:val="bottom"/>
            <w:hideMark/>
          </w:tcPr>
          <w:p w14:paraId="52CDB2E3"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2FC67A05"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2129F570"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X</w:t>
            </w:r>
          </w:p>
        </w:tc>
        <w:tc>
          <w:tcPr>
            <w:tcW w:w="1300" w:type="dxa"/>
            <w:tcBorders>
              <w:top w:val="nil"/>
              <w:left w:val="nil"/>
              <w:bottom w:val="single" w:sz="4" w:space="0" w:color="auto"/>
              <w:right w:val="single" w:sz="4" w:space="0" w:color="auto"/>
            </w:tcBorders>
            <w:shd w:val="clear" w:color="auto" w:fill="auto"/>
            <w:noWrap/>
            <w:vAlign w:val="bottom"/>
            <w:hideMark/>
          </w:tcPr>
          <w:p w14:paraId="61B9924B"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7 -</w:t>
            </w:r>
          </w:p>
        </w:tc>
        <w:tc>
          <w:tcPr>
            <w:tcW w:w="1300" w:type="dxa"/>
            <w:tcBorders>
              <w:top w:val="nil"/>
              <w:left w:val="nil"/>
              <w:bottom w:val="single" w:sz="4" w:space="0" w:color="auto"/>
              <w:right w:val="single" w:sz="4" w:space="0" w:color="auto"/>
            </w:tcBorders>
            <w:shd w:val="clear" w:color="auto" w:fill="auto"/>
            <w:noWrap/>
            <w:vAlign w:val="bottom"/>
            <w:hideMark/>
          </w:tcPr>
          <w:p w14:paraId="272E2176"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6 - </w:t>
            </w:r>
          </w:p>
        </w:tc>
      </w:tr>
      <w:tr w:rsidR="0025277B" w:rsidRPr="0025277B" w14:paraId="0052ECC8"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C43D69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Y</w:t>
            </w:r>
          </w:p>
        </w:tc>
        <w:tc>
          <w:tcPr>
            <w:tcW w:w="1300" w:type="dxa"/>
            <w:tcBorders>
              <w:top w:val="nil"/>
              <w:left w:val="nil"/>
              <w:bottom w:val="single" w:sz="4" w:space="0" w:color="auto"/>
              <w:right w:val="single" w:sz="4" w:space="0" w:color="auto"/>
            </w:tcBorders>
            <w:shd w:val="clear" w:color="auto" w:fill="auto"/>
            <w:noWrap/>
            <w:vAlign w:val="bottom"/>
            <w:hideMark/>
          </w:tcPr>
          <w:p w14:paraId="018CA20C"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0B316095"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w:t>
            </w:r>
          </w:p>
        </w:tc>
      </w:tr>
      <w:tr w:rsidR="0025277B" w:rsidRPr="0025277B" w14:paraId="0DD67006"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8525990"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Z</w:t>
            </w:r>
          </w:p>
        </w:tc>
        <w:tc>
          <w:tcPr>
            <w:tcW w:w="1300" w:type="dxa"/>
            <w:tcBorders>
              <w:top w:val="nil"/>
              <w:left w:val="nil"/>
              <w:bottom w:val="single" w:sz="4" w:space="0" w:color="auto"/>
              <w:right w:val="single" w:sz="4" w:space="0" w:color="auto"/>
            </w:tcBorders>
            <w:shd w:val="clear" w:color="auto" w:fill="auto"/>
            <w:noWrap/>
            <w:vAlign w:val="bottom"/>
            <w:hideMark/>
          </w:tcPr>
          <w:p w14:paraId="5A429B2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48480436"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r>
      <w:tr w:rsidR="0025277B" w:rsidRPr="0025277B" w14:paraId="36EB94FD"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69458F0"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AA</w:t>
            </w:r>
          </w:p>
        </w:tc>
        <w:tc>
          <w:tcPr>
            <w:tcW w:w="1300" w:type="dxa"/>
            <w:tcBorders>
              <w:top w:val="nil"/>
              <w:left w:val="nil"/>
              <w:bottom w:val="single" w:sz="4" w:space="0" w:color="auto"/>
              <w:right w:val="single" w:sz="4" w:space="0" w:color="auto"/>
            </w:tcBorders>
            <w:shd w:val="clear" w:color="auto" w:fill="auto"/>
            <w:noWrap/>
            <w:vAlign w:val="bottom"/>
            <w:hideMark/>
          </w:tcPr>
          <w:p w14:paraId="3424E95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0717CBA1"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r>
      <w:tr w:rsidR="0025277B" w:rsidRPr="0025277B" w14:paraId="741F6263"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6BF7BE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BB</w:t>
            </w:r>
          </w:p>
        </w:tc>
        <w:tc>
          <w:tcPr>
            <w:tcW w:w="1300" w:type="dxa"/>
            <w:tcBorders>
              <w:top w:val="nil"/>
              <w:left w:val="nil"/>
              <w:bottom w:val="single" w:sz="4" w:space="0" w:color="auto"/>
              <w:right w:val="single" w:sz="4" w:space="0" w:color="auto"/>
            </w:tcBorders>
            <w:shd w:val="clear" w:color="auto" w:fill="auto"/>
            <w:noWrap/>
            <w:vAlign w:val="bottom"/>
            <w:hideMark/>
          </w:tcPr>
          <w:p w14:paraId="7B0176D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023987E7"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r>
      <w:tr w:rsidR="0025277B" w:rsidRPr="0025277B" w14:paraId="0238F3E0"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30E5604"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CC</w:t>
            </w:r>
          </w:p>
        </w:tc>
        <w:tc>
          <w:tcPr>
            <w:tcW w:w="1300" w:type="dxa"/>
            <w:tcBorders>
              <w:top w:val="nil"/>
              <w:left w:val="nil"/>
              <w:bottom w:val="single" w:sz="4" w:space="0" w:color="auto"/>
              <w:right w:val="single" w:sz="4" w:space="0" w:color="auto"/>
            </w:tcBorders>
            <w:shd w:val="clear" w:color="auto" w:fill="auto"/>
            <w:noWrap/>
            <w:vAlign w:val="bottom"/>
            <w:hideMark/>
          </w:tcPr>
          <w:p w14:paraId="0806D78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w:t>
            </w:r>
          </w:p>
        </w:tc>
        <w:tc>
          <w:tcPr>
            <w:tcW w:w="1300" w:type="dxa"/>
            <w:tcBorders>
              <w:top w:val="nil"/>
              <w:left w:val="nil"/>
              <w:bottom w:val="single" w:sz="4" w:space="0" w:color="auto"/>
              <w:right w:val="single" w:sz="4" w:space="0" w:color="auto"/>
            </w:tcBorders>
            <w:shd w:val="clear" w:color="auto" w:fill="auto"/>
            <w:noWrap/>
            <w:vAlign w:val="bottom"/>
            <w:hideMark/>
          </w:tcPr>
          <w:p w14:paraId="09865A0A"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7 - </w:t>
            </w:r>
          </w:p>
        </w:tc>
      </w:tr>
      <w:tr w:rsidR="0025277B" w:rsidRPr="0025277B" w14:paraId="43ADD28C"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5DF07B5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DD</w:t>
            </w:r>
          </w:p>
        </w:tc>
        <w:tc>
          <w:tcPr>
            <w:tcW w:w="1300" w:type="dxa"/>
            <w:tcBorders>
              <w:top w:val="nil"/>
              <w:left w:val="nil"/>
              <w:bottom w:val="single" w:sz="4" w:space="0" w:color="auto"/>
              <w:right w:val="single" w:sz="4" w:space="0" w:color="auto"/>
            </w:tcBorders>
            <w:shd w:val="clear" w:color="auto" w:fill="auto"/>
            <w:noWrap/>
            <w:vAlign w:val="bottom"/>
            <w:hideMark/>
          </w:tcPr>
          <w:p w14:paraId="6DB99852"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w:t>
            </w:r>
          </w:p>
        </w:tc>
        <w:tc>
          <w:tcPr>
            <w:tcW w:w="1300" w:type="dxa"/>
            <w:tcBorders>
              <w:top w:val="nil"/>
              <w:left w:val="nil"/>
              <w:bottom w:val="single" w:sz="4" w:space="0" w:color="auto"/>
              <w:right w:val="single" w:sz="4" w:space="0" w:color="auto"/>
            </w:tcBorders>
            <w:shd w:val="clear" w:color="auto" w:fill="auto"/>
            <w:noWrap/>
            <w:vAlign w:val="bottom"/>
            <w:hideMark/>
          </w:tcPr>
          <w:p w14:paraId="0415641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7 +</w:t>
            </w:r>
          </w:p>
        </w:tc>
      </w:tr>
      <w:tr w:rsidR="0025277B" w:rsidRPr="0025277B" w14:paraId="72006D5A" w14:textId="77777777" w:rsidTr="00376E92">
        <w:trPr>
          <w:trHeight w:val="32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E7318ED"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Pupil EE</w:t>
            </w:r>
          </w:p>
        </w:tc>
        <w:tc>
          <w:tcPr>
            <w:tcW w:w="1300" w:type="dxa"/>
            <w:tcBorders>
              <w:top w:val="nil"/>
              <w:left w:val="nil"/>
              <w:bottom w:val="single" w:sz="4" w:space="0" w:color="auto"/>
              <w:right w:val="single" w:sz="4" w:space="0" w:color="auto"/>
            </w:tcBorders>
            <w:shd w:val="clear" w:color="auto" w:fill="auto"/>
            <w:noWrap/>
            <w:vAlign w:val="bottom"/>
            <w:hideMark/>
          </w:tcPr>
          <w:p w14:paraId="209034A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6 +</w:t>
            </w:r>
          </w:p>
        </w:tc>
        <w:tc>
          <w:tcPr>
            <w:tcW w:w="1300" w:type="dxa"/>
            <w:tcBorders>
              <w:top w:val="nil"/>
              <w:left w:val="nil"/>
              <w:bottom w:val="single" w:sz="4" w:space="0" w:color="auto"/>
              <w:right w:val="single" w:sz="4" w:space="0" w:color="auto"/>
            </w:tcBorders>
            <w:shd w:val="clear" w:color="auto" w:fill="auto"/>
            <w:noWrap/>
            <w:vAlign w:val="bottom"/>
            <w:hideMark/>
          </w:tcPr>
          <w:p w14:paraId="5740F4E9" w14:textId="77777777" w:rsidR="0025277B" w:rsidRPr="0025277B" w:rsidRDefault="0025277B" w:rsidP="00376E92">
            <w:pPr>
              <w:rPr>
                <w:rFonts w:asciiTheme="majorHAnsi" w:hAnsiTheme="majorHAnsi" w:cstheme="majorHAnsi"/>
                <w:color w:val="000000"/>
                <w:sz w:val="24"/>
                <w:szCs w:val="24"/>
              </w:rPr>
            </w:pPr>
            <w:r w:rsidRPr="0025277B">
              <w:rPr>
                <w:rFonts w:asciiTheme="majorHAnsi" w:hAnsiTheme="majorHAnsi" w:cstheme="majorHAnsi"/>
                <w:color w:val="000000"/>
                <w:sz w:val="24"/>
                <w:szCs w:val="24"/>
              </w:rPr>
              <w:t xml:space="preserve">7 - </w:t>
            </w:r>
          </w:p>
        </w:tc>
      </w:tr>
    </w:tbl>
    <w:p w14:paraId="15700651" w14:textId="77777777" w:rsidR="0025277B" w:rsidRPr="0025277B" w:rsidRDefault="0025277B" w:rsidP="0025277B">
      <w:pPr>
        <w:rPr>
          <w:rFonts w:asciiTheme="majorHAnsi" w:hAnsiTheme="majorHAnsi" w:cstheme="majorHAnsi"/>
          <w:color w:val="000000" w:themeColor="text1"/>
          <w:sz w:val="24"/>
          <w:szCs w:val="24"/>
        </w:rPr>
      </w:pPr>
    </w:p>
    <w:p w14:paraId="05AF0535"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The results of both the pre-test and post-test are displayed in Figure 1. It can be seen that learners responded differently to this approach, with some improving, some showing no signs of progress and others actually regressing. That said, the majority of the class (12/31) showed signs of improvement. Ten out of thirty-one learners showed no signs of progress, with eight regressing. The remaining pupil was absent for the pre-test and so I was unable to draw comparisons. Interestingly, six out of the eight learners who regressed (K, N, P, U, Y and CC) were sat next to each other in this sequence of lessons. This would, perhaps, suggest that if a learner misinterpreted an aspect of the lesson, in allowing them to take charge and discuss their ideas, it would only embed that misconception in their mind and their partner’s. This notion aligns with </w:t>
      </w:r>
      <w:proofErr w:type="spellStart"/>
      <w:r w:rsidRPr="0025277B">
        <w:rPr>
          <w:rFonts w:asciiTheme="majorHAnsi" w:hAnsiTheme="majorHAnsi" w:cstheme="majorHAnsi"/>
          <w:color w:val="000000" w:themeColor="text1"/>
          <w:sz w:val="24"/>
          <w:szCs w:val="24"/>
        </w:rPr>
        <w:t>Krafft</w:t>
      </w:r>
      <w:proofErr w:type="spellEnd"/>
      <w:r w:rsidRPr="0025277B">
        <w:rPr>
          <w:rFonts w:asciiTheme="majorHAnsi" w:hAnsiTheme="majorHAnsi" w:cstheme="majorHAnsi"/>
          <w:color w:val="000000" w:themeColor="text1"/>
          <w:sz w:val="24"/>
          <w:szCs w:val="24"/>
        </w:rPr>
        <w:t xml:space="preserve"> and </w:t>
      </w:r>
      <w:proofErr w:type="spellStart"/>
      <w:r w:rsidRPr="0025277B">
        <w:rPr>
          <w:rFonts w:asciiTheme="majorHAnsi" w:hAnsiTheme="majorHAnsi" w:cstheme="majorHAnsi"/>
          <w:color w:val="000000" w:themeColor="text1"/>
          <w:sz w:val="24"/>
          <w:szCs w:val="24"/>
        </w:rPr>
        <w:t>Dansendschon</w:t>
      </w:r>
      <w:proofErr w:type="spellEnd"/>
      <w:r w:rsidRPr="0025277B">
        <w:rPr>
          <w:rFonts w:asciiTheme="majorHAnsi" w:hAnsiTheme="majorHAnsi" w:cstheme="majorHAnsi"/>
          <w:color w:val="000000" w:themeColor="text1"/>
          <w:sz w:val="24"/>
          <w:szCs w:val="24"/>
        </w:rPr>
        <w:t>-Gay’s findings that in collaboration, participants share a specific goal (1995), so if that shared goal is inaccurate then their end product will be as well. The learner whose attainment dropped the most in this instance, Pupil X, was absent for 2 of the lessons. While I spent additional time to explain what they had missed and how to complete tasks, as well as structured, detailed resources, this individual still dropped significantly. I would argue that is potentially due to the pupil missing out on stages of collaboration, which, as previously stated, enhances learners’ engagement as well as their understanding (</w:t>
      </w:r>
      <w:proofErr w:type="spellStart"/>
      <w:r w:rsidRPr="0025277B">
        <w:rPr>
          <w:rFonts w:asciiTheme="majorHAnsi" w:hAnsiTheme="majorHAnsi" w:cstheme="majorHAnsi"/>
          <w:color w:val="000000" w:themeColor="text1"/>
          <w:sz w:val="24"/>
          <w:szCs w:val="24"/>
        </w:rPr>
        <w:t>Obied</w:t>
      </w:r>
      <w:proofErr w:type="spellEnd"/>
      <w:r w:rsidRPr="0025277B">
        <w:rPr>
          <w:rFonts w:asciiTheme="majorHAnsi" w:hAnsiTheme="majorHAnsi" w:cstheme="majorHAnsi"/>
          <w:color w:val="000000" w:themeColor="text1"/>
          <w:sz w:val="24"/>
          <w:szCs w:val="24"/>
        </w:rPr>
        <w:t>, 2007).</w:t>
      </w:r>
    </w:p>
    <w:p w14:paraId="26676313" w14:textId="77777777" w:rsidR="0025277B" w:rsidRPr="0025277B" w:rsidRDefault="0025277B" w:rsidP="0025277B">
      <w:pPr>
        <w:rPr>
          <w:rFonts w:asciiTheme="majorHAnsi" w:hAnsiTheme="majorHAnsi" w:cstheme="majorHAnsi"/>
          <w:color w:val="000000" w:themeColor="text1"/>
          <w:sz w:val="24"/>
          <w:szCs w:val="24"/>
        </w:rPr>
      </w:pPr>
    </w:p>
    <w:p w14:paraId="675098CE" w14:textId="77777777" w:rsidR="0025277B" w:rsidRPr="0025277B" w:rsidRDefault="0025277B" w:rsidP="0025277B">
      <w:pPr>
        <w:widowControl w:val="0"/>
        <w:autoSpaceDE w:val="0"/>
        <w:autoSpaceDN w:val="0"/>
        <w:adjustRightInd w:val="0"/>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In relation to pupils who did show progress, Pupil L improved the most. As the class consisted of 31 learners, there was not an even number for</w:t>
      </w:r>
      <w:r w:rsidRPr="0025277B">
        <w:rPr>
          <w:rFonts w:asciiTheme="majorHAnsi" w:hAnsiTheme="majorHAnsi" w:cstheme="majorHAnsi"/>
          <w:sz w:val="24"/>
          <w:szCs w:val="24"/>
        </w:rPr>
        <w:t xml:space="preserve"> the class to be divided perfectly into pairs. In the seating plan, Pupil L was sat by himself. However, in light of Strong’s assertion that varying students’ partners will allow a deeper engagement and more secure understanding (2013), I moved Pupil L at the beginning of each lesson to join a pair and become a three. This would then allow that individual to sit with different pupils for each lesson. Admittedly, I was concerned that it might impact the idea of a shared goal (</w:t>
      </w:r>
      <w:proofErr w:type="spellStart"/>
      <w:r w:rsidRPr="0025277B">
        <w:rPr>
          <w:rFonts w:asciiTheme="majorHAnsi" w:hAnsiTheme="majorHAnsi" w:cstheme="majorHAnsi"/>
          <w:color w:val="000000" w:themeColor="text1"/>
          <w:sz w:val="24"/>
          <w:szCs w:val="24"/>
        </w:rPr>
        <w:t>Krafft</w:t>
      </w:r>
      <w:proofErr w:type="spellEnd"/>
      <w:r w:rsidRPr="0025277B">
        <w:rPr>
          <w:rFonts w:asciiTheme="majorHAnsi" w:hAnsiTheme="majorHAnsi" w:cstheme="majorHAnsi"/>
          <w:color w:val="000000" w:themeColor="text1"/>
          <w:sz w:val="24"/>
          <w:szCs w:val="24"/>
        </w:rPr>
        <w:t xml:space="preserve"> and </w:t>
      </w:r>
      <w:proofErr w:type="spellStart"/>
      <w:r w:rsidRPr="0025277B">
        <w:rPr>
          <w:rFonts w:asciiTheme="majorHAnsi" w:hAnsiTheme="majorHAnsi" w:cstheme="majorHAnsi"/>
          <w:color w:val="000000" w:themeColor="text1"/>
          <w:sz w:val="24"/>
          <w:szCs w:val="24"/>
        </w:rPr>
        <w:t>Dansendschon</w:t>
      </w:r>
      <w:proofErr w:type="spellEnd"/>
      <w:r w:rsidRPr="0025277B">
        <w:rPr>
          <w:rFonts w:asciiTheme="majorHAnsi" w:hAnsiTheme="majorHAnsi" w:cstheme="majorHAnsi"/>
          <w:color w:val="000000" w:themeColor="text1"/>
          <w:sz w:val="24"/>
          <w:szCs w:val="24"/>
        </w:rPr>
        <w:t>-Gay, 1995), but if I opted to do so as Strong’s findings are more recent.</w:t>
      </w:r>
    </w:p>
    <w:p w14:paraId="1A030CED" w14:textId="77777777" w:rsidR="0025277B" w:rsidRPr="0025277B" w:rsidRDefault="0025277B" w:rsidP="0025277B">
      <w:pPr>
        <w:widowControl w:val="0"/>
        <w:autoSpaceDE w:val="0"/>
        <w:autoSpaceDN w:val="0"/>
        <w:adjustRightInd w:val="0"/>
        <w:rPr>
          <w:rFonts w:asciiTheme="majorHAnsi" w:hAnsiTheme="majorHAnsi" w:cstheme="majorHAnsi"/>
          <w:color w:val="000000" w:themeColor="text1"/>
          <w:sz w:val="24"/>
          <w:szCs w:val="24"/>
        </w:rPr>
      </w:pPr>
    </w:p>
    <w:p w14:paraId="02139DC5" w14:textId="77777777" w:rsidR="0025277B" w:rsidRPr="0025277B" w:rsidRDefault="0025277B" w:rsidP="0025277B">
      <w:pPr>
        <w:widowControl w:val="0"/>
        <w:autoSpaceDE w:val="0"/>
        <w:autoSpaceDN w:val="0"/>
        <w:adjustRightInd w:val="0"/>
        <w:rPr>
          <w:rFonts w:asciiTheme="majorHAnsi" w:hAnsiTheme="majorHAnsi" w:cstheme="majorHAnsi"/>
          <w:sz w:val="24"/>
          <w:szCs w:val="24"/>
        </w:rPr>
      </w:pPr>
      <w:r w:rsidRPr="0025277B">
        <w:rPr>
          <w:rFonts w:asciiTheme="majorHAnsi" w:hAnsiTheme="majorHAnsi" w:cstheme="majorHAnsi"/>
          <w:sz w:val="24"/>
          <w:szCs w:val="24"/>
        </w:rPr>
        <w:t xml:space="preserve">In </w:t>
      </w:r>
      <w:proofErr w:type="spellStart"/>
      <w:r w:rsidRPr="0025277B">
        <w:rPr>
          <w:rFonts w:asciiTheme="majorHAnsi" w:hAnsiTheme="majorHAnsi" w:cstheme="majorHAnsi"/>
          <w:sz w:val="24"/>
          <w:szCs w:val="24"/>
        </w:rPr>
        <w:t>Trickey</w:t>
      </w:r>
      <w:proofErr w:type="spellEnd"/>
      <w:r w:rsidRPr="0025277B">
        <w:rPr>
          <w:rFonts w:asciiTheme="majorHAnsi" w:hAnsiTheme="majorHAnsi" w:cstheme="majorHAnsi"/>
          <w:sz w:val="24"/>
          <w:szCs w:val="24"/>
        </w:rPr>
        <w:t xml:space="preserve"> and </w:t>
      </w:r>
      <w:proofErr w:type="spellStart"/>
      <w:r w:rsidRPr="0025277B">
        <w:rPr>
          <w:rFonts w:asciiTheme="majorHAnsi" w:hAnsiTheme="majorHAnsi" w:cstheme="majorHAnsi"/>
          <w:sz w:val="24"/>
          <w:szCs w:val="24"/>
        </w:rPr>
        <w:t>Toppy’s</w:t>
      </w:r>
      <w:proofErr w:type="spellEnd"/>
      <w:r w:rsidRPr="0025277B">
        <w:rPr>
          <w:rFonts w:asciiTheme="majorHAnsi" w:hAnsiTheme="majorHAnsi" w:cstheme="majorHAnsi"/>
          <w:sz w:val="24"/>
          <w:szCs w:val="24"/>
        </w:rPr>
        <w:t xml:space="preserve"> P4C study, they found that the highest quartile of pupils had the smallest positive gains and the two mid quartiles had the highest positive gains (2007). This could suggest that such interventions do not benefit those who are </w:t>
      </w:r>
      <w:proofErr w:type="gramStart"/>
      <w:r w:rsidRPr="0025277B">
        <w:rPr>
          <w:rFonts w:asciiTheme="majorHAnsi" w:hAnsiTheme="majorHAnsi" w:cstheme="majorHAnsi"/>
          <w:sz w:val="24"/>
          <w:szCs w:val="24"/>
        </w:rPr>
        <w:t>more able</w:t>
      </w:r>
      <w:proofErr w:type="gramEnd"/>
      <w:r w:rsidRPr="0025277B">
        <w:rPr>
          <w:rFonts w:asciiTheme="majorHAnsi" w:hAnsiTheme="majorHAnsi" w:cstheme="majorHAnsi"/>
          <w:sz w:val="24"/>
          <w:szCs w:val="24"/>
        </w:rPr>
        <w:t xml:space="preserve"> nor the lower attaining, but ‘teaches the middle’. This trend was not replicated in my own research as there was no clear pattern of progression. Learners improved more randomly than by quartiles of ability. I chose to compare to this study as both include elements of speech to improve attainment; however, it is important to note that the focus of my study is not speech but just includes speech as part of the process. </w:t>
      </w:r>
    </w:p>
    <w:p w14:paraId="45982E7C" w14:textId="77777777" w:rsidR="0025277B" w:rsidRPr="0025277B" w:rsidRDefault="0025277B" w:rsidP="0025277B">
      <w:pPr>
        <w:rPr>
          <w:rFonts w:asciiTheme="majorHAnsi" w:hAnsiTheme="majorHAnsi" w:cstheme="majorHAnsi"/>
          <w:color w:val="000000" w:themeColor="text1"/>
          <w:sz w:val="24"/>
          <w:szCs w:val="24"/>
        </w:rPr>
      </w:pPr>
    </w:p>
    <w:p w14:paraId="7A3C336C" w14:textId="77777777" w:rsidR="0025277B" w:rsidRPr="0025277B" w:rsidRDefault="0025277B" w:rsidP="0025277B">
      <w:pPr>
        <w:rPr>
          <w:rFonts w:asciiTheme="majorHAnsi" w:hAnsiTheme="majorHAnsi" w:cstheme="majorHAnsi"/>
          <w:sz w:val="24"/>
          <w:szCs w:val="24"/>
        </w:rPr>
      </w:pPr>
      <w:r w:rsidRPr="0025277B">
        <w:rPr>
          <w:rFonts w:asciiTheme="majorHAnsi" w:hAnsiTheme="majorHAnsi" w:cstheme="majorHAnsi"/>
          <w:color w:val="000000" w:themeColor="text1"/>
          <w:sz w:val="24"/>
          <w:szCs w:val="24"/>
        </w:rPr>
        <w:t>Before I had started my research, I posed the question ‘</w:t>
      </w:r>
      <w:r w:rsidRPr="0025277B">
        <w:rPr>
          <w:rFonts w:asciiTheme="majorHAnsi" w:hAnsiTheme="majorHAnsi" w:cstheme="majorHAnsi"/>
          <w:sz w:val="24"/>
          <w:szCs w:val="24"/>
        </w:rPr>
        <w:t xml:space="preserve">Do shared writing approaches improve the reading attainment of boys?’. </w:t>
      </w:r>
      <w:r w:rsidRPr="0025277B">
        <w:rPr>
          <w:rFonts w:asciiTheme="majorHAnsi" w:hAnsiTheme="majorHAnsi" w:cstheme="majorHAnsi"/>
          <w:color w:val="000000" w:themeColor="text1"/>
          <w:sz w:val="24"/>
          <w:szCs w:val="24"/>
        </w:rPr>
        <w:t>Of the eight pupils who regressed, only one was female and this individual (Pupil X) was, as previously mentioned, absent for 2 of the lessons. Seven of the twelve learners who showed clear progress were male. However, while the majority of those who progressed were male, the ratio of boys to girls is 2:1, meaning that girls actually performed better. Using the data, I can see that 60% of the girls (6 out of 10, as one individual missed the pre-test, her data cannot be used) showed improvement, whereas only 35% of the boys showed improvement. While, in terms of this study, shared writing approaches have not convincingly improved the attainment of boys, it is not to say that these approaches do not and cannot improve boys’ attainment. This relates to the earlier made point of representation, in that a small sample size will not be representative of the wider population (Cohen et all, 2013).</w:t>
      </w:r>
    </w:p>
    <w:p w14:paraId="728DA80C" w14:textId="77777777" w:rsidR="0025277B" w:rsidRPr="0025277B" w:rsidRDefault="0025277B" w:rsidP="0025277B">
      <w:pPr>
        <w:rPr>
          <w:rFonts w:asciiTheme="majorHAnsi" w:hAnsiTheme="majorHAnsi" w:cstheme="majorHAnsi"/>
          <w:sz w:val="24"/>
          <w:szCs w:val="24"/>
        </w:rPr>
      </w:pPr>
    </w:p>
    <w:p w14:paraId="3F74D144" w14:textId="77777777" w:rsidR="0025277B" w:rsidRPr="0025277B" w:rsidRDefault="0025277B" w:rsidP="0025277B">
      <w:pPr>
        <w:rPr>
          <w:rFonts w:asciiTheme="majorHAnsi" w:hAnsiTheme="majorHAnsi" w:cstheme="majorHAnsi"/>
          <w:sz w:val="24"/>
          <w:szCs w:val="24"/>
        </w:rPr>
      </w:pPr>
    </w:p>
    <w:p w14:paraId="7F8CEFBF" w14:textId="77777777" w:rsidR="0025277B" w:rsidRPr="0025277B" w:rsidRDefault="0025277B" w:rsidP="0025277B">
      <w:pPr>
        <w:rPr>
          <w:rFonts w:asciiTheme="majorHAnsi" w:hAnsiTheme="majorHAnsi" w:cstheme="majorHAnsi"/>
          <w:sz w:val="24"/>
          <w:szCs w:val="24"/>
          <w:u w:val="single"/>
        </w:rPr>
      </w:pPr>
      <w:r w:rsidRPr="0025277B">
        <w:rPr>
          <w:rFonts w:asciiTheme="majorHAnsi" w:hAnsiTheme="majorHAnsi" w:cstheme="majorHAnsi"/>
          <w:sz w:val="28"/>
          <w:szCs w:val="24"/>
          <w:u w:val="single"/>
        </w:rPr>
        <w:t xml:space="preserve">Limitations </w:t>
      </w:r>
    </w:p>
    <w:p w14:paraId="5CD66E9E" w14:textId="77777777" w:rsidR="0025277B" w:rsidRPr="0025277B" w:rsidRDefault="0025277B" w:rsidP="0025277B">
      <w:pPr>
        <w:rPr>
          <w:rFonts w:asciiTheme="majorHAnsi" w:hAnsiTheme="majorHAnsi" w:cstheme="majorHAnsi"/>
          <w:sz w:val="24"/>
          <w:szCs w:val="24"/>
        </w:rPr>
      </w:pPr>
    </w:p>
    <w:p w14:paraId="295E8388"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Having presented the findings and examined its positive elements, I must also consider the limitations. As mentioned in the methodology (Cohen et al, 2013), the sample size is crucial in investigations. Due to the nature of my timetable, I was only able to carry this out on one class of 31 learners, which is a fairly small sample size. As a result, my study does not truly represent the effects of shared writing approaches on year 9 pupils, but rather, the effects of shared writing approaches on my particular year 9 pupils</w:t>
      </w:r>
      <w:r w:rsidRPr="0025277B">
        <w:rPr>
          <w:rFonts w:asciiTheme="majorHAnsi" w:hAnsiTheme="majorHAnsi" w:cstheme="majorHAnsi"/>
          <w:sz w:val="24"/>
          <w:szCs w:val="24"/>
        </w:rPr>
        <w:t xml:space="preserve"> While Cohen et al suggested that there is ‘no clear-cut answer’ to the size of a sample, they also noted that ‘too small a sample size might not be representative’ (2013: 144-145). Not all of my learners took part in the pre-test for this study; as a result, my already small sample size was reduced even further. </w:t>
      </w:r>
    </w:p>
    <w:p w14:paraId="29E8D3F8" w14:textId="77777777" w:rsidR="0025277B" w:rsidRPr="0025277B" w:rsidRDefault="0025277B" w:rsidP="0025277B">
      <w:pPr>
        <w:rPr>
          <w:rFonts w:asciiTheme="majorHAnsi" w:hAnsiTheme="majorHAnsi" w:cstheme="majorHAnsi"/>
          <w:color w:val="000000" w:themeColor="text1"/>
          <w:sz w:val="24"/>
          <w:szCs w:val="24"/>
        </w:rPr>
      </w:pPr>
    </w:p>
    <w:p w14:paraId="6418A995"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Also mentioned in the methodology was the idea of timing. It was noted by </w:t>
      </w:r>
      <w:r w:rsidRPr="0025277B">
        <w:rPr>
          <w:rFonts w:asciiTheme="majorHAnsi" w:hAnsiTheme="majorHAnsi" w:cstheme="majorHAnsi"/>
          <w:sz w:val="24"/>
          <w:szCs w:val="24"/>
        </w:rPr>
        <w:t xml:space="preserve">Cohen et al (2013) and </w:t>
      </w:r>
      <w:proofErr w:type="spellStart"/>
      <w:r w:rsidRPr="0025277B">
        <w:rPr>
          <w:rFonts w:asciiTheme="majorHAnsi" w:hAnsiTheme="majorHAnsi" w:cstheme="majorHAnsi"/>
          <w:sz w:val="24"/>
          <w:szCs w:val="24"/>
        </w:rPr>
        <w:t>Vanderstoep</w:t>
      </w:r>
      <w:proofErr w:type="spellEnd"/>
      <w:r w:rsidRPr="0025277B">
        <w:rPr>
          <w:rFonts w:asciiTheme="majorHAnsi" w:hAnsiTheme="majorHAnsi" w:cstheme="majorHAnsi"/>
          <w:sz w:val="24"/>
          <w:szCs w:val="24"/>
        </w:rPr>
        <w:t xml:space="preserve"> and Johnston (2008) </w:t>
      </w:r>
      <w:r w:rsidRPr="0025277B">
        <w:rPr>
          <w:rFonts w:asciiTheme="majorHAnsi" w:hAnsiTheme="majorHAnsi" w:cstheme="majorHAnsi"/>
          <w:color w:val="000000" w:themeColor="text1"/>
          <w:sz w:val="24"/>
          <w:szCs w:val="24"/>
        </w:rPr>
        <w:t>that the tests should occur at the same time on the same day to ensure consistency. While I disagree that this could have an impact, my study was based on research collected and did not coincide with this notion. In future, I would be sure to take timings, both of the day and the day itself, into consideration to optimise consistency.</w:t>
      </w:r>
    </w:p>
    <w:p w14:paraId="212EA6D3" w14:textId="77777777" w:rsidR="0025277B" w:rsidRPr="0025277B" w:rsidRDefault="0025277B" w:rsidP="0025277B">
      <w:pPr>
        <w:rPr>
          <w:rFonts w:asciiTheme="majorHAnsi" w:hAnsiTheme="majorHAnsi" w:cstheme="majorHAnsi"/>
          <w:color w:val="000000" w:themeColor="text1"/>
          <w:sz w:val="24"/>
          <w:szCs w:val="24"/>
        </w:rPr>
      </w:pPr>
    </w:p>
    <w:p w14:paraId="15C2C37F"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Additionally, the pre-test data I have used was from a previous reading assessment that had just been completed. This impacts the findings in that the pre-test did not represent their ‘starting abilities’ (Cohen et al, 2013: 481) in this particular genre but in another so it is difficult to gauge the real signs of improvement. In relation to the topic or genre, learners might have performed better in this assessment due to the topic itself; they might be naturally more interested in this topic and thus more engaged and motivated to succeed in it. </w:t>
      </w:r>
    </w:p>
    <w:p w14:paraId="6BD2A69E" w14:textId="77777777" w:rsidR="0025277B" w:rsidRPr="0025277B" w:rsidRDefault="0025277B" w:rsidP="0025277B">
      <w:pPr>
        <w:rPr>
          <w:rFonts w:asciiTheme="majorHAnsi" w:hAnsiTheme="majorHAnsi" w:cstheme="majorHAnsi"/>
          <w:color w:val="000000" w:themeColor="text1"/>
          <w:sz w:val="24"/>
          <w:szCs w:val="24"/>
        </w:rPr>
      </w:pPr>
    </w:p>
    <w:p w14:paraId="0B4EE02E"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As previously stated by </w:t>
      </w:r>
      <w:proofErr w:type="spellStart"/>
      <w:r w:rsidRPr="0025277B">
        <w:rPr>
          <w:rFonts w:asciiTheme="majorHAnsi" w:hAnsiTheme="majorHAnsi" w:cstheme="majorHAnsi"/>
          <w:color w:val="000000" w:themeColor="text1"/>
          <w:sz w:val="24"/>
          <w:szCs w:val="24"/>
        </w:rPr>
        <w:t>Xerri</w:t>
      </w:r>
      <w:proofErr w:type="spellEnd"/>
      <w:r w:rsidRPr="0025277B">
        <w:rPr>
          <w:rFonts w:asciiTheme="majorHAnsi" w:hAnsiTheme="majorHAnsi" w:cstheme="majorHAnsi"/>
          <w:color w:val="000000" w:themeColor="text1"/>
          <w:sz w:val="24"/>
          <w:szCs w:val="24"/>
        </w:rPr>
        <w:t xml:space="preserve"> (2011) and Mitchell (2002), the classroom environment is crucial. While I formed positive relationships with those in my class quickly, as commented by both my class teacher and university tutor, I feel the effects of shared writing would have been greater if the intervention started with those relationships having already been formed, as opposed to having to be formed during the process. This could have had a negative impact on pupils’ willingness to contribute answers in the earlier stages.</w:t>
      </w:r>
    </w:p>
    <w:p w14:paraId="6BFB0406" w14:textId="77777777" w:rsidR="0025277B" w:rsidRPr="0025277B" w:rsidRDefault="0025277B" w:rsidP="0025277B">
      <w:pPr>
        <w:rPr>
          <w:rFonts w:asciiTheme="majorHAnsi" w:hAnsiTheme="majorHAnsi" w:cstheme="majorHAnsi"/>
          <w:color w:val="000000" w:themeColor="text1"/>
          <w:sz w:val="24"/>
          <w:szCs w:val="24"/>
        </w:rPr>
      </w:pPr>
    </w:p>
    <w:p w14:paraId="17D646AE"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Furthermore, it is an approach based on collaboration, this in itself poses potential problems. If an individual in a pairing misunderstands a task, then their partner also will. Conversely, a pairing could produce excellent responses verbally, but ‘the text being written differs from the utterances spoken when writing collaboratively’ (Camps, 1994: 511). As with all lessons, it is imperative to gauge their understanding before allowing learners to take control of their learning. In this study I allowed a very pupil centred approach, this is not something I would want to change, but for future practice I would implement more immediate assessment for learning strategies.</w:t>
      </w:r>
    </w:p>
    <w:p w14:paraId="1262354A" w14:textId="77777777" w:rsidR="0025277B" w:rsidRPr="0025277B" w:rsidRDefault="0025277B" w:rsidP="0025277B">
      <w:pPr>
        <w:rPr>
          <w:rFonts w:asciiTheme="majorHAnsi" w:hAnsiTheme="majorHAnsi" w:cstheme="majorHAnsi"/>
          <w:color w:val="000000" w:themeColor="text1"/>
          <w:sz w:val="24"/>
          <w:szCs w:val="24"/>
        </w:rPr>
      </w:pPr>
    </w:p>
    <w:p w14:paraId="5CA31493"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One of the study’s initial questions was whether or not these approaches could improve the attainment of boys, and the fact that the answer was not </w:t>
      </w:r>
    </w:p>
    <w:p w14:paraId="77592A2F" w14:textId="77777777" w:rsidR="0025277B" w:rsidRPr="0025277B" w:rsidRDefault="0025277B" w:rsidP="0025277B">
      <w:pPr>
        <w:rPr>
          <w:rFonts w:asciiTheme="majorHAnsi" w:hAnsiTheme="majorHAnsi" w:cstheme="majorHAnsi"/>
          <w:color w:val="000000" w:themeColor="text1"/>
          <w:sz w:val="24"/>
          <w:szCs w:val="24"/>
        </w:rPr>
      </w:pPr>
    </w:p>
    <w:p w14:paraId="32B444A9" w14:textId="77777777" w:rsidR="0025277B" w:rsidRPr="0025277B" w:rsidRDefault="0025277B" w:rsidP="0025277B">
      <w:pPr>
        <w:rPr>
          <w:rFonts w:asciiTheme="majorHAnsi" w:hAnsiTheme="majorHAnsi" w:cstheme="majorHAnsi"/>
          <w:color w:val="000000" w:themeColor="text1"/>
          <w:sz w:val="24"/>
          <w:szCs w:val="24"/>
        </w:rPr>
      </w:pPr>
      <w:r w:rsidRPr="0025277B">
        <w:rPr>
          <w:rFonts w:asciiTheme="majorHAnsi" w:hAnsiTheme="majorHAnsi" w:cstheme="majorHAnsi"/>
          <w:color w:val="000000" w:themeColor="text1"/>
          <w:sz w:val="24"/>
          <w:szCs w:val="24"/>
        </w:rPr>
        <w:t xml:space="preserve">The study aimed to find out whether these approaches could improve the attainment of boys, and while it did improve for some learners (35%), it was not a convincing amount, with the approach seeming to benefit girls much greater (60% improved). Consequently, in any future investigations regarding shared writing approaches, I would perhaps sit </w:t>
      </w:r>
      <w:proofErr w:type="gramStart"/>
      <w:r w:rsidRPr="0025277B">
        <w:rPr>
          <w:rFonts w:asciiTheme="majorHAnsi" w:hAnsiTheme="majorHAnsi" w:cstheme="majorHAnsi"/>
          <w:color w:val="000000" w:themeColor="text1"/>
          <w:sz w:val="24"/>
          <w:szCs w:val="24"/>
        </w:rPr>
        <w:t>pupils</w:t>
      </w:r>
      <w:proofErr w:type="gramEnd"/>
      <w:r w:rsidRPr="0025277B">
        <w:rPr>
          <w:rFonts w:asciiTheme="majorHAnsi" w:hAnsiTheme="majorHAnsi" w:cstheme="majorHAnsi"/>
          <w:color w:val="000000" w:themeColor="text1"/>
          <w:sz w:val="24"/>
          <w:szCs w:val="24"/>
        </w:rPr>
        <w:t xml:space="preserve"> boy-girl to test whether this would have an impact.</w:t>
      </w:r>
    </w:p>
    <w:p w14:paraId="48BADD56" w14:textId="77777777" w:rsidR="0025277B" w:rsidRPr="0025277B" w:rsidRDefault="0025277B" w:rsidP="0025277B">
      <w:pPr>
        <w:rPr>
          <w:rFonts w:asciiTheme="majorHAnsi" w:hAnsiTheme="majorHAnsi" w:cstheme="majorHAnsi"/>
          <w:sz w:val="24"/>
          <w:szCs w:val="24"/>
        </w:rPr>
      </w:pPr>
    </w:p>
    <w:p w14:paraId="43CA1332" w14:textId="77777777" w:rsidR="0025277B" w:rsidRPr="0025277B" w:rsidRDefault="0025277B" w:rsidP="0025277B">
      <w:pPr>
        <w:rPr>
          <w:rFonts w:asciiTheme="majorHAnsi" w:hAnsiTheme="majorHAnsi" w:cstheme="majorHAnsi"/>
          <w:sz w:val="24"/>
          <w:szCs w:val="24"/>
        </w:rPr>
      </w:pPr>
    </w:p>
    <w:p w14:paraId="3A4F2EAB" w14:textId="77777777" w:rsidR="0025277B" w:rsidRDefault="0025277B" w:rsidP="0025277B"/>
    <w:p w14:paraId="0ABE373B" w14:textId="77777777" w:rsidR="0025277B" w:rsidRDefault="0025277B" w:rsidP="0025277B"/>
    <w:p w14:paraId="3E59957F" w14:textId="77777777" w:rsidR="0025277B" w:rsidRDefault="0025277B" w:rsidP="0025277B"/>
    <w:p w14:paraId="0DC8F26C" w14:textId="77777777" w:rsidR="0025277B" w:rsidRDefault="0025277B" w:rsidP="0025277B"/>
    <w:p w14:paraId="7108BF12" w14:textId="77777777" w:rsidR="0025277B" w:rsidRDefault="0025277B" w:rsidP="0025277B"/>
    <w:p w14:paraId="77970B53" w14:textId="77777777" w:rsidR="0025277B" w:rsidRDefault="0025277B" w:rsidP="0025277B"/>
    <w:p w14:paraId="789A5DAB" w14:textId="77777777" w:rsidR="0025277B" w:rsidRDefault="0025277B" w:rsidP="0025277B"/>
    <w:p w14:paraId="55086653" w14:textId="77777777" w:rsidR="0025277B" w:rsidRDefault="0025277B" w:rsidP="0025277B"/>
    <w:p w14:paraId="21FE4716" w14:textId="753B4898" w:rsidR="0025277B" w:rsidRDefault="0025277B" w:rsidP="0025277B"/>
    <w:p w14:paraId="32F9DC74" w14:textId="77777777" w:rsidR="0025277B" w:rsidRPr="0025277B" w:rsidRDefault="0025277B" w:rsidP="0025277B">
      <w:pPr>
        <w:pStyle w:val="NoSpacing"/>
        <w:rPr>
          <w:rFonts w:asciiTheme="majorHAnsi" w:hAnsiTheme="majorHAnsi" w:cstheme="majorHAnsi"/>
        </w:rPr>
      </w:pPr>
    </w:p>
    <w:p w14:paraId="368B103A" w14:textId="77777777" w:rsidR="0025277B" w:rsidRPr="0025277B" w:rsidRDefault="0025277B" w:rsidP="0025277B">
      <w:pPr>
        <w:pStyle w:val="NoSpacing"/>
        <w:rPr>
          <w:rFonts w:asciiTheme="majorHAnsi" w:hAnsiTheme="majorHAnsi" w:cstheme="majorHAnsi"/>
          <w:b/>
          <w:sz w:val="28"/>
          <w:u w:val="single"/>
        </w:rPr>
      </w:pPr>
      <w:r w:rsidRPr="0025277B">
        <w:rPr>
          <w:rFonts w:asciiTheme="majorHAnsi" w:hAnsiTheme="majorHAnsi" w:cstheme="majorHAnsi"/>
          <w:b/>
          <w:sz w:val="28"/>
          <w:u w:val="single"/>
        </w:rPr>
        <w:t>References:</w:t>
      </w:r>
    </w:p>
    <w:p w14:paraId="0FFA62DB" w14:textId="77777777" w:rsidR="0025277B" w:rsidRPr="0025277B" w:rsidRDefault="0025277B" w:rsidP="0025277B">
      <w:pPr>
        <w:pStyle w:val="NoSpacing"/>
        <w:rPr>
          <w:rFonts w:asciiTheme="majorHAnsi" w:hAnsiTheme="majorHAnsi" w:cstheme="majorHAnsi"/>
        </w:rPr>
      </w:pPr>
    </w:p>
    <w:p w14:paraId="13AF209C" w14:textId="231D79F2"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Aitchison, J. (1998). </w:t>
      </w:r>
      <w:r w:rsidRPr="0025277B">
        <w:rPr>
          <w:rFonts w:asciiTheme="majorHAnsi" w:hAnsiTheme="majorHAnsi" w:cstheme="majorHAnsi"/>
          <w:i/>
          <w:iCs/>
          <w:color w:val="000000"/>
          <w:lang w:eastAsia="en-GB"/>
        </w:rPr>
        <w:t>The articulate mammal</w:t>
      </w:r>
      <w:r w:rsidRPr="0025277B">
        <w:rPr>
          <w:rFonts w:asciiTheme="majorHAnsi" w:hAnsiTheme="majorHAnsi" w:cstheme="majorHAnsi"/>
          <w:color w:val="000000"/>
          <w:lang w:eastAsia="en-GB"/>
        </w:rPr>
        <w:t>. London: Routledge.</w:t>
      </w:r>
    </w:p>
    <w:p w14:paraId="3CDC0C89" w14:textId="77777777" w:rsidR="0025277B" w:rsidRPr="0025277B" w:rsidRDefault="0025277B" w:rsidP="0025277B">
      <w:pPr>
        <w:pStyle w:val="NoSpacing"/>
        <w:rPr>
          <w:rFonts w:asciiTheme="majorHAnsi" w:hAnsiTheme="majorHAnsi" w:cstheme="majorHAnsi"/>
          <w:color w:val="000000"/>
          <w:lang w:eastAsia="en-GB"/>
        </w:rPr>
      </w:pPr>
    </w:p>
    <w:p w14:paraId="4082CB3A"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Andrews, R (2008) ‘The Case for a National Writing Project’</w:t>
      </w:r>
    </w:p>
    <w:p w14:paraId="74BB3FA4" w14:textId="77777777" w:rsidR="0025277B" w:rsidRPr="0025277B" w:rsidRDefault="0025277B" w:rsidP="0025277B">
      <w:pPr>
        <w:pStyle w:val="NoSpacing"/>
        <w:rPr>
          <w:rFonts w:asciiTheme="majorHAnsi" w:hAnsiTheme="majorHAnsi" w:cstheme="majorHAnsi"/>
          <w:u w:val="single"/>
        </w:rPr>
      </w:pPr>
    </w:p>
    <w:p w14:paraId="4E857309"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Barrow, W., 2010. Dialogic, participation and the potential for Philosophy for Children. </w:t>
      </w:r>
      <w:r w:rsidRPr="0025277B">
        <w:rPr>
          <w:rFonts w:asciiTheme="majorHAnsi" w:hAnsiTheme="majorHAnsi" w:cstheme="majorHAnsi"/>
          <w:i/>
        </w:rPr>
        <w:t>Thinking skills and Creativity</w:t>
      </w:r>
      <w:r w:rsidRPr="0025277B">
        <w:rPr>
          <w:rFonts w:asciiTheme="majorHAnsi" w:hAnsiTheme="majorHAnsi" w:cstheme="majorHAnsi"/>
        </w:rPr>
        <w:t>, Issue 5. Pp. 61-69</w:t>
      </w:r>
    </w:p>
    <w:p w14:paraId="709AEEDE" w14:textId="77777777" w:rsidR="0025277B" w:rsidRPr="0025277B" w:rsidRDefault="0025277B" w:rsidP="0025277B">
      <w:pPr>
        <w:pStyle w:val="NoSpacing"/>
        <w:rPr>
          <w:rFonts w:asciiTheme="majorHAnsi" w:hAnsiTheme="majorHAnsi" w:cstheme="majorHAnsi"/>
        </w:rPr>
      </w:pPr>
    </w:p>
    <w:p w14:paraId="02CAA93F" w14:textId="60D9B284"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Beach, R. and Marshall, J. (1991) </w:t>
      </w:r>
      <w:r w:rsidRPr="0025277B">
        <w:rPr>
          <w:rFonts w:asciiTheme="majorHAnsi" w:hAnsiTheme="majorHAnsi" w:cstheme="majorHAnsi"/>
          <w:i/>
        </w:rPr>
        <w:t>Teaching literature in the secondary school</w:t>
      </w:r>
      <w:r w:rsidRPr="0025277B">
        <w:rPr>
          <w:rFonts w:asciiTheme="majorHAnsi" w:hAnsiTheme="majorHAnsi" w:cstheme="majorHAnsi"/>
        </w:rPr>
        <w:t>. San Diego, CA: Harcourt Brace Jovanovich</w:t>
      </w:r>
    </w:p>
    <w:p w14:paraId="1AA26E7D" w14:textId="77777777" w:rsidR="0025277B" w:rsidRPr="0025277B" w:rsidRDefault="0025277B" w:rsidP="0025277B">
      <w:pPr>
        <w:pStyle w:val="NoSpacing"/>
        <w:rPr>
          <w:rFonts w:asciiTheme="majorHAnsi" w:hAnsiTheme="majorHAnsi" w:cstheme="majorHAnsi"/>
        </w:rPr>
      </w:pPr>
    </w:p>
    <w:p w14:paraId="33CB8D43" w14:textId="6475608A"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Bell, A., R. </w:t>
      </w:r>
      <w:proofErr w:type="spellStart"/>
      <w:r w:rsidRPr="0025277B">
        <w:rPr>
          <w:rFonts w:asciiTheme="majorHAnsi" w:hAnsiTheme="majorHAnsi" w:cstheme="majorHAnsi"/>
        </w:rPr>
        <w:t>Mladenovic</w:t>
      </w:r>
      <w:proofErr w:type="spellEnd"/>
      <w:r w:rsidRPr="0025277B">
        <w:rPr>
          <w:rFonts w:asciiTheme="majorHAnsi" w:hAnsiTheme="majorHAnsi" w:cstheme="majorHAnsi"/>
        </w:rPr>
        <w:t xml:space="preserve">, and M. Price. 2012. “Students’ Perceptions of the Usefulness of Marking Guides, Grade Descriptors and Annotated Exemplars.” Assessment &amp; Evaluation in Higher Education 38 (7): 769–788. </w:t>
      </w:r>
    </w:p>
    <w:p w14:paraId="060571A4" w14:textId="77777777" w:rsidR="0025277B" w:rsidRPr="0025277B" w:rsidRDefault="0025277B" w:rsidP="0025277B">
      <w:pPr>
        <w:pStyle w:val="NoSpacing"/>
        <w:rPr>
          <w:rFonts w:asciiTheme="majorHAnsi" w:hAnsiTheme="majorHAnsi" w:cstheme="majorHAnsi"/>
        </w:rPr>
      </w:pPr>
    </w:p>
    <w:p w14:paraId="22F6FFBD" w14:textId="19E55C73"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Booth, D. and Swartz, L. (2004) </w:t>
      </w:r>
      <w:r w:rsidRPr="0025277B">
        <w:rPr>
          <w:rFonts w:asciiTheme="majorHAnsi" w:hAnsiTheme="majorHAnsi" w:cstheme="majorHAnsi"/>
          <w:i/>
        </w:rPr>
        <w:t>Literacy techniques for building successful readers and writers</w:t>
      </w:r>
      <w:r w:rsidRPr="0025277B">
        <w:rPr>
          <w:rFonts w:asciiTheme="majorHAnsi" w:hAnsiTheme="majorHAnsi" w:cstheme="majorHAnsi"/>
        </w:rPr>
        <w:t xml:space="preserve"> (2</w:t>
      </w:r>
      <w:r w:rsidRPr="0025277B">
        <w:rPr>
          <w:rFonts w:asciiTheme="majorHAnsi" w:hAnsiTheme="majorHAnsi" w:cstheme="majorHAnsi"/>
          <w:vertAlign w:val="superscript"/>
        </w:rPr>
        <w:t>nd</w:t>
      </w:r>
      <w:r w:rsidRPr="0025277B">
        <w:rPr>
          <w:rFonts w:asciiTheme="majorHAnsi" w:hAnsiTheme="majorHAnsi" w:cstheme="majorHAnsi"/>
        </w:rPr>
        <w:t xml:space="preserve"> </w:t>
      </w:r>
      <w:proofErr w:type="spellStart"/>
      <w:r w:rsidRPr="0025277B">
        <w:rPr>
          <w:rFonts w:asciiTheme="majorHAnsi" w:hAnsiTheme="majorHAnsi" w:cstheme="majorHAnsi"/>
        </w:rPr>
        <w:t>ed</w:t>
      </w:r>
      <w:proofErr w:type="spellEnd"/>
      <w:r w:rsidRPr="0025277B">
        <w:rPr>
          <w:rFonts w:asciiTheme="majorHAnsi" w:hAnsiTheme="majorHAnsi" w:cstheme="majorHAnsi"/>
        </w:rPr>
        <w:t>). Ontario, Canada: Pembroke Publishers.</w:t>
      </w:r>
    </w:p>
    <w:p w14:paraId="0F186047" w14:textId="77777777" w:rsidR="0025277B" w:rsidRPr="0025277B" w:rsidRDefault="0025277B" w:rsidP="0025277B">
      <w:pPr>
        <w:pStyle w:val="NoSpacing"/>
        <w:rPr>
          <w:rFonts w:asciiTheme="majorHAnsi" w:hAnsiTheme="majorHAnsi" w:cstheme="majorHAnsi"/>
        </w:rPr>
      </w:pPr>
    </w:p>
    <w:p w14:paraId="78BDA935"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British Educational Research Associations, 2011. </w:t>
      </w:r>
      <w:r w:rsidRPr="0025277B">
        <w:rPr>
          <w:rFonts w:asciiTheme="majorHAnsi" w:hAnsiTheme="majorHAnsi" w:cstheme="majorHAnsi"/>
          <w:i/>
        </w:rPr>
        <w:t xml:space="preserve">Ethical Guidelines for Educational Research. </w:t>
      </w:r>
      <w:r w:rsidRPr="0025277B">
        <w:rPr>
          <w:rFonts w:asciiTheme="majorHAnsi" w:hAnsiTheme="majorHAnsi" w:cstheme="majorHAnsi"/>
        </w:rPr>
        <w:t>London: British Educational Research Associations.</w:t>
      </w:r>
    </w:p>
    <w:p w14:paraId="1F115542" w14:textId="77777777" w:rsidR="0025277B" w:rsidRPr="0025277B" w:rsidRDefault="0025277B" w:rsidP="0025277B">
      <w:pPr>
        <w:pStyle w:val="NoSpacing"/>
        <w:rPr>
          <w:rFonts w:asciiTheme="majorHAnsi" w:hAnsiTheme="majorHAnsi" w:cstheme="majorHAnsi"/>
        </w:rPr>
      </w:pPr>
    </w:p>
    <w:p w14:paraId="77009A51" w14:textId="77777777" w:rsidR="0025277B" w:rsidRPr="0025277B" w:rsidRDefault="0025277B" w:rsidP="0025277B">
      <w:pPr>
        <w:pStyle w:val="NoSpacing"/>
        <w:rPr>
          <w:rFonts w:asciiTheme="majorHAnsi" w:hAnsiTheme="majorHAnsi" w:cstheme="majorHAnsi"/>
          <w:i/>
          <w:iCs/>
        </w:rPr>
      </w:pPr>
      <w:r w:rsidRPr="0025277B">
        <w:rPr>
          <w:rFonts w:asciiTheme="majorHAnsi" w:hAnsiTheme="majorHAnsi" w:cstheme="majorHAnsi"/>
        </w:rPr>
        <w:t xml:space="preserve">Britton, J. (1978) The composing processes and the functions of writing. In C. Cooper and L. Odell </w:t>
      </w:r>
      <w:r w:rsidRPr="0025277B">
        <w:rPr>
          <w:rFonts w:asciiTheme="majorHAnsi" w:hAnsiTheme="majorHAnsi" w:cstheme="majorHAnsi"/>
          <w:i/>
          <w:iCs/>
        </w:rPr>
        <w:t>Research on Composing</w:t>
      </w:r>
    </w:p>
    <w:p w14:paraId="6D2D115B" w14:textId="77777777" w:rsidR="0025277B" w:rsidRPr="0025277B" w:rsidRDefault="0025277B" w:rsidP="0025277B">
      <w:pPr>
        <w:pStyle w:val="NoSpacing"/>
        <w:rPr>
          <w:rFonts w:asciiTheme="majorHAnsi" w:hAnsiTheme="majorHAnsi" w:cstheme="majorHAnsi"/>
        </w:rPr>
      </w:pPr>
    </w:p>
    <w:p w14:paraId="74FFBAAE" w14:textId="3532359F" w:rsidR="0025277B" w:rsidRDefault="0025277B" w:rsidP="0025277B">
      <w:pPr>
        <w:pStyle w:val="NoSpacing"/>
        <w:rPr>
          <w:rFonts w:asciiTheme="majorHAnsi" w:hAnsiTheme="majorHAnsi" w:cstheme="majorHAnsi"/>
          <w:color w:val="000000"/>
        </w:rPr>
      </w:pPr>
      <w:r w:rsidRPr="0025277B">
        <w:rPr>
          <w:rFonts w:asciiTheme="majorHAnsi" w:hAnsiTheme="majorHAnsi" w:cstheme="majorHAnsi"/>
          <w:color w:val="000000"/>
        </w:rPr>
        <w:t xml:space="preserve">Calkins, L. (1986). </w:t>
      </w:r>
      <w:r w:rsidRPr="0025277B">
        <w:rPr>
          <w:rFonts w:asciiTheme="majorHAnsi" w:hAnsiTheme="majorHAnsi" w:cstheme="majorHAnsi"/>
          <w:i/>
          <w:color w:val="000000"/>
        </w:rPr>
        <w:t>The art of teaching writing</w:t>
      </w:r>
      <w:r w:rsidRPr="0025277B">
        <w:rPr>
          <w:rFonts w:asciiTheme="majorHAnsi" w:hAnsiTheme="majorHAnsi" w:cstheme="majorHAnsi"/>
          <w:color w:val="000000"/>
        </w:rPr>
        <w:t xml:space="preserve">. Portsmouth, N.H.: Heinemann. </w:t>
      </w:r>
    </w:p>
    <w:p w14:paraId="1CA6537D" w14:textId="33DDAEEA" w:rsidR="0025277B" w:rsidRPr="0025277B" w:rsidRDefault="0025277B" w:rsidP="0025277B">
      <w:pPr>
        <w:pStyle w:val="NoSpacing"/>
        <w:rPr>
          <w:rFonts w:asciiTheme="majorHAnsi" w:hAnsiTheme="majorHAnsi" w:cstheme="majorHAnsi"/>
          <w:color w:val="000000"/>
        </w:rPr>
      </w:pPr>
    </w:p>
    <w:p w14:paraId="11A99156" w14:textId="77777777" w:rsidR="0025277B" w:rsidRP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Camps, A. (1994). </w:t>
      </w:r>
      <w:proofErr w:type="spellStart"/>
      <w:r w:rsidRPr="0025277B">
        <w:rPr>
          <w:rFonts w:asciiTheme="majorHAnsi" w:eastAsia="Times New Roman" w:hAnsiTheme="majorHAnsi" w:cstheme="majorHAnsi"/>
          <w:i/>
          <w:lang w:eastAsia="en-GB"/>
        </w:rPr>
        <w:t>L’ensenyament</w:t>
      </w:r>
      <w:proofErr w:type="spellEnd"/>
      <w:r w:rsidRPr="0025277B">
        <w:rPr>
          <w:rFonts w:asciiTheme="majorHAnsi" w:eastAsia="Times New Roman" w:hAnsiTheme="majorHAnsi" w:cstheme="majorHAnsi"/>
          <w:i/>
          <w:lang w:eastAsia="en-GB"/>
        </w:rPr>
        <w:t xml:space="preserve"> de la </w:t>
      </w:r>
      <w:proofErr w:type="spellStart"/>
      <w:r w:rsidRPr="0025277B">
        <w:rPr>
          <w:rFonts w:asciiTheme="majorHAnsi" w:eastAsia="Times New Roman" w:hAnsiTheme="majorHAnsi" w:cstheme="majorHAnsi"/>
          <w:i/>
          <w:lang w:eastAsia="en-GB"/>
        </w:rPr>
        <w:t>composicio</w:t>
      </w:r>
      <w:proofErr w:type="spellEnd"/>
      <w:r w:rsidRPr="0025277B">
        <w:rPr>
          <w:rFonts w:asciiTheme="majorHAnsi" w:eastAsia="Times New Roman" w:hAnsiTheme="majorHAnsi" w:cstheme="majorHAnsi"/>
          <w:i/>
          <w:lang w:eastAsia="en-GB"/>
        </w:rPr>
        <w:t xml:space="preserve"> ́ </w:t>
      </w:r>
      <w:proofErr w:type="spellStart"/>
      <w:r w:rsidRPr="0025277B">
        <w:rPr>
          <w:rFonts w:asciiTheme="majorHAnsi" w:eastAsia="Times New Roman" w:hAnsiTheme="majorHAnsi" w:cstheme="majorHAnsi"/>
          <w:i/>
          <w:lang w:eastAsia="en-GB"/>
        </w:rPr>
        <w:t>escrita</w:t>
      </w:r>
      <w:proofErr w:type="spellEnd"/>
      <w:r w:rsidRPr="0025277B">
        <w:rPr>
          <w:rFonts w:asciiTheme="majorHAnsi" w:eastAsia="Times New Roman" w:hAnsiTheme="majorHAnsi" w:cstheme="majorHAnsi"/>
          <w:lang w:eastAsia="en-GB"/>
        </w:rPr>
        <w:t xml:space="preserve">. Barcelona: </w:t>
      </w:r>
      <w:proofErr w:type="spellStart"/>
      <w:r w:rsidRPr="0025277B">
        <w:rPr>
          <w:rFonts w:asciiTheme="majorHAnsi" w:eastAsia="Times New Roman" w:hAnsiTheme="majorHAnsi" w:cstheme="majorHAnsi"/>
          <w:lang w:eastAsia="en-GB"/>
        </w:rPr>
        <w:t>Barcanova</w:t>
      </w:r>
      <w:proofErr w:type="spellEnd"/>
      <w:r w:rsidRPr="0025277B">
        <w:rPr>
          <w:rFonts w:asciiTheme="majorHAnsi" w:eastAsia="Times New Roman" w:hAnsiTheme="majorHAnsi" w:cstheme="majorHAnsi"/>
          <w:lang w:eastAsia="en-GB"/>
        </w:rPr>
        <w:t xml:space="preserve">. </w:t>
      </w:r>
    </w:p>
    <w:p w14:paraId="313947EA" w14:textId="77777777" w:rsidR="0025277B" w:rsidRPr="0025277B" w:rsidRDefault="0025277B" w:rsidP="0025277B">
      <w:pPr>
        <w:pStyle w:val="NoSpacing"/>
        <w:rPr>
          <w:rFonts w:asciiTheme="majorHAnsi" w:eastAsia="Times New Roman" w:hAnsiTheme="majorHAnsi" w:cstheme="majorHAnsi"/>
          <w:lang w:eastAsia="en-GB"/>
        </w:rPr>
      </w:pPr>
    </w:p>
    <w:p w14:paraId="7D88B445" w14:textId="77777777" w:rsidR="0025277B" w:rsidRP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Camps, A., </w:t>
      </w:r>
      <w:proofErr w:type="spellStart"/>
      <w:r w:rsidRPr="0025277B">
        <w:rPr>
          <w:rFonts w:asciiTheme="majorHAnsi" w:eastAsia="Times New Roman" w:hAnsiTheme="majorHAnsi" w:cstheme="majorHAnsi"/>
          <w:lang w:eastAsia="en-GB"/>
        </w:rPr>
        <w:t>Ribas</w:t>
      </w:r>
      <w:proofErr w:type="spellEnd"/>
      <w:r w:rsidRPr="0025277B">
        <w:rPr>
          <w:rFonts w:asciiTheme="majorHAnsi" w:eastAsia="Times New Roman" w:hAnsiTheme="majorHAnsi" w:cstheme="majorHAnsi"/>
          <w:lang w:eastAsia="en-GB"/>
        </w:rPr>
        <w:t xml:space="preserve">, T., </w:t>
      </w:r>
      <w:proofErr w:type="spellStart"/>
      <w:r w:rsidRPr="0025277B">
        <w:rPr>
          <w:rFonts w:asciiTheme="majorHAnsi" w:eastAsia="Times New Roman" w:hAnsiTheme="majorHAnsi" w:cstheme="majorHAnsi"/>
          <w:lang w:eastAsia="en-GB"/>
        </w:rPr>
        <w:t>Milian</w:t>
      </w:r>
      <w:proofErr w:type="spellEnd"/>
      <w:r w:rsidRPr="0025277B">
        <w:rPr>
          <w:rFonts w:asciiTheme="majorHAnsi" w:eastAsia="Times New Roman" w:hAnsiTheme="majorHAnsi" w:cstheme="majorHAnsi"/>
          <w:lang w:eastAsia="en-GB"/>
        </w:rPr>
        <w:t xml:space="preserve">, M. &amp; </w:t>
      </w:r>
      <w:proofErr w:type="spellStart"/>
      <w:r w:rsidRPr="0025277B">
        <w:rPr>
          <w:rFonts w:asciiTheme="majorHAnsi" w:eastAsia="Times New Roman" w:hAnsiTheme="majorHAnsi" w:cstheme="majorHAnsi"/>
          <w:lang w:eastAsia="en-GB"/>
        </w:rPr>
        <w:t>Guasch</w:t>
      </w:r>
      <w:proofErr w:type="spellEnd"/>
      <w:r w:rsidRPr="0025277B">
        <w:rPr>
          <w:rFonts w:asciiTheme="majorHAnsi" w:eastAsia="Times New Roman" w:hAnsiTheme="majorHAnsi" w:cstheme="majorHAnsi"/>
          <w:lang w:eastAsia="en-GB"/>
        </w:rPr>
        <w:t xml:space="preserve">, O. (1997). </w:t>
      </w:r>
      <w:proofErr w:type="spellStart"/>
      <w:r w:rsidRPr="0025277B">
        <w:rPr>
          <w:rFonts w:asciiTheme="majorHAnsi" w:eastAsia="Times New Roman" w:hAnsiTheme="majorHAnsi" w:cstheme="majorHAnsi"/>
          <w:lang w:eastAsia="en-GB"/>
        </w:rPr>
        <w:t>Activitat</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metalingu</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ı</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stica</w:t>
      </w:r>
      <w:proofErr w:type="spellEnd"/>
      <w:r w:rsidRPr="0025277B">
        <w:rPr>
          <w:rFonts w:asciiTheme="majorHAnsi" w:eastAsia="Times New Roman" w:hAnsiTheme="majorHAnsi" w:cstheme="majorHAnsi"/>
          <w:lang w:eastAsia="en-GB"/>
        </w:rPr>
        <w:t xml:space="preserve"> </w:t>
      </w:r>
    </w:p>
    <w:p w14:paraId="0078BA39" w14:textId="77777777" w:rsidR="0025277B" w:rsidRPr="0025277B" w:rsidRDefault="0025277B" w:rsidP="0025277B">
      <w:pPr>
        <w:pStyle w:val="NoSpacing"/>
        <w:rPr>
          <w:rFonts w:asciiTheme="majorHAnsi" w:eastAsia="Times New Roman" w:hAnsiTheme="majorHAnsi" w:cstheme="majorHAnsi"/>
          <w:lang w:eastAsia="en-GB"/>
        </w:rPr>
      </w:pPr>
    </w:p>
    <w:p w14:paraId="328CD9A0"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Cohen, L., </w:t>
      </w:r>
      <w:proofErr w:type="spellStart"/>
      <w:r w:rsidRPr="0025277B">
        <w:rPr>
          <w:rFonts w:asciiTheme="majorHAnsi" w:hAnsiTheme="majorHAnsi" w:cstheme="majorHAnsi"/>
        </w:rPr>
        <w:t>Manion</w:t>
      </w:r>
      <w:proofErr w:type="spellEnd"/>
      <w:r w:rsidRPr="0025277B">
        <w:rPr>
          <w:rFonts w:asciiTheme="majorHAnsi" w:hAnsiTheme="majorHAnsi" w:cstheme="majorHAnsi"/>
        </w:rPr>
        <w:t xml:space="preserve">, L. &amp; Morrison, K., 2013. </w:t>
      </w:r>
      <w:r w:rsidRPr="0025277B">
        <w:rPr>
          <w:rFonts w:asciiTheme="majorHAnsi" w:hAnsiTheme="majorHAnsi" w:cstheme="majorHAnsi"/>
          <w:i/>
        </w:rPr>
        <w:t>Research Methods in Education</w:t>
      </w:r>
      <w:r w:rsidRPr="0025277B">
        <w:rPr>
          <w:rFonts w:asciiTheme="majorHAnsi" w:hAnsiTheme="majorHAnsi" w:cstheme="majorHAnsi"/>
        </w:rPr>
        <w:t>. 7 ed. New York: Routledge.</w:t>
      </w:r>
    </w:p>
    <w:p w14:paraId="60859C73" w14:textId="77777777" w:rsidR="0025277B" w:rsidRPr="0025277B" w:rsidRDefault="0025277B" w:rsidP="0025277B">
      <w:pPr>
        <w:pStyle w:val="NoSpacing"/>
        <w:rPr>
          <w:rFonts w:asciiTheme="majorHAnsi" w:hAnsiTheme="majorHAnsi" w:cstheme="majorHAnsi"/>
        </w:rPr>
      </w:pPr>
    </w:p>
    <w:p w14:paraId="00CFDE81" w14:textId="5A8C0BF1" w:rsidR="0025277B" w:rsidRDefault="0025277B" w:rsidP="0025277B">
      <w:pPr>
        <w:pStyle w:val="NoSpacing"/>
        <w:rPr>
          <w:rFonts w:asciiTheme="majorHAnsi" w:hAnsiTheme="majorHAnsi" w:cstheme="majorHAnsi"/>
        </w:rPr>
      </w:pPr>
      <w:r w:rsidRPr="0025277B">
        <w:rPr>
          <w:rFonts w:asciiTheme="majorHAnsi" w:hAnsiTheme="majorHAnsi" w:cstheme="majorHAnsi"/>
        </w:rPr>
        <w:t>Corbett, P. (2010) ‘Shared writing’ presented at NATE Conference 2010: Making meanings: English at the heart of learning, Hinckley, 10 July 2010.</w:t>
      </w:r>
    </w:p>
    <w:p w14:paraId="49B2FA96" w14:textId="77777777" w:rsidR="0025277B" w:rsidRPr="0025277B" w:rsidRDefault="0025277B" w:rsidP="0025277B">
      <w:pPr>
        <w:pStyle w:val="NoSpacing"/>
        <w:rPr>
          <w:rFonts w:asciiTheme="majorHAnsi" w:hAnsiTheme="majorHAnsi" w:cstheme="majorHAnsi"/>
        </w:rPr>
      </w:pPr>
    </w:p>
    <w:p w14:paraId="4197BA41" w14:textId="724424C1"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Cox, B. (1991) </w:t>
      </w:r>
      <w:r w:rsidRPr="0025277B">
        <w:rPr>
          <w:rFonts w:asciiTheme="majorHAnsi" w:hAnsiTheme="majorHAnsi" w:cstheme="majorHAnsi"/>
          <w:i/>
        </w:rPr>
        <w:t>Cox on Cox: An English curriculum for the 1990s</w:t>
      </w:r>
      <w:r w:rsidRPr="0025277B">
        <w:rPr>
          <w:rFonts w:asciiTheme="majorHAnsi" w:hAnsiTheme="majorHAnsi" w:cstheme="majorHAnsi"/>
        </w:rPr>
        <w:t>. London: Hodder and Stoughton.</w:t>
      </w:r>
    </w:p>
    <w:p w14:paraId="3B42FF44" w14:textId="77777777" w:rsidR="0025277B" w:rsidRPr="0025277B" w:rsidRDefault="0025277B" w:rsidP="0025277B">
      <w:pPr>
        <w:pStyle w:val="NoSpacing"/>
        <w:rPr>
          <w:rFonts w:asciiTheme="majorHAnsi" w:hAnsiTheme="majorHAnsi" w:cstheme="majorHAnsi"/>
        </w:rPr>
      </w:pPr>
    </w:p>
    <w:p w14:paraId="74D11CB6"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Curriculum for Wales, 2015. </w:t>
      </w:r>
      <w:hyperlink r:id="rId11" w:history="1">
        <w:r w:rsidRPr="0025277B">
          <w:rPr>
            <w:rStyle w:val="Hyperlink"/>
            <w:rFonts w:asciiTheme="majorHAnsi" w:hAnsiTheme="majorHAnsi" w:cstheme="majorHAnsi"/>
          </w:rPr>
          <w:t>http://learning.gov.wales/docs/learningwales/publications/150717-nc-english-en-v3.pdf</w:t>
        </w:r>
      </w:hyperlink>
    </w:p>
    <w:p w14:paraId="15477A44" w14:textId="77777777" w:rsidR="0025277B" w:rsidRPr="0025277B" w:rsidRDefault="0025277B" w:rsidP="0025277B">
      <w:pPr>
        <w:pStyle w:val="NoSpacing"/>
        <w:rPr>
          <w:rFonts w:asciiTheme="majorHAnsi" w:eastAsia="Times New Roman" w:hAnsiTheme="majorHAnsi" w:cstheme="majorHAnsi"/>
          <w:lang w:eastAsia="en-GB"/>
        </w:rPr>
      </w:pPr>
    </w:p>
    <w:p w14:paraId="722A37D3" w14:textId="77777777" w:rsidR="0025277B" w:rsidRP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De </w:t>
      </w:r>
      <w:proofErr w:type="spellStart"/>
      <w:r w:rsidRPr="0025277B">
        <w:rPr>
          <w:rFonts w:asciiTheme="majorHAnsi" w:eastAsia="Times New Roman" w:hAnsiTheme="majorHAnsi" w:cstheme="majorHAnsi"/>
          <w:lang w:eastAsia="en-GB"/>
        </w:rPr>
        <w:t>Gaulmyn</w:t>
      </w:r>
      <w:proofErr w:type="spellEnd"/>
      <w:r w:rsidRPr="0025277B">
        <w:rPr>
          <w:rFonts w:asciiTheme="majorHAnsi" w:eastAsia="Times New Roman" w:hAnsiTheme="majorHAnsi" w:cstheme="majorHAnsi"/>
          <w:lang w:eastAsia="en-GB"/>
        </w:rPr>
        <w:t xml:space="preserve">, M.-M. (1986). Reformulation me ́ </w:t>
      </w:r>
      <w:proofErr w:type="spellStart"/>
      <w:r w:rsidRPr="0025277B">
        <w:rPr>
          <w:rFonts w:asciiTheme="majorHAnsi" w:eastAsia="Times New Roman" w:hAnsiTheme="majorHAnsi" w:cstheme="majorHAnsi"/>
          <w:lang w:eastAsia="en-GB"/>
        </w:rPr>
        <w:t>tadiscursive</w:t>
      </w:r>
      <w:proofErr w:type="spellEnd"/>
      <w:r w:rsidRPr="0025277B">
        <w:rPr>
          <w:rFonts w:asciiTheme="majorHAnsi" w:eastAsia="Times New Roman" w:hAnsiTheme="majorHAnsi" w:cstheme="majorHAnsi"/>
          <w:lang w:eastAsia="en-GB"/>
        </w:rPr>
        <w:t xml:space="preserve"> et gene` se du </w:t>
      </w:r>
      <w:proofErr w:type="spellStart"/>
      <w:r w:rsidRPr="0025277B">
        <w:rPr>
          <w:rFonts w:asciiTheme="majorHAnsi" w:eastAsia="Times New Roman" w:hAnsiTheme="majorHAnsi" w:cstheme="majorHAnsi"/>
          <w:lang w:eastAsia="en-GB"/>
        </w:rPr>
        <w:t>discours</w:t>
      </w:r>
      <w:proofErr w:type="spellEnd"/>
      <w:r w:rsidRPr="0025277B">
        <w:rPr>
          <w:rFonts w:asciiTheme="majorHAnsi" w:eastAsia="Times New Roman" w:hAnsiTheme="majorHAnsi" w:cstheme="majorHAnsi"/>
          <w:lang w:eastAsia="en-GB"/>
        </w:rPr>
        <w:t xml:space="preserve">. </w:t>
      </w:r>
      <w:r w:rsidRPr="0025277B">
        <w:rPr>
          <w:rFonts w:asciiTheme="majorHAnsi" w:eastAsia="Times New Roman" w:hAnsiTheme="majorHAnsi" w:cstheme="majorHAnsi"/>
          <w:i/>
          <w:lang w:eastAsia="en-GB"/>
        </w:rPr>
        <w:t>E ́</w:t>
      </w:r>
      <w:proofErr w:type="spellStart"/>
      <w:r w:rsidRPr="0025277B">
        <w:rPr>
          <w:rFonts w:asciiTheme="majorHAnsi" w:eastAsia="Times New Roman" w:hAnsiTheme="majorHAnsi" w:cstheme="majorHAnsi"/>
          <w:i/>
          <w:lang w:eastAsia="en-GB"/>
        </w:rPr>
        <w:t>tudes</w:t>
      </w:r>
      <w:proofErr w:type="spellEnd"/>
      <w:r w:rsidRPr="0025277B">
        <w:rPr>
          <w:rFonts w:asciiTheme="majorHAnsi" w:eastAsia="Times New Roman" w:hAnsiTheme="majorHAnsi" w:cstheme="majorHAnsi"/>
          <w:i/>
          <w:lang w:eastAsia="en-GB"/>
        </w:rPr>
        <w:t xml:space="preserve"> de </w:t>
      </w:r>
      <w:proofErr w:type="spellStart"/>
      <w:r w:rsidRPr="0025277B">
        <w:rPr>
          <w:rFonts w:asciiTheme="majorHAnsi" w:eastAsia="Times New Roman" w:hAnsiTheme="majorHAnsi" w:cstheme="majorHAnsi"/>
          <w:i/>
          <w:lang w:eastAsia="en-GB"/>
        </w:rPr>
        <w:t>linguistique</w:t>
      </w:r>
      <w:proofErr w:type="spellEnd"/>
      <w:r w:rsidRPr="0025277B">
        <w:rPr>
          <w:rFonts w:asciiTheme="majorHAnsi" w:eastAsia="Times New Roman" w:hAnsiTheme="majorHAnsi" w:cstheme="majorHAnsi"/>
          <w:i/>
          <w:lang w:eastAsia="en-GB"/>
        </w:rPr>
        <w:t xml:space="preserve"> applique ́e</w:t>
      </w:r>
      <w:r w:rsidRPr="0025277B">
        <w:rPr>
          <w:rFonts w:asciiTheme="majorHAnsi" w:eastAsia="Times New Roman" w:hAnsiTheme="majorHAnsi" w:cstheme="majorHAnsi"/>
          <w:lang w:eastAsia="en-GB"/>
        </w:rPr>
        <w:t xml:space="preserve">, 62, 98–117. </w:t>
      </w:r>
    </w:p>
    <w:p w14:paraId="58AC9189" w14:textId="77777777" w:rsidR="0025277B" w:rsidRPr="0025277B" w:rsidRDefault="0025277B" w:rsidP="0025277B">
      <w:pPr>
        <w:pStyle w:val="NoSpacing"/>
        <w:rPr>
          <w:rFonts w:asciiTheme="majorHAnsi" w:eastAsia="Times New Roman" w:hAnsiTheme="majorHAnsi" w:cstheme="majorHAnsi"/>
          <w:lang w:eastAsia="en-GB"/>
        </w:rPr>
      </w:pPr>
    </w:p>
    <w:p w14:paraId="6F582695" w14:textId="77777777" w:rsidR="0025277B" w:rsidRP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De </w:t>
      </w:r>
      <w:proofErr w:type="spellStart"/>
      <w:r w:rsidRPr="0025277B">
        <w:rPr>
          <w:rFonts w:asciiTheme="majorHAnsi" w:eastAsia="Times New Roman" w:hAnsiTheme="majorHAnsi" w:cstheme="majorHAnsi"/>
          <w:lang w:eastAsia="en-GB"/>
        </w:rPr>
        <w:t>Gaulmyn</w:t>
      </w:r>
      <w:proofErr w:type="spellEnd"/>
      <w:r w:rsidRPr="0025277B">
        <w:rPr>
          <w:rFonts w:asciiTheme="majorHAnsi" w:eastAsia="Times New Roman" w:hAnsiTheme="majorHAnsi" w:cstheme="majorHAnsi"/>
          <w:lang w:eastAsia="en-GB"/>
        </w:rPr>
        <w:t xml:space="preserve">, M.-M. (2001). </w:t>
      </w:r>
      <w:proofErr w:type="spellStart"/>
      <w:r w:rsidRPr="0025277B">
        <w:rPr>
          <w:rFonts w:asciiTheme="majorHAnsi" w:eastAsia="Times New Roman" w:hAnsiTheme="majorHAnsi" w:cstheme="majorHAnsi"/>
          <w:lang w:eastAsia="en-GB"/>
        </w:rPr>
        <w:t>Recherche</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lyonnaise</w:t>
      </w:r>
      <w:proofErr w:type="spellEnd"/>
      <w:r w:rsidRPr="0025277B">
        <w:rPr>
          <w:rFonts w:asciiTheme="majorHAnsi" w:eastAsia="Times New Roman" w:hAnsiTheme="majorHAnsi" w:cstheme="majorHAnsi"/>
          <w:lang w:eastAsia="en-GB"/>
        </w:rPr>
        <w:t xml:space="preserve"> sur la </w:t>
      </w:r>
      <w:proofErr w:type="spellStart"/>
      <w:r w:rsidRPr="0025277B">
        <w:rPr>
          <w:rFonts w:asciiTheme="majorHAnsi" w:eastAsia="Times New Roman" w:hAnsiTheme="majorHAnsi" w:cstheme="majorHAnsi"/>
          <w:lang w:eastAsia="en-GB"/>
        </w:rPr>
        <w:t>re</w:t>
      </w:r>
      <w:proofErr w:type="spellEnd"/>
      <w:r w:rsidRPr="0025277B">
        <w:rPr>
          <w:rFonts w:asciiTheme="majorHAnsi" w:eastAsia="Times New Roman" w:hAnsiTheme="majorHAnsi" w:cstheme="majorHAnsi"/>
          <w:lang w:eastAsia="en-GB"/>
        </w:rPr>
        <w:t xml:space="preserve"> ́ </w:t>
      </w:r>
      <w:proofErr w:type="spellStart"/>
      <w:r w:rsidRPr="0025277B">
        <w:rPr>
          <w:rFonts w:asciiTheme="majorHAnsi" w:eastAsia="Times New Roman" w:hAnsiTheme="majorHAnsi" w:cstheme="majorHAnsi"/>
          <w:lang w:eastAsia="en-GB"/>
        </w:rPr>
        <w:t>daction</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conversationnelle</w:t>
      </w:r>
      <w:proofErr w:type="spellEnd"/>
      <w:r w:rsidRPr="0025277B">
        <w:rPr>
          <w:rFonts w:asciiTheme="majorHAnsi" w:eastAsia="Times New Roman" w:hAnsiTheme="majorHAnsi" w:cstheme="majorHAnsi"/>
          <w:lang w:eastAsia="en-GB"/>
        </w:rPr>
        <w:t xml:space="preserve">. In M.-M. </w:t>
      </w:r>
      <w:proofErr w:type="spellStart"/>
      <w:r w:rsidRPr="0025277B">
        <w:rPr>
          <w:rFonts w:asciiTheme="majorHAnsi" w:eastAsia="Times New Roman" w:hAnsiTheme="majorHAnsi" w:cstheme="majorHAnsi"/>
          <w:lang w:eastAsia="en-GB"/>
        </w:rPr>
        <w:t>Gaulmynde</w:t>
      </w:r>
      <w:proofErr w:type="spellEnd"/>
      <w:r w:rsidRPr="0025277B">
        <w:rPr>
          <w:rFonts w:asciiTheme="majorHAnsi" w:eastAsia="Times New Roman" w:hAnsiTheme="majorHAnsi" w:cstheme="majorHAnsi"/>
          <w:lang w:eastAsia="en-GB"/>
        </w:rPr>
        <w:t xml:space="preserve">, R. Bouchard &amp; A. </w:t>
      </w:r>
      <w:proofErr w:type="spellStart"/>
      <w:r w:rsidRPr="0025277B">
        <w:rPr>
          <w:rFonts w:asciiTheme="majorHAnsi" w:eastAsia="Times New Roman" w:hAnsiTheme="majorHAnsi" w:cstheme="majorHAnsi"/>
          <w:lang w:eastAsia="en-GB"/>
        </w:rPr>
        <w:t>Rabatel</w:t>
      </w:r>
      <w:proofErr w:type="spellEnd"/>
      <w:r w:rsidRPr="0025277B">
        <w:rPr>
          <w:rFonts w:asciiTheme="majorHAnsi" w:eastAsia="Times New Roman" w:hAnsiTheme="majorHAnsi" w:cstheme="majorHAnsi"/>
          <w:lang w:eastAsia="en-GB"/>
        </w:rPr>
        <w:t>, (</w:t>
      </w:r>
      <w:proofErr w:type="spellStart"/>
      <w:r w:rsidRPr="0025277B">
        <w:rPr>
          <w:rFonts w:asciiTheme="majorHAnsi" w:eastAsia="Times New Roman" w:hAnsiTheme="majorHAnsi" w:cstheme="majorHAnsi"/>
          <w:lang w:eastAsia="en-GB"/>
        </w:rPr>
        <w:t>Eds</w:t>
      </w:r>
      <w:proofErr w:type="spellEnd"/>
      <w:r w:rsidRPr="0025277B">
        <w:rPr>
          <w:rFonts w:asciiTheme="majorHAnsi" w:eastAsia="Times New Roman" w:hAnsiTheme="majorHAnsi" w:cstheme="majorHAnsi"/>
          <w:lang w:eastAsia="en-GB"/>
        </w:rPr>
        <w:t xml:space="preserve">), </w:t>
      </w:r>
      <w:r w:rsidRPr="0025277B">
        <w:rPr>
          <w:rFonts w:asciiTheme="majorHAnsi" w:eastAsia="Times New Roman" w:hAnsiTheme="majorHAnsi" w:cstheme="majorHAnsi"/>
          <w:i/>
          <w:lang w:eastAsia="en-GB"/>
        </w:rPr>
        <w:t xml:space="preserve">Le </w:t>
      </w:r>
      <w:proofErr w:type="spellStart"/>
      <w:r w:rsidRPr="0025277B">
        <w:rPr>
          <w:rFonts w:asciiTheme="majorHAnsi" w:eastAsia="Times New Roman" w:hAnsiTheme="majorHAnsi" w:cstheme="majorHAnsi"/>
          <w:i/>
          <w:lang w:eastAsia="en-GB"/>
        </w:rPr>
        <w:t>processus</w:t>
      </w:r>
      <w:proofErr w:type="spellEnd"/>
      <w:r w:rsidRPr="0025277B">
        <w:rPr>
          <w:rFonts w:asciiTheme="majorHAnsi" w:eastAsia="Times New Roman" w:hAnsiTheme="majorHAnsi" w:cstheme="majorHAnsi"/>
          <w:i/>
          <w:lang w:eastAsia="en-GB"/>
        </w:rPr>
        <w:t xml:space="preserve"> re ́</w:t>
      </w:r>
      <w:proofErr w:type="spellStart"/>
      <w:r w:rsidRPr="0025277B">
        <w:rPr>
          <w:rFonts w:asciiTheme="majorHAnsi" w:eastAsia="Times New Roman" w:hAnsiTheme="majorHAnsi" w:cstheme="majorHAnsi"/>
          <w:i/>
          <w:lang w:eastAsia="en-GB"/>
        </w:rPr>
        <w:t>dac</w:t>
      </w:r>
      <w:proofErr w:type="spellEnd"/>
      <w:r w:rsidRPr="0025277B">
        <w:rPr>
          <w:rFonts w:asciiTheme="majorHAnsi" w:eastAsia="Times New Roman" w:hAnsiTheme="majorHAnsi" w:cstheme="majorHAnsi"/>
          <w:i/>
          <w:lang w:eastAsia="en-GB"/>
        </w:rPr>
        <w:t xml:space="preserve">- </w:t>
      </w:r>
      <w:proofErr w:type="spellStart"/>
      <w:r w:rsidRPr="0025277B">
        <w:rPr>
          <w:rFonts w:asciiTheme="majorHAnsi" w:eastAsia="Times New Roman" w:hAnsiTheme="majorHAnsi" w:cstheme="majorHAnsi"/>
          <w:i/>
          <w:lang w:eastAsia="en-GB"/>
        </w:rPr>
        <w:t>tionnel</w:t>
      </w:r>
      <w:proofErr w:type="spellEnd"/>
      <w:r w:rsidRPr="0025277B">
        <w:rPr>
          <w:rFonts w:asciiTheme="majorHAnsi" w:eastAsia="Times New Roman" w:hAnsiTheme="majorHAnsi" w:cstheme="majorHAnsi"/>
          <w:i/>
          <w:lang w:eastAsia="en-GB"/>
        </w:rPr>
        <w:t>. E ́</w:t>
      </w:r>
      <w:proofErr w:type="spellStart"/>
      <w:r w:rsidRPr="0025277B">
        <w:rPr>
          <w:rFonts w:asciiTheme="majorHAnsi" w:eastAsia="Times New Roman" w:hAnsiTheme="majorHAnsi" w:cstheme="majorHAnsi"/>
          <w:i/>
          <w:lang w:eastAsia="en-GB"/>
        </w:rPr>
        <w:t>crire</w:t>
      </w:r>
      <w:proofErr w:type="spellEnd"/>
      <w:r w:rsidRPr="0025277B">
        <w:rPr>
          <w:rFonts w:asciiTheme="majorHAnsi" w:eastAsia="Times New Roman" w:hAnsiTheme="majorHAnsi" w:cstheme="majorHAnsi"/>
          <w:i/>
          <w:lang w:eastAsia="en-GB"/>
        </w:rPr>
        <w:t xml:space="preserve"> a` </w:t>
      </w:r>
      <w:proofErr w:type="spellStart"/>
      <w:r w:rsidRPr="0025277B">
        <w:rPr>
          <w:rFonts w:asciiTheme="majorHAnsi" w:eastAsia="Times New Roman" w:hAnsiTheme="majorHAnsi" w:cstheme="majorHAnsi"/>
          <w:i/>
          <w:lang w:eastAsia="en-GB"/>
        </w:rPr>
        <w:t>plusieurs</w:t>
      </w:r>
      <w:proofErr w:type="spellEnd"/>
      <w:r w:rsidRPr="0025277B">
        <w:rPr>
          <w:rFonts w:asciiTheme="majorHAnsi" w:eastAsia="Times New Roman" w:hAnsiTheme="majorHAnsi" w:cstheme="majorHAnsi"/>
          <w:i/>
          <w:lang w:eastAsia="en-GB"/>
        </w:rPr>
        <w:t xml:space="preserve"> </w:t>
      </w:r>
      <w:proofErr w:type="spellStart"/>
      <w:r w:rsidRPr="0025277B">
        <w:rPr>
          <w:rFonts w:asciiTheme="majorHAnsi" w:eastAsia="Times New Roman" w:hAnsiTheme="majorHAnsi" w:cstheme="majorHAnsi"/>
          <w:i/>
          <w:lang w:eastAsia="en-GB"/>
        </w:rPr>
        <w:t>voix</w:t>
      </w:r>
      <w:proofErr w:type="spellEnd"/>
      <w:r w:rsidRPr="0025277B">
        <w:rPr>
          <w:rFonts w:asciiTheme="majorHAnsi" w:eastAsia="Times New Roman" w:hAnsiTheme="majorHAnsi" w:cstheme="majorHAnsi"/>
          <w:i/>
          <w:lang w:eastAsia="en-GB"/>
        </w:rPr>
        <w:t xml:space="preserve"> </w:t>
      </w:r>
      <w:r w:rsidRPr="0025277B">
        <w:rPr>
          <w:rFonts w:asciiTheme="majorHAnsi" w:eastAsia="Times New Roman" w:hAnsiTheme="majorHAnsi" w:cstheme="majorHAnsi"/>
          <w:lang w:eastAsia="en-GB"/>
        </w:rPr>
        <w:t xml:space="preserve">(pp. 31–47). Paris: </w:t>
      </w:r>
      <w:proofErr w:type="spellStart"/>
      <w:r w:rsidRPr="0025277B">
        <w:rPr>
          <w:rFonts w:asciiTheme="majorHAnsi" w:eastAsia="Times New Roman" w:hAnsiTheme="majorHAnsi" w:cstheme="majorHAnsi"/>
          <w:lang w:eastAsia="en-GB"/>
        </w:rPr>
        <w:t>L’Harmattan</w:t>
      </w:r>
      <w:proofErr w:type="spellEnd"/>
      <w:r w:rsidRPr="0025277B">
        <w:rPr>
          <w:rFonts w:asciiTheme="majorHAnsi" w:eastAsia="Times New Roman" w:hAnsiTheme="majorHAnsi" w:cstheme="majorHAnsi"/>
          <w:lang w:eastAsia="en-GB"/>
        </w:rPr>
        <w:t xml:space="preserve">. </w:t>
      </w:r>
    </w:p>
    <w:p w14:paraId="23CD1EF6" w14:textId="77777777" w:rsidR="0025277B" w:rsidRPr="0025277B" w:rsidRDefault="0025277B" w:rsidP="0025277B">
      <w:pPr>
        <w:pStyle w:val="NoSpacing"/>
        <w:rPr>
          <w:rFonts w:asciiTheme="majorHAnsi" w:eastAsia="Times New Roman" w:hAnsiTheme="majorHAnsi" w:cstheme="majorHAnsi"/>
          <w:lang w:eastAsia="en-GB"/>
        </w:rPr>
      </w:pPr>
    </w:p>
    <w:p w14:paraId="0F298E86" w14:textId="1447B6FC"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Dean, G. (2004). </w:t>
      </w:r>
      <w:r w:rsidRPr="0025277B">
        <w:rPr>
          <w:rFonts w:asciiTheme="majorHAnsi" w:hAnsiTheme="majorHAnsi" w:cstheme="majorHAnsi"/>
          <w:i/>
          <w:iCs/>
          <w:color w:val="000000"/>
          <w:lang w:eastAsia="en-GB"/>
        </w:rPr>
        <w:t>Improving Learning in Secondary English</w:t>
      </w:r>
      <w:r w:rsidRPr="0025277B">
        <w:rPr>
          <w:rFonts w:asciiTheme="majorHAnsi" w:hAnsiTheme="majorHAnsi" w:cstheme="majorHAnsi"/>
          <w:color w:val="000000"/>
          <w:lang w:eastAsia="en-GB"/>
        </w:rPr>
        <w:t>. London: David Fulton.</w:t>
      </w:r>
    </w:p>
    <w:p w14:paraId="1E43AEE0" w14:textId="77777777" w:rsidR="0025277B" w:rsidRPr="0025277B" w:rsidRDefault="0025277B" w:rsidP="0025277B">
      <w:pPr>
        <w:pStyle w:val="NoSpacing"/>
        <w:rPr>
          <w:rFonts w:asciiTheme="majorHAnsi" w:hAnsiTheme="majorHAnsi" w:cstheme="majorHAnsi"/>
          <w:color w:val="000000"/>
          <w:lang w:eastAsia="en-GB"/>
        </w:rPr>
      </w:pPr>
    </w:p>
    <w:p w14:paraId="484D6546" w14:textId="77777777" w:rsidR="0025277B" w:rsidRP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DfEE</w:t>
      </w:r>
      <w:proofErr w:type="spellEnd"/>
      <w:r w:rsidRPr="0025277B">
        <w:rPr>
          <w:rFonts w:asciiTheme="majorHAnsi" w:hAnsiTheme="majorHAnsi" w:cstheme="majorHAnsi"/>
        </w:rPr>
        <w:t xml:space="preserve"> (2001) </w:t>
      </w:r>
      <w:r w:rsidRPr="0025277B">
        <w:rPr>
          <w:rFonts w:asciiTheme="majorHAnsi" w:hAnsiTheme="majorHAnsi" w:cstheme="majorHAnsi"/>
          <w:i/>
        </w:rPr>
        <w:t>Developing early writing</w:t>
      </w:r>
      <w:r w:rsidRPr="0025277B">
        <w:rPr>
          <w:rFonts w:asciiTheme="majorHAnsi" w:hAnsiTheme="majorHAnsi" w:cstheme="majorHAnsi"/>
        </w:rPr>
        <w:t>. London: Department of Education and Employment.</w:t>
      </w:r>
    </w:p>
    <w:p w14:paraId="5C3309EA" w14:textId="77777777" w:rsidR="0025277B" w:rsidRPr="0025277B" w:rsidRDefault="0025277B" w:rsidP="0025277B">
      <w:pPr>
        <w:pStyle w:val="NoSpacing"/>
        <w:rPr>
          <w:rFonts w:asciiTheme="majorHAnsi" w:hAnsiTheme="majorHAnsi" w:cstheme="majorHAnsi"/>
        </w:rPr>
      </w:pPr>
    </w:p>
    <w:p w14:paraId="2D104DE5" w14:textId="77777777" w:rsidR="0025277B" w:rsidRP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Diener</w:t>
      </w:r>
      <w:proofErr w:type="spellEnd"/>
      <w:r w:rsidRPr="0025277B">
        <w:rPr>
          <w:rFonts w:asciiTheme="majorHAnsi" w:hAnsiTheme="majorHAnsi" w:cstheme="majorHAnsi"/>
        </w:rPr>
        <w:t xml:space="preserve">, E. &amp; Crandall, R., 1978. </w:t>
      </w:r>
      <w:r w:rsidRPr="0025277B">
        <w:rPr>
          <w:rFonts w:asciiTheme="majorHAnsi" w:hAnsiTheme="majorHAnsi" w:cstheme="majorHAnsi"/>
          <w:i/>
        </w:rPr>
        <w:t>Ethics in Social and Behavioural Research.</w:t>
      </w:r>
      <w:r w:rsidRPr="0025277B">
        <w:rPr>
          <w:rFonts w:asciiTheme="majorHAnsi" w:hAnsiTheme="majorHAnsi" w:cstheme="majorHAnsi"/>
        </w:rPr>
        <w:t xml:space="preserve"> Chicago: University of Chicago Press.</w:t>
      </w:r>
    </w:p>
    <w:p w14:paraId="658915A4" w14:textId="77777777" w:rsidR="0025277B" w:rsidRPr="0025277B" w:rsidRDefault="0025277B" w:rsidP="0025277B">
      <w:pPr>
        <w:pStyle w:val="NoSpacing"/>
        <w:rPr>
          <w:rFonts w:asciiTheme="majorHAnsi" w:hAnsiTheme="majorHAnsi" w:cstheme="majorHAnsi"/>
        </w:rPr>
      </w:pPr>
    </w:p>
    <w:p w14:paraId="57103168" w14:textId="77777777" w:rsidR="0025277B" w:rsidRPr="0025277B" w:rsidRDefault="0025277B" w:rsidP="0025277B">
      <w:pPr>
        <w:pStyle w:val="NoSpacing"/>
        <w:rPr>
          <w:rFonts w:asciiTheme="majorHAnsi" w:eastAsia="Times New Roman" w:hAnsiTheme="majorHAnsi" w:cstheme="majorHAnsi"/>
          <w:lang w:eastAsia="en-GB"/>
        </w:rPr>
      </w:pPr>
      <w:proofErr w:type="spellStart"/>
      <w:r w:rsidRPr="0025277B">
        <w:rPr>
          <w:rFonts w:asciiTheme="majorHAnsi" w:eastAsia="Times New Roman" w:hAnsiTheme="majorHAnsi" w:cstheme="majorHAnsi"/>
          <w:lang w:eastAsia="en-GB"/>
        </w:rPr>
        <w:t>Dobao</w:t>
      </w:r>
      <w:proofErr w:type="spellEnd"/>
      <w:r w:rsidRPr="0025277B">
        <w:rPr>
          <w:rFonts w:asciiTheme="majorHAnsi" w:eastAsia="Times New Roman" w:hAnsiTheme="majorHAnsi" w:cstheme="majorHAnsi"/>
          <w:lang w:eastAsia="en-GB"/>
        </w:rPr>
        <w:t xml:space="preserve">, A. F. (2012). Collaborative writing tasks in the L2 classroom: Comparing group, pair, and individual work. </w:t>
      </w:r>
      <w:r w:rsidRPr="0025277B">
        <w:rPr>
          <w:rFonts w:asciiTheme="majorHAnsi" w:eastAsia="Times New Roman" w:hAnsiTheme="majorHAnsi" w:cstheme="majorHAnsi"/>
          <w:i/>
          <w:lang w:eastAsia="en-GB"/>
        </w:rPr>
        <w:t>Journal of Second Language Writing</w:t>
      </w:r>
      <w:r w:rsidRPr="0025277B">
        <w:rPr>
          <w:rFonts w:asciiTheme="majorHAnsi" w:eastAsia="Times New Roman" w:hAnsiTheme="majorHAnsi" w:cstheme="majorHAnsi"/>
          <w:lang w:eastAsia="en-GB"/>
        </w:rPr>
        <w:t xml:space="preserve">, 21(1), 40–58. </w:t>
      </w:r>
    </w:p>
    <w:p w14:paraId="23445426" w14:textId="77777777" w:rsidR="0025277B" w:rsidRPr="0025277B" w:rsidRDefault="0025277B" w:rsidP="0025277B">
      <w:pPr>
        <w:pStyle w:val="NoSpacing"/>
        <w:rPr>
          <w:rFonts w:asciiTheme="majorHAnsi" w:hAnsiTheme="majorHAnsi" w:cstheme="majorHAnsi"/>
        </w:rPr>
      </w:pPr>
    </w:p>
    <w:p w14:paraId="0F5D08D4"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Donaldson, G., 2015. </w:t>
      </w:r>
      <w:r w:rsidRPr="0025277B">
        <w:rPr>
          <w:rFonts w:asciiTheme="majorHAnsi" w:hAnsiTheme="majorHAnsi" w:cstheme="majorHAnsi"/>
          <w:i/>
        </w:rPr>
        <w:t>Successful Futures: Independent Review of Curriculum and Assessment Arrangements in Wales</w:t>
      </w:r>
      <w:r w:rsidRPr="0025277B">
        <w:rPr>
          <w:rFonts w:asciiTheme="majorHAnsi" w:hAnsiTheme="majorHAnsi" w:cstheme="majorHAnsi"/>
        </w:rPr>
        <w:t>, Cardiff: Illustrations.</w:t>
      </w:r>
    </w:p>
    <w:p w14:paraId="7F286A61" w14:textId="77777777" w:rsidR="0025277B" w:rsidRPr="0025277B" w:rsidRDefault="0025277B" w:rsidP="0025277B">
      <w:pPr>
        <w:pStyle w:val="NoSpacing"/>
        <w:rPr>
          <w:rFonts w:asciiTheme="majorHAnsi" w:eastAsia="Times New Roman" w:hAnsiTheme="majorHAnsi" w:cstheme="majorHAnsi"/>
          <w:lang w:eastAsia="en-GB"/>
        </w:rPr>
      </w:pPr>
    </w:p>
    <w:p w14:paraId="4C860260" w14:textId="77777777" w:rsidR="0025277B" w:rsidRP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Dowse, C., &amp; van </w:t>
      </w:r>
      <w:proofErr w:type="spellStart"/>
      <w:r w:rsidRPr="0025277B">
        <w:rPr>
          <w:rFonts w:asciiTheme="majorHAnsi" w:eastAsia="Times New Roman" w:hAnsiTheme="majorHAnsi" w:cstheme="majorHAnsi"/>
          <w:lang w:eastAsia="en-GB"/>
        </w:rPr>
        <w:t>Rensburg</w:t>
      </w:r>
      <w:proofErr w:type="spellEnd"/>
      <w:r w:rsidRPr="0025277B">
        <w:rPr>
          <w:rFonts w:asciiTheme="majorHAnsi" w:eastAsia="Times New Roman" w:hAnsiTheme="majorHAnsi" w:cstheme="majorHAnsi"/>
          <w:lang w:eastAsia="en-GB"/>
        </w:rPr>
        <w:t xml:space="preserve">, W (2015) “A hundred times we learned from one another” collaborative learning in an academic writing workshop. </w:t>
      </w:r>
      <w:r w:rsidRPr="0025277B">
        <w:rPr>
          <w:rFonts w:asciiTheme="majorHAnsi" w:eastAsia="Times New Roman" w:hAnsiTheme="majorHAnsi" w:cstheme="majorHAnsi"/>
          <w:i/>
          <w:lang w:eastAsia="en-GB"/>
        </w:rPr>
        <w:t>South African Journal of Education</w:t>
      </w:r>
      <w:r w:rsidRPr="0025277B">
        <w:rPr>
          <w:rFonts w:asciiTheme="majorHAnsi" w:eastAsia="Times New Roman" w:hAnsiTheme="majorHAnsi" w:cstheme="majorHAnsi"/>
          <w:lang w:eastAsia="en-GB"/>
        </w:rPr>
        <w:t xml:space="preserve">, 35(1), 1–12. </w:t>
      </w:r>
    </w:p>
    <w:p w14:paraId="4C15EF85" w14:textId="77777777" w:rsidR="0025277B" w:rsidRPr="0025277B" w:rsidRDefault="0025277B" w:rsidP="0025277B">
      <w:pPr>
        <w:pStyle w:val="NoSpacing"/>
        <w:rPr>
          <w:rFonts w:asciiTheme="majorHAnsi" w:hAnsiTheme="majorHAnsi" w:cstheme="majorHAnsi"/>
        </w:rPr>
      </w:pPr>
    </w:p>
    <w:p w14:paraId="0092A892" w14:textId="25988C3C"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Dymoke</w:t>
      </w:r>
      <w:proofErr w:type="spellEnd"/>
      <w:r w:rsidRPr="0025277B">
        <w:rPr>
          <w:rFonts w:asciiTheme="majorHAnsi" w:hAnsiTheme="majorHAnsi" w:cstheme="majorHAnsi"/>
        </w:rPr>
        <w:t xml:space="preserve">, S. (2001) ‘Taking poetry of its pedestal: The place of poetry writing in an assessment-driven curriculum’, </w:t>
      </w:r>
      <w:r w:rsidRPr="0025277B">
        <w:rPr>
          <w:rFonts w:asciiTheme="majorHAnsi" w:hAnsiTheme="majorHAnsi" w:cstheme="majorHAnsi"/>
          <w:i/>
        </w:rPr>
        <w:t>English in Education</w:t>
      </w:r>
      <w:r w:rsidRPr="0025277B">
        <w:rPr>
          <w:rFonts w:asciiTheme="majorHAnsi" w:hAnsiTheme="majorHAnsi" w:cstheme="majorHAnsi"/>
        </w:rPr>
        <w:t>, 35 (3), 32-41.</w:t>
      </w:r>
    </w:p>
    <w:p w14:paraId="6848B0DD" w14:textId="77777777" w:rsidR="0025277B" w:rsidRPr="0025277B" w:rsidRDefault="0025277B" w:rsidP="0025277B">
      <w:pPr>
        <w:pStyle w:val="NoSpacing"/>
        <w:rPr>
          <w:rFonts w:asciiTheme="majorHAnsi" w:hAnsiTheme="majorHAnsi" w:cstheme="majorHAnsi"/>
        </w:rPr>
      </w:pPr>
    </w:p>
    <w:p w14:paraId="1559A80F" w14:textId="77777777" w:rsidR="0025277B" w:rsidRP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Dymoke</w:t>
      </w:r>
      <w:proofErr w:type="spellEnd"/>
      <w:r w:rsidRPr="0025277B">
        <w:rPr>
          <w:rFonts w:asciiTheme="majorHAnsi" w:hAnsiTheme="majorHAnsi" w:cstheme="majorHAnsi"/>
        </w:rPr>
        <w:t xml:space="preserve">, S. (2003) </w:t>
      </w:r>
      <w:r w:rsidRPr="0025277B">
        <w:rPr>
          <w:rFonts w:asciiTheme="majorHAnsi" w:hAnsiTheme="majorHAnsi" w:cstheme="majorHAnsi"/>
          <w:i/>
        </w:rPr>
        <w:t>Drafting and assessing poetry</w:t>
      </w:r>
      <w:r w:rsidRPr="0025277B">
        <w:rPr>
          <w:rFonts w:asciiTheme="majorHAnsi" w:hAnsiTheme="majorHAnsi" w:cstheme="majorHAnsi"/>
        </w:rPr>
        <w:t>: A guide for teachers. London: Paul Chapman Publishing.</w:t>
      </w:r>
    </w:p>
    <w:p w14:paraId="2B90F1B6"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Elbow, P. (1973) </w:t>
      </w:r>
      <w:r w:rsidRPr="0025277B">
        <w:rPr>
          <w:rFonts w:asciiTheme="majorHAnsi" w:hAnsiTheme="majorHAnsi" w:cstheme="majorHAnsi"/>
          <w:i/>
          <w:iCs/>
        </w:rPr>
        <w:t xml:space="preserve">Writing without teachers. </w:t>
      </w:r>
      <w:r w:rsidRPr="0025277B">
        <w:rPr>
          <w:rFonts w:asciiTheme="majorHAnsi" w:hAnsiTheme="majorHAnsi" w:cstheme="majorHAnsi"/>
        </w:rPr>
        <w:t xml:space="preserve">New York: Oxford University Press </w:t>
      </w:r>
    </w:p>
    <w:p w14:paraId="7295A32D" w14:textId="77777777" w:rsidR="0025277B" w:rsidRPr="0025277B" w:rsidRDefault="0025277B" w:rsidP="0025277B">
      <w:pPr>
        <w:pStyle w:val="NoSpacing"/>
        <w:rPr>
          <w:rFonts w:asciiTheme="majorHAnsi" w:hAnsiTheme="majorHAnsi" w:cstheme="majorHAnsi"/>
        </w:rPr>
      </w:pPr>
    </w:p>
    <w:p w14:paraId="71A1E58D" w14:textId="77777777" w:rsidR="0025277B" w:rsidRPr="0025277B" w:rsidRDefault="0025277B" w:rsidP="0025277B">
      <w:pPr>
        <w:pStyle w:val="NoSpacing"/>
        <w:rPr>
          <w:rFonts w:asciiTheme="majorHAnsi" w:hAnsiTheme="majorHAnsi" w:cstheme="majorHAnsi"/>
          <w:i/>
        </w:rPr>
      </w:pPr>
      <w:proofErr w:type="spellStart"/>
      <w:r w:rsidRPr="0025277B">
        <w:rPr>
          <w:rFonts w:asciiTheme="majorHAnsi" w:hAnsiTheme="majorHAnsi" w:cstheme="majorHAnsi"/>
        </w:rPr>
        <w:t>Estyn</w:t>
      </w:r>
      <w:proofErr w:type="spellEnd"/>
      <w:r w:rsidRPr="0025277B">
        <w:rPr>
          <w:rFonts w:asciiTheme="majorHAnsi" w:hAnsiTheme="majorHAnsi" w:cstheme="majorHAnsi"/>
        </w:rPr>
        <w:t xml:space="preserve">, 2011. </w:t>
      </w:r>
      <w:r w:rsidRPr="0025277B">
        <w:rPr>
          <w:rFonts w:asciiTheme="majorHAnsi" w:hAnsiTheme="majorHAnsi" w:cstheme="majorHAnsi"/>
          <w:i/>
        </w:rPr>
        <w:t>School X</w:t>
      </w:r>
    </w:p>
    <w:p w14:paraId="6AF03F8A" w14:textId="77777777" w:rsidR="0025277B" w:rsidRPr="0025277B" w:rsidRDefault="0025277B" w:rsidP="0025277B">
      <w:pPr>
        <w:pStyle w:val="NoSpacing"/>
        <w:rPr>
          <w:rFonts w:asciiTheme="majorHAnsi" w:hAnsiTheme="majorHAnsi" w:cstheme="majorHAnsi"/>
          <w:i/>
        </w:rPr>
      </w:pPr>
    </w:p>
    <w:p w14:paraId="1DC291F0" w14:textId="77777777" w:rsidR="0025277B" w:rsidRPr="0025277B" w:rsidRDefault="0025277B" w:rsidP="0025277B">
      <w:pPr>
        <w:pStyle w:val="NoSpacing"/>
        <w:rPr>
          <w:rFonts w:asciiTheme="majorHAnsi" w:hAnsiTheme="majorHAnsi" w:cstheme="majorHAnsi"/>
          <w:lang w:eastAsia="en-GB"/>
        </w:rPr>
      </w:pPr>
      <w:r w:rsidRPr="0025277B">
        <w:rPr>
          <w:rFonts w:asciiTheme="majorHAnsi" w:hAnsiTheme="majorHAnsi" w:cstheme="majorHAnsi"/>
          <w:lang w:eastAsia="en-GB"/>
        </w:rPr>
        <w:t xml:space="preserve">Freedman, S.W. (1985). Acquisition of written language. Response and revision. </w:t>
      </w:r>
    </w:p>
    <w:p w14:paraId="4C6560F4" w14:textId="77777777" w:rsidR="0025277B" w:rsidRPr="0025277B" w:rsidRDefault="0025277B" w:rsidP="0025277B">
      <w:pPr>
        <w:pStyle w:val="NoSpacing"/>
        <w:rPr>
          <w:rFonts w:asciiTheme="majorHAnsi" w:hAnsiTheme="majorHAnsi" w:cstheme="majorHAnsi"/>
        </w:rPr>
      </w:pPr>
    </w:p>
    <w:p w14:paraId="68455664"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Gardner, H. (1975) </w:t>
      </w:r>
      <w:r w:rsidRPr="0025277B">
        <w:rPr>
          <w:rFonts w:asciiTheme="majorHAnsi" w:hAnsiTheme="majorHAnsi" w:cstheme="majorHAnsi"/>
          <w:i/>
          <w:iCs/>
        </w:rPr>
        <w:t xml:space="preserve">The Shattered Mind: The Person after Brain Damage. </w:t>
      </w:r>
      <w:r w:rsidRPr="0025277B">
        <w:rPr>
          <w:rFonts w:asciiTheme="majorHAnsi" w:hAnsiTheme="majorHAnsi" w:cstheme="majorHAnsi"/>
        </w:rPr>
        <w:t>New York: Random House</w:t>
      </w:r>
    </w:p>
    <w:p w14:paraId="47102DCB" w14:textId="77777777" w:rsidR="0025277B" w:rsidRPr="0025277B" w:rsidRDefault="0025277B" w:rsidP="0025277B">
      <w:pPr>
        <w:pStyle w:val="NoSpacing"/>
        <w:rPr>
          <w:rFonts w:asciiTheme="majorHAnsi" w:hAnsiTheme="majorHAnsi" w:cstheme="majorHAnsi"/>
          <w:color w:val="000000"/>
          <w:lang w:eastAsia="en-GB"/>
        </w:rPr>
      </w:pPr>
    </w:p>
    <w:p w14:paraId="52B99B10" w14:textId="77777777" w:rsidR="0025277B" w:rsidRPr="0025277B" w:rsidRDefault="0025277B" w:rsidP="0025277B">
      <w:pPr>
        <w:pStyle w:val="NoSpacing"/>
        <w:rPr>
          <w:rFonts w:asciiTheme="majorHAnsi" w:hAnsiTheme="majorHAnsi" w:cstheme="majorHAnsi"/>
          <w:color w:val="000000"/>
          <w:lang w:eastAsia="en-GB"/>
        </w:rPr>
      </w:pPr>
      <w:proofErr w:type="spellStart"/>
      <w:r w:rsidRPr="0025277B">
        <w:rPr>
          <w:rFonts w:asciiTheme="majorHAnsi" w:hAnsiTheme="majorHAnsi" w:cstheme="majorHAnsi"/>
          <w:color w:val="000000"/>
          <w:lang w:eastAsia="en-GB"/>
        </w:rPr>
        <w:t>Goertzen</w:t>
      </w:r>
      <w:proofErr w:type="spellEnd"/>
      <w:r w:rsidRPr="0025277B">
        <w:rPr>
          <w:rFonts w:asciiTheme="majorHAnsi" w:hAnsiTheme="majorHAnsi" w:cstheme="majorHAnsi"/>
          <w:color w:val="000000"/>
          <w:lang w:eastAsia="en-GB"/>
        </w:rPr>
        <w:t>, M. (2017). Introduction to Quantitative Research and Data. </w:t>
      </w:r>
      <w:r w:rsidRPr="0025277B">
        <w:rPr>
          <w:rFonts w:asciiTheme="majorHAnsi" w:hAnsiTheme="majorHAnsi" w:cstheme="majorHAnsi"/>
          <w:i/>
          <w:iCs/>
          <w:color w:val="000000"/>
          <w:lang w:eastAsia="en-GB"/>
        </w:rPr>
        <w:t>Library Technology Reports</w:t>
      </w:r>
      <w:r w:rsidRPr="0025277B">
        <w:rPr>
          <w:rFonts w:asciiTheme="majorHAnsi" w:hAnsiTheme="majorHAnsi" w:cstheme="majorHAnsi"/>
          <w:color w:val="000000"/>
          <w:lang w:eastAsia="en-GB"/>
        </w:rPr>
        <w:t>, 53(4).</w:t>
      </w:r>
    </w:p>
    <w:p w14:paraId="357E983E" w14:textId="47B5EAAC"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Graves, D. (1983). Writing: Teachers and children at work. Exeter, NH: Heinemann. </w:t>
      </w:r>
    </w:p>
    <w:p w14:paraId="28F8A0E7" w14:textId="77777777" w:rsidR="0025277B" w:rsidRPr="0025277B" w:rsidRDefault="0025277B" w:rsidP="0025277B">
      <w:pPr>
        <w:pStyle w:val="NoSpacing"/>
        <w:rPr>
          <w:rFonts w:asciiTheme="majorHAnsi" w:hAnsiTheme="majorHAnsi" w:cstheme="majorHAnsi"/>
        </w:rPr>
      </w:pPr>
    </w:p>
    <w:p w14:paraId="54A35DC9" w14:textId="65417E48"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Handley, K., and L. Williams. 2011. “From Copying to Learning: Using Exemplars to Engage Students with Assessment Criteria and Feedback.” Assessment &amp; Evaluation in Higher Education 36 (1): 95–108. </w:t>
      </w:r>
    </w:p>
    <w:p w14:paraId="1C966B1F" w14:textId="77777777" w:rsidR="0025277B" w:rsidRPr="0025277B" w:rsidRDefault="0025277B" w:rsidP="0025277B">
      <w:pPr>
        <w:pStyle w:val="NoSpacing"/>
        <w:rPr>
          <w:rFonts w:asciiTheme="majorHAnsi" w:hAnsiTheme="majorHAnsi" w:cstheme="majorHAnsi"/>
        </w:rPr>
      </w:pPr>
    </w:p>
    <w:p w14:paraId="1A51CB01" w14:textId="51984B5E"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Hawthorne, S. (2007). How best to teach writing skills: a review of the research into effective ways of teaching writing. </w:t>
      </w:r>
      <w:r w:rsidRPr="0025277B">
        <w:rPr>
          <w:rFonts w:asciiTheme="majorHAnsi" w:hAnsiTheme="majorHAnsi" w:cstheme="majorHAnsi"/>
          <w:i/>
          <w:iCs/>
          <w:color w:val="000000"/>
          <w:lang w:eastAsia="en-GB"/>
        </w:rPr>
        <w:t xml:space="preserve">English in </w:t>
      </w:r>
      <w:proofErr w:type="spellStart"/>
      <w:r w:rsidRPr="0025277B">
        <w:rPr>
          <w:rFonts w:asciiTheme="majorHAnsi" w:hAnsiTheme="majorHAnsi" w:cstheme="majorHAnsi"/>
          <w:i/>
          <w:iCs/>
          <w:color w:val="000000"/>
          <w:lang w:eastAsia="en-GB"/>
        </w:rPr>
        <w:t>Aotearoa</w:t>
      </w:r>
      <w:proofErr w:type="spellEnd"/>
      <w:r w:rsidRPr="0025277B">
        <w:rPr>
          <w:rFonts w:asciiTheme="majorHAnsi" w:hAnsiTheme="majorHAnsi" w:cstheme="majorHAnsi"/>
          <w:color w:val="000000"/>
          <w:lang w:eastAsia="en-GB"/>
        </w:rPr>
        <w:t>, 62, pp.27-36.</w:t>
      </w:r>
    </w:p>
    <w:p w14:paraId="5A903D73" w14:textId="77777777" w:rsidR="0025277B" w:rsidRPr="0025277B" w:rsidRDefault="0025277B" w:rsidP="0025277B">
      <w:pPr>
        <w:pStyle w:val="NoSpacing"/>
        <w:rPr>
          <w:rFonts w:asciiTheme="majorHAnsi" w:hAnsiTheme="majorHAnsi" w:cstheme="majorHAnsi"/>
          <w:color w:val="000000"/>
          <w:lang w:eastAsia="en-GB"/>
        </w:rPr>
      </w:pPr>
    </w:p>
    <w:p w14:paraId="4EE596D1" w14:textId="77777777" w:rsidR="0025277B" w:rsidRPr="0025277B" w:rsidRDefault="0025277B" w:rsidP="0025277B">
      <w:pPr>
        <w:pStyle w:val="NoSpacing"/>
        <w:rPr>
          <w:rFonts w:asciiTheme="majorHAnsi" w:eastAsia="Times New Roman" w:hAnsiTheme="majorHAnsi" w:cstheme="majorHAnsi"/>
          <w:lang w:eastAsia="en-GB"/>
        </w:rPr>
      </w:pPr>
      <w:proofErr w:type="spellStart"/>
      <w:r w:rsidRPr="0025277B">
        <w:rPr>
          <w:rFonts w:asciiTheme="majorHAnsi" w:eastAsia="Times New Roman" w:hAnsiTheme="majorHAnsi" w:cstheme="majorHAnsi"/>
          <w:lang w:eastAsia="en-GB"/>
        </w:rPr>
        <w:t>Heidar</w:t>
      </w:r>
      <w:proofErr w:type="spellEnd"/>
      <w:r w:rsidRPr="0025277B">
        <w:rPr>
          <w:rFonts w:asciiTheme="majorHAnsi" w:eastAsia="Times New Roman" w:hAnsiTheme="majorHAnsi" w:cstheme="majorHAnsi"/>
          <w:lang w:eastAsia="en-GB"/>
        </w:rPr>
        <w:t xml:space="preserve">, D. M. (2016). ZPD-assisted Intervention via Web 2.0 and Listening Comprehension Ability. </w:t>
      </w:r>
      <w:r w:rsidRPr="0025277B">
        <w:rPr>
          <w:rFonts w:asciiTheme="majorHAnsi" w:eastAsia="Times New Roman" w:hAnsiTheme="majorHAnsi" w:cstheme="majorHAnsi"/>
          <w:i/>
          <w:lang w:eastAsia="en-GB"/>
        </w:rPr>
        <w:t>English for Specific Purposes World</w:t>
      </w:r>
      <w:r w:rsidRPr="0025277B">
        <w:rPr>
          <w:rFonts w:asciiTheme="majorHAnsi" w:eastAsia="Times New Roman" w:hAnsiTheme="majorHAnsi" w:cstheme="majorHAnsi"/>
          <w:lang w:eastAsia="en-GB"/>
        </w:rPr>
        <w:t xml:space="preserve">, 17(4), 1–17. </w:t>
      </w:r>
    </w:p>
    <w:p w14:paraId="58D7A545" w14:textId="77777777" w:rsidR="0025277B" w:rsidRPr="0025277B" w:rsidRDefault="0025277B" w:rsidP="0025277B">
      <w:pPr>
        <w:pStyle w:val="NoSpacing"/>
        <w:rPr>
          <w:rFonts w:asciiTheme="majorHAnsi" w:hAnsiTheme="majorHAnsi" w:cstheme="majorHAnsi"/>
        </w:rPr>
      </w:pPr>
    </w:p>
    <w:p w14:paraId="63EC1DA2" w14:textId="6A92389F"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Humphris</w:t>
      </w:r>
      <w:proofErr w:type="spellEnd"/>
      <w:r w:rsidRPr="0025277B">
        <w:rPr>
          <w:rFonts w:asciiTheme="majorHAnsi" w:hAnsiTheme="majorHAnsi" w:cstheme="majorHAnsi"/>
        </w:rPr>
        <w:t xml:space="preserve">, R. (2010) ‘Developing students as writers through collaboration’, </w:t>
      </w:r>
      <w:r w:rsidRPr="0025277B">
        <w:rPr>
          <w:rFonts w:asciiTheme="majorHAnsi" w:hAnsiTheme="majorHAnsi" w:cstheme="majorHAnsi"/>
          <w:i/>
        </w:rPr>
        <w:t>Changing English</w:t>
      </w:r>
      <w:r w:rsidRPr="0025277B">
        <w:rPr>
          <w:rFonts w:asciiTheme="majorHAnsi" w:hAnsiTheme="majorHAnsi" w:cstheme="majorHAnsi"/>
        </w:rPr>
        <w:t>, 17 (2), 201-214.</w:t>
      </w:r>
    </w:p>
    <w:p w14:paraId="06930F6C" w14:textId="77777777" w:rsidR="0025277B" w:rsidRPr="0025277B" w:rsidRDefault="0025277B" w:rsidP="0025277B">
      <w:pPr>
        <w:pStyle w:val="NoSpacing"/>
        <w:rPr>
          <w:rFonts w:asciiTheme="majorHAnsi" w:hAnsiTheme="majorHAnsi" w:cstheme="majorHAnsi"/>
        </w:rPr>
      </w:pPr>
    </w:p>
    <w:p w14:paraId="7439BA52" w14:textId="52C345AD" w:rsidR="0025277B" w:rsidRDefault="0025277B" w:rsidP="0025277B">
      <w:pPr>
        <w:pStyle w:val="NoSpacing"/>
        <w:rPr>
          <w:rFonts w:asciiTheme="majorHAnsi" w:eastAsia="Times New Roman" w:hAnsiTheme="majorHAnsi" w:cstheme="majorHAnsi"/>
          <w:lang w:eastAsia="en-GB"/>
        </w:rPr>
      </w:pPr>
      <w:proofErr w:type="spellStart"/>
      <w:r w:rsidRPr="0025277B">
        <w:rPr>
          <w:rFonts w:asciiTheme="majorHAnsi" w:eastAsia="Times New Roman" w:hAnsiTheme="majorHAnsi" w:cstheme="majorHAnsi"/>
          <w:lang w:eastAsia="en-GB"/>
        </w:rPr>
        <w:t>Krafft</w:t>
      </w:r>
      <w:proofErr w:type="spellEnd"/>
      <w:r w:rsidRPr="0025277B">
        <w:rPr>
          <w:rFonts w:asciiTheme="majorHAnsi" w:eastAsia="Times New Roman" w:hAnsiTheme="majorHAnsi" w:cstheme="majorHAnsi"/>
          <w:lang w:eastAsia="en-GB"/>
        </w:rPr>
        <w:t xml:space="preserve">, U., &amp; </w:t>
      </w:r>
      <w:proofErr w:type="spellStart"/>
      <w:r w:rsidRPr="0025277B">
        <w:rPr>
          <w:rFonts w:asciiTheme="majorHAnsi" w:eastAsia="Times New Roman" w:hAnsiTheme="majorHAnsi" w:cstheme="majorHAnsi"/>
          <w:lang w:eastAsia="en-GB"/>
        </w:rPr>
        <w:t>Dausendscho</w:t>
      </w:r>
      <w:proofErr w:type="spellEnd"/>
      <w:r w:rsidRPr="0025277B">
        <w:rPr>
          <w:rFonts w:asciiTheme="majorHAnsi" w:eastAsia="Times New Roman" w:hAnsiTheme="majorHAnsi" w:cstheme="majorHAnsi"/>
          <w:lang w:eastAsia="en-GB"/>
        </w:rPr>
        <w:t xml:space="preserve"> ̈ n-Gay, U. (1993). La coordination des </w:t>
      </w:r>
      <w:proofErr w:type="spellStart"/>
      <w:r w:rsidRPr="0025277B">
        <w:rPr>
          <w:rFonts w:asciiTheme="majorHAnsi" w:eastAsia="Times New Roman" w:hAnsiTheme="majorHAnsi" w:cstheme="majorHAnsi"/>
          <w:lang w:eastAsia="en-GB"/>
        </w:rPr>
        <w:t>activite</w:t>
      </w:r>
      <w:proofErr w:type="spellEnd"/>
      <w:r w:rsidRPr="0025277B">
        <w:rPr>
          <w:rFonts w:asciiTheme="majorHAnsi" w:eastAsia="Times New Roman" w:hAnsiTheme="majorHAnsi" w:cstheme="majorHAnsi"/>
          <w:lang w:eastAsia="en-GB"/>
        </w:rPr>
        <w:t xml:space="preserve"> ́ s </w:t>
      </w:r>
      <w:proofErr w:type="spellStart"/>
      <w:r w:rsidRPr="0025277B">
        <w:rPr>
          <w:rFonts w:asciiTheme="majorHAnsi" w:eastAsia="Times New Roman" w:hAnsiTheme="majorHAnsi" w:cstheme="majorHAnsi"/>
          <w:lang w:eastAsia="en-GB"/>
        </w:rPr>
        <w:t>conver</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sationnelles</w:t>
      </w:r>
      <w:proofErr w:type="spellEnd"/>
      <w:r w:rsidRPr="0025277B">
        <w:rPr>
          <w:rFonts w:asciiTheme="majorHAnsi" w:eastAsia="Times New Roman" w:hAnsiTheme="majorHAnsi" w:cstheme="majorHAnsi"/>
          <w:lang w:eastAsia="en-GB"/>
        </w:rPr>
        <w:t xml:space="preserve">: Types de contract. </w:t>
      </w:r>
      <w:proofErr w:type="spellStart"/>
      <w:r w:rsidRPr="0025277B">
        <w:rPr>
          <w:rFonts w:asciiTheme="majorHAnsi" w:eastAsia="Times New Roman" w:hAnsiTheme="majorHAnsi" w:cstheme="majorHAnsi"/>
          <w:lang w:eastAsia="en-GB"/>
        </w:rPr>
        <w:t>XXe</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i/>
          <w:lang w:eastAsia="en-GB"/>
        </w:rPr>
        <w:t>Congre`s</w:t>
      </w:r>
      <w:proofErr w:type="spellEnd"/>
      <w:r w:rsidRPr="0025277B">
        <w:rPr>
          <w:rFonts w:asciiTheme="majorHAnsi" w:eastAsia="Times New Roman" w:hAnsiTheme="majorHAnsi" w:cstheme="majorHAnsi"/>
          <w:i/>
          <w:lang w:eastAsia="en-GB"/>
        </w:rPr>
        <w:t xml:space="preserve"> International de </w:t>
      </w:r>
      <w:proofErr w:type="spellStart"/>
      <w:r w:rsidRPr="0025277B">
        <w:rPr>
          <w:rFonts w:asciiTheme="majorHAnsi" w:eastAsia="Times New Roman" w:hAnsiTheme="majorHAnsi" w:cstheme="majorHAnsi"/>
          <w:i/>
          <w:lang w:eastAsia="en-GB"/>
        </w:rPr>
        <w:t>Linguistique</w:t>
      </w:r>
      <w:proofErr w:type="spellEnd"/>
      <w:r w:rsidRPr="0025277B">
        <w:rPr>
          <w:rFonts w:asciiTheme="majorHAnsi" w:eastAsia="Times New Roman" w:hAnsiTheme="majorHAnsi" w:cstheme="majorHAnsi"/>
          <w:i/>
          <w:lang w:eastAsia="en-GB"/>
        </w:rPr>
        <w:t xml:space="preserve"> et </w:t>
      </w:r>
      <w:proofErr w:type="spellStart"/>
      <w:r w:rsidRPr="0025277B">
        <w:rPr>
          <w:rFonts w:asciiTheme="majorHAnsi" w:eastAsia="Times New Roman" w:hAnsiTheme="majorHAnsi" w:cstheme="majorHAnsi"/>
          <w:i/>
          <w:lang w:eastAsia="en-GB"/>
        </w:rPr>
        <w:t>Philologie</w:t>
      </w:r>
      <w:proofErr w:type="spellEnd"/>
      <w:r w:rsidRPr="0025277B">
        <w:rPr>
          <w:rFonts w:asciiTheme="majorHAnsi" w:eastAsia="Times New Roman" w:hAnsiTheme="majorHAnsi" w:cstheme="majorHAnsi"/>
          <w:i/>
          <w:lang w:eastAsia="en-GB"/>
        </w:rPr>
        <w:t xml:space="preserve"> </w:t>
      </w:r>
      <w:proofErr w:type="spellStart"/>
      <w:r w:rsidRPr="0025277B">
        <w:rPr>
          <w:rFonts w:asciiTheme="majorHAnsi" w:eastAsia="Times New Roman" w:hAnsiTheme="majorHAnsi" w:cstheme="majorHAnsi"/>
          <w:i/>
          <w:lang w:eastAsia="en-GB"/>
        </w:rPr>
        <w:t>Romanes</w:t>
      </w:r>
      <w:proofErr w:type="spellEnd"/>
      <w:r w:rsidRPr="0025277B">
        <w:rPr>
          <w:rFonts w:asciiTheme="majorHAnsi" w:eastAsia="Times New Roman" w:hAnsiTheme="majorHAnsi" w:cstheme="majorHAnsi"/>
          <w:i/>
          <w:lang w:eastAsia="en-GB"/>
        </w:rPr>
        <w:t xml:space="preserve">. Tome II, section II. </w:t>
      </w:r>
      <w:proofErr w:type="spellStart"/>
      <w:r w:rsidRPr="0025277B">
        <w:rPr>
          <w:rFonts w:asciiTheme="majorHAnsi" w:eastAsia="Times New Roman" w:hAnsiTheme="majorHAnsi" w:cstheme="majorHAnsi"/>
          <w:i/>
          <w:lang w:eastAsia="en-GB"/>
        </w:rPr>
        <w:t>Universite</w:t>
      </w:r>
      <w:proofErr w:type="spellEnd"/>
      <w:r w:rsidRPr="0025277B">
        <w:rPr>
          <w:rFonts w:asciiTheme="majorHAnsi" w:eastAsia="Times New Roman" w:hAnsiTheme="majorHAnsi" w:cstheme="majorHAnsi"/>
          <w:i/>
          <w:lang w:eastAsia="en-GB"/>
        </w:rPr>
        <w:t xml:space="preserve"> ́ de </w:t>
      </w:r>
      <w:proofErr w:type="spellStart"/>
      <w:r w:rsidRPr="0025277B">
        <w:rPr>
          <w:rFonts w:asciiTheme="majorHAnsi" w:eastAsia="Times New Roman" w:hAnsiTheme="majorHAnsi" w:cstheme="majorHAnsi"/>
          <w:i/>
          <w:lang w:eastAsia="en-GB"/>
        </w:rPr>
        <w:t>Zu</w:t>
      </w:r>
      <w:proofErr w:type="spellEnd"/>
      <w:r w:rsidRPr="0025277B">
        <w:rPr>
          <w:rFonts w:asciiTheme="majorHAnsi" w:eastAsia="Times New Roman" w:hAnsiTheme="majorHAnsi" w:cstheme="majorHAnsi"/>
          <w:i/>
          <w:lang w:eastAsia="en-GB"/>
        </w:rPr>
        <w:t xml:space="preserve"> ̈rich</w:t>
      </w:r>
      <w:r w:rsidRPr="0025277B">
        <w:rPr>
          <w:rFonts w:asciiTheme="majorHAnsi" w:eastAsia="Times New Roman" w:hAnsiTheme="majorHAnsi" w:cstheme="majorHAnsi"/>
          <w:lang w:eastAsia="en-GB"/>
        </w:rPr>
        <w:t xml:space="preserve">, 1992 (pp. 95–108). </w:t>
      </w:r>
      <w:proofErr w:type="spellStart"/>
      <w:r w:rsidRPr="0025277B">
        <w:rPr>
          <w:rFonts w:asciiTheme="majorHAnsi" w:eastAsia="Times New Roman" w:hAnsiTheme="majorHAnsi" w:cstheme="majorHAnsi"/>
          <w:lang w:eastAsia="en-GB"/>
        </w:rPr>
        <w:t>Tu</w:t>
      </w:r>
      <w:proofErr w:type="spellEnd"/>
      <w:r w:rsidRPr="0025277B">
        <w:rPr>
          <w:rFonts w:asciiTheme="majorHAnsi" w:eastAsia="Times New Roman" w:hAnsiTheme="majorHAnsi" w:cstheme="majorHAnsi"/>
          <w:lang w:eastAsia="en-GB"/>
        </w:rPr>
        <w:t xml:space="preserve"> ̈ </w:t>
      </w:r>
      <w:proofErr w:type="spellStart"/>
      <w:r w:rsidRPr="0025277B">
        <w:rPr>
          <w:rFonts w:asciiTheme="majorHAnsi" w:eastAsia="Times New Roman" w:hAnsiTheme="majorHAnsi" w:cstheme="majorHAnsi"/>
          <w:lang w:eastAsia="en-GB"/>
        </w:rPr>
        <w:t>bingen</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Francke</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Verlag</w:t>
      </w:r>
      <w:proofErr w:type="spellEnd"/>
      <w:r w:rsidRPr="0025277B">
        <w:rPr>
          <w:rFonts w:asciiTheme="majorHAnsi" w:eastAsia="Times New Roman" w:hAnsiTheme="majorHAnsi" w:cstheme="majorHAnsi"/>
          <w:lang w:eastAsia="en-GB"/>
        </w:rPr>
        <w:t xml:space="preserve">. </w:t>
      </w:r>
    </w:p>
    <w:p w14:paraId="2854D477" w14:textId="77777777" w:rsidR="0025277B" w:rsidRPr="0025277B" w:rsidRDefault="0025277B" w:rsidP="0025277B">
      <w:pPr>
        <w:pStyle w:val="NoSpacing"/>
        <w:rPr>
          <w:rFonts w:asciiTheme="majorHAnsi" w:hAnsiTheme="majorHAnsi" w:cstheme="majorHAnsi"/>
        </w:rPr>
      </w:pPr>
    </w:p>
    <w:p w14:paraId="65ADE043" w14:textId="5967B22B" w:rsid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Marty, N. (1991). Gene` se de </w:t>
      </w:r>
      <w:proofErr w:type="spellStart"/>
      <w:r w:rsidRPr="0025277B">
        <w:rPr>
          <w:rFonts w:asciiTheme="majorHAnsi" w:eastAsia="Times New Roman" w:hAnsiTheme="majorHAnsi" w:cstheme="majorHAnsi"/>
          <w:lang w:eastAsia="en-GB"/>
        </w:rPr>
        <w:t>l’e</w:t>
      </w:r>
      <w:proofErr w:type="spellEnd"/>
      <w:r w:rsidRPr="0025277B">
        <w:rPr>
          <w:rFonts w:asciiTheme="majorHAnsi" w:eastAsia="Times New Roman" w:hAnsiTheme="majorHAnsi" w:cstheme="majorHAnsi"/>
          <w:lang w:eastAsia="en-GB"/>
        </w:rPr>
        <w:t xml:space="preserve"> ́ </w:t>
      </w:r>
      <w:proofErr w:type="spellStart"/>
      <w:r w:rsidRPr="0025277B">
        <w:rPr>
          <w:rFonts w:asciiTheme="majorHAnsi" w:eastAsia="Times New Roman" w:hAnsiTheme="majorHAnsi" w:cstheme="majorHAnsi"/>
          <w:lang w:eastAsia="en-GB"/>
        </w:rPr>
        <w:t>crit</w:t>
      </w:r>
      <w:proofErr w:type="spellEnd"/>
      <w:r w:rsidRPr="0025277B">
        <w:rPr>
          <w:rFonts w:asciiTheme="majorHAnsi" w:eastAsia="Times New Roman" w:hAnsiTheme="majorHAnsi" w:cstheme="majorHAnsi"/>
          <w:lang w:eastAsia="en-GB"/>
        </w:rPr>
        <w:t xml:space="preserve"> et </w:t>
      </w:r>
      <w:proofErr w:type="spellStart"/>
      <w:r w:rsidRPr="0025277B">
        <w:rPr>
          <w:rFonts w:asciiTheme="majorHAnsi" w:eastAsia="Times New Roman" w:hAnsiTheme="majorHAnsi" w:cstheme="majorHAnsi"/>
          <w:lang w:eastAsia="en-GB"/>
        </w:rPr>
        <w:t>activite</w:t>
      </w:r>
      <w:proofErr w:type="spellEnd"/>
      <w:r w:rsidRPr="0025277B">
        <w:rPr>
          <w:rFonts w:asciiTheme="majorHAnsi" w:eastAsia="Times New Roman" w:hAnsiTheme="majorHAnsi" w:cstheme="majorHAnsi"/>
          <w:lang w:eastAsia="en-GB"/>
        </w:rPr>
        <w:t xml:space="preserve"> ́ s me ́ </w:t>
      </w:r>
      <w:proofErr w:type="spellStart"/>
      <w:r w:rsidRPr="0025277B">
        <w:rPr>
          <w:rFonts w:asciiTheme="majorHAnsi" w:eastAsia="Times New Roman" w:hAnsiTheme="majorHAnsi" w:cstheme="majorHAnsi"/>
          <w:lang w:eastAsia="en-GB"/>
        </w:rPr>
        <w:t>talinguistiques</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dans</w:t>
      </w:r>
      <w:proofErr w:type="spellEnd"/>
      <w:r w:rsidRPr="0025277B">
        <w:rPr>
          <w:rFonts w:asciiTheme="majorHAnsi" w:eastAsia="Times New Roman" w:hAnsiTheme="majorHAnsi" w:cstheme="majorHAnsi"/>
          <w:lang w:eastAsia="en-GB"/>
        </w:rPr>
        <w:t xml:space="preserve"> le dialogue de </w:t>
      </w:r>
      <w:proofErr w:type="spellStart"/>
      <w:r w:rsidRPr="0025277B">
        <w:rPr>
          <w:rFonts w:asciiTheme="majorHAnsi" w:eastAsia="Times New Roman" w:hAnsiTheme="majorHAnsi" w:cstheme="majorHAnsi"/>
          <w:lang w:eastAsia="en-GB"/>
        </w:rPr>
        <w:t>jeunes</w:t>
      </w:r>
      <w:proofErr w:type="spellEnd"/>
      <w:r w:rsidRPr="0025277B">
        <w:rPr>
          <w:rFonts w:asciiTheme="majorHAnsi" w:eastAsia="Times New Roman" w:hAnsiTheme="majorHAnsi" w:cstheme="majorHAnsi"/>
          <w:lang w:eastAsia="en-GB"/>
        </w:rPr>
        <w:t xml:space="preserve"> </w:t>
      </w:r>
      <w:proofErr w:type="spellStart"/>
      <w:r w:rsidRPr="0025277B">
        <w:rPr>
          <w:rFonts w:asciiTheme="majorHAnsi" w:eastAsia="Times New Roman" w:hAnsiTheme="majorHAnsi" w:cstheme="majorHAnsi"/>
          <w:lang w:eastAsia="en-GB"/>
        </w:rPr>
        <w:t>scripteurs</w:t>
      </w:r>
      <w:proofErr w:type="spellEnd"/>
      <w:r w:rsidRPr="0025277B">
        <w:rPr>
          <w:rFonts w:asciiTheme="majorHAnsi" w:eastAsia="Times New Roman" w:hAnsiTheme="majorHAnsi" w:cstheme="majorHAnsi"/>
          <w:lang w:eastAsia="en-GB"/>
        </w:rPr>
        <w:t>. E ́</w:t>
      </w:r>
      <w:proofErr w:type="spellStart"/>
      <w:r w:rsidRPr="0025277B">
        <w:rPr>
          <w:rFonts w:asciiTheme="majorHAnsi" w:eastAsia="Times New Roman" w:hAnsiTheme="majorHAnsi" w:cstheme="majorHAnsi"/>
          <w:lang w:eastAsia="en-GB"/>
        </w:rPr>
        <w:t>tudes</w:t>
      </w:r>
      <w:proofErr w:type="spellEnd"/>
      <w:r w:rsidRPr="0025277B">
        <w:rPr>
          <w:rFonts w:asciiTheme="majorHAnsi" w:eastAsia="Times New Roman" w:hAnsiTheme="majorHAnsi" w:cstheme="majorHAnsi"/>
          <w:lang w:eastAsia="en-GB"/>
        </w:rPr>
        <w:t xml:space="preserve"> de </w:t>
      </w:r>
      <w:proofErr w:type="spellStart"/>
      <w:r w:rsidRPr="0025277B">
        <w:rPr>
          <w:rFonts w:asciiTheme="majorHAnsi" w:eastAsia="Times New Roman" w:hAnsiTheme="majorHAnsi" w:cstheme="majorHAnsi"/>
          <w:lang w:eastAsia="en-GB"/>
        </w:rPr>
        <w:t>linguistique</w:t>
      </w:r>
      <w:proofErr w:type="spellEnd"/>
      <w:r w:rsidRPr="0025277B">
        <w:rPr>
          <w:rFonts w:asciiTheme="majorHAnsi" w:eastAsia="Times New Roman" w:hAnsiTheme="majorHAnsi" w:cstheme="majorHAnsi"/>
          <w:lang w:eastAsia="en-GB"/>
        </w:rPr>
        <w:t xml:space="preserve"> applique ́e, 81, 57–70. </w:t>
      </w:r>
    </w:p>
    <w:p w14:paraId="7A2B0CC2" w14:textId="77777777" w:rsidR="0025277B" w:rsidRPr="0025277B" w:rsidRDefault="0025277B" w:rsidP="0025277B">
      <w:pPr>
        <w:pStyle w:val="NoSpacing"/>
        <w:rPr>
          <w:rFonts w:asciiTheme="majorHAnsi" w:eastAsia="Times New Roman" w:hAnsiTheme="majorHAnsi" w:cstheme="majorHAnsi"/>
          <w:lang w:eastAsia="en-GB"/>
        </w:rPr>
      </w:pPr>
    </w:p>
    <w:p w14:paraId="5A814993" w14:textId="60957951"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McLaughlin, </w:t>
      </w:r>
      <w:proofErr w:type="gramStart"/>
      <w:r w:rsidRPr="0025277B">
        <w:rPr>
          <w:rFonts w:asciiTheme="majorHAnsi" w:hAnsiTheme="majorHAnsi" w:cstheme="majorHAnsi"/>
        </w:rPr>
        <w:t>M.E,.</w:t>
      </w:r>
      <w:proofErr w:type="gramEnd"/>
      <w:r w:rsidRPr="0025277B">
        <w:rPr>
          <w:rFonts w:asciiTheme="majorHAnsi" w:hAnsiTheme="majorHAnsi" w:cstheme="majorHAnsi"/>
        </w:rPr>
        <w:t xml:space="preserve"> &amp; Talbert, </w:t>
      </w:r>
      <w:proofErr w:type="gramStart"/>
      <w:r w:rsidRPr="0025277B">
        <w:rPr>
          <w:rFonts w:asciiTheme="majorHAnsi" w:hAnsiTheme="majorHAnsi" w:cstheme="majorHAnsi"/>
        </w:rPr>
        <w:t>J.E.(</w:t>
      </w:r>
      <w:proofErr w:type="gramEnd"/>
      <w:r w:rsidRPr="0025277B">
        <w:rPr>
          <w:rFonts w:asciiTheme="majorHAnsi" w:hAnsiTheme="majorHAnsi" w:cstheme="majorHAnsi"/>
        </w:rPr>
        <w:t xml:space="preserve">1993). Introduction: New visions of teaching. In M.W. McLaughlin &amp; J.E. Talbert (Eds.), Teaching for understanding (pp. 1ñ10). San Francisco, CA: </w:t>
      </w:r>
      <w:proofErr w:type="spellStart"/>
      <w:r w:rsidRPr="0025277B">
        <w:rPr>
          <w:rFonts w:asciiTheme="majorHAnsi" w:hAnsiTheme="majorHAnsi" w:cstheme="majorHAnsi"/>
        </w:rPr>
        <w:t>Jossey</w:t>
      </w:r>
      <w:proofErr w:type="spellEnd"/>
      <w:r w:rsidRPr="0025277B">
        <w:rPr>
          <w:rFonts w:asciiTheme="majorHAnsi" w:hAnsiTheme="majorHAnsi" w:cstheme="majorHAnsi"/>
        </w:rPr>
        <w:t xml:space="preserve">-Bass. </w:t>
      </w:r>
    </w:p>
    <w:p w14:paraId="615C0897" w14:textId="77777777" w:rsidR="0025277B" w:rsidRPr="0025277B" w:rsidRDefault="0025277B" w:rsidP="0025277B">
      <w:pPr>
        <w:pStyle w:val="NoSpacing"/>
        <w:rPr>
          <w:rFonts w:asciiTheme="majorHAnsi" w:hAnsiTheme="majorHAnsi" w:cstheme="majorHAnsi"/>
        </w:rPr>
      </w:pPr>
    </w:p>
    <w:p w14:paraId="2CF06113" w14:textId="22C285D7"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Mercer, N. (1988). </w:t>
      </w:r>
      <w:r w:rsidRPr="0025277B">
        <w:rPr>
          <w:rFonts w:asciiTheme="majorHAnsi" w:hAnsiTheme="majorHAnsi" w:cstheme="majorHAnsi"/>
          <w:i/>
          <w:iCs/>
          <w:color w:val="000000"/>
          <w:lang w:eastAsia="en-GB"/>
        </w:rPr>
        <w:t>Language and Literacy from an educational perspective</w:t>
      </w:r>
      <w:r w:rsidRPr="0025277B">
        <w:rPr>
          <w:rFonts w:asciiTheme="majorHAnsi" w:hAnsiTheme="majorHAnsi" w:cstheme="majorHAnsi"/>
          <w:color w:val="000000"/>
          <w:lang w:eastAsia="en-GB"/>
        </w:rPr>
        <w:t>. Open University Press: Open University Press.</w:t>
      </w:r>
    </w:p>
    <w:p w14:paraId="1B953BAF" w14:textId="77777777" w:rsidR="0025277B" w:rsidRPr="0025277B" w:rsidRDefault="0025277B" w:rsidP="0025277B">
      <w:pPr>
        <w:pStyle w:val="NoSpacing"/>
        <w:rPr>
          <w:rFonts w:asciiTheme="majorHAnsi" w:hAnsiTheme="majorHAnsi" w:cstheme="majorHAnsi"/>
          <w:color w:val="000000"/>
          <w:lang w:eastAsia="en-GB"/>
        </w:rPr>
      </w:pPr>
    </w:p>
    <w:p w14:paraId="1CC8D31F" w14:textId="471F735A"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Milian</w:t>
      </w:r>
      <w:proofErr w:type="spellEnd"/>
      <w:r w:rsidRPr="0025277B">
        <w:rPr>
          <w:rFonts w:asciiTheme="majorHAnsi" w:hAnsiTheme="majorHAnsi" w:cstheme="majorHAnsi"/>
        </w:rPr>
        <w:t xml:space="preserve">, M. (2005) ‘Reformulation: A means of constructing knowledge in shared writing’, </w:t>
      </w:r>
      <w:r w:rsidRPr="0025277B">
        <w:rPr>
          <w:rFonts w:asciiTheme="majorHAnsi" w:hAnsiTheme="majorHAnsi" w:cstheme="majorHAnsi"/>
          <w:i/>
        </w:rPr>
        <w:t>L1 – Educational Studies in Language and Literature</w:t>
      </w:r>
      <w:r w:rsidRPr="0025277B">
        <w:rPr>
          <w:rFonts w:asciiTheme="majorHAnsi" w:hAnsiTheme="majorHAnsi" w:cstheme="majorHAnsi"/>
        </w:rPr>
        <w:t>, 5 (3), 335-351.</w:t>
      </w:r>
    </w:p>
    <w:p w14:paraId="1C99282D" w14:textId="77777777" w:rsidR="0025277B" w:rsidRPr="0025277B" w:rsidRDefault="0025277B" w:rsidP="0025277B">
      <w:pPr>
        <w:pStyle w:val="NoSpacing"/>
        <w:rPr>
          <w:rFonts w:asciiTheme="majorHAnsi" w:hAnsiTheme="majorHAnsi" w:cstheme="majorHAnsi"/>
        </w:rPr>
      </w:pPr>
    </w:p>
    <w:p w14:paraId="5F580F19" w14:textId="3AA71014" w:rsidR="0025277B" w:rsidRDefault="0025277B" w:rsidP="0025277B">
      <w:pPr>
        <w:pStyle w:val="NoSpacing"/>
        <w:rPr>
          <w:rFonts w:asciiTheme="majorHAnsi" w:hAnsiTheme="majorHAnsi" w:cstheme="majorHAnsi"/>
          <w:color w:val="000000"/>
          <w:lang w:eastAsia="en-GB"/>
        </w:rPr>
      </w:pPr>
      <w:proofErr w:type="spellStart"/>
      <w:r w:rsidRPr="0025277B">
        <w:rPr>
          <w:rFonts w:asciiTheme="majorHAnsi" w:hAnsiTheme="majorHAnsi" w:cstheme="majorHAnsi"/>
          <w:color w:val="000000"/>
          <w:lang w:eastAsia="en-GB"/>
        </w:rPr>
        <w:t>Milian</w:t>
      </w:r>
      <w:proofErr w:type="spellEnd"/>
      <w:r w:rsidRPr="0025277B">
        <w:rPr>
          <w:rFonts w:asciiTheme="majorHAnsi" w:hAnsiTheme="majorHAnsi" w:cstheme="majorHAnsi"/>
          <w:color w:val="000000"/>
          <w:lang w:eastAsia="en-GB"/>
        </w:rPr>
        <w:t>, M. (2005). Reformulation: A Means of Constructing Knowledge in Shared Writing. </w:t>
      </w:r>
      <w:r w:rsidRPr="0025277B">
        <w:rPr>
          <w:rFonts w:asciiTheme="majorHAnsi" w:hAnsiTheme="majorHAnsi" w:cstheme="majorHAnsi"/>
          <w:i/>
          <w:iCs/>
          <w:color w:val="000000"/>
          <w:lang w:eastAsia="en-GB"/>
        </w:rPr>
        <w:t>L1-Educational Studies in Language and Literature</w:t>
      </w:r>
      <w:r w:rsidRPr="0025277B">
        <w:rPr>
          <w:rFonts w:asciiTheme="majorHAnsi" w:hAnsiTheme="majorHAnsi" w:cstheme="majorHAnsi"/>
          <w:color w:val="000000"/>
          <w:lang w:eastAsia="en-GB"/>
        </w:rPr>
        <w:t>, 5(3), pp.335-351.</w:t>
      </w:r>
    </w:p>
    <w:p w14:paraId="36209EEA" w14:textId="77777777" w:rsidR="0025277B" w:rsidRPr="0025277B" w:rsidRDefault="0025277B" w:rsidP="0025277B">
      <w:pPr>
        <w:pStyle w:val="NoSpacing"/>
        <w:rPr>
          <w:rFonts w:asciiTheme="majorHAnsi" w:hAnsiTheme="majorHAnsi" w:cstheme="majorHAnsi"/>
          <w:color w:val="000000"/>
          <w:lang w:eastAsia="en-GB"/>
        </w:rPr>
      </w:pPr>
    </w:p>
    <w:p w14:paraId="50480CD2" w14:textId="1C7D5412" w:rsidR="0025277B" w:rsidRDefault="0025277B" w:rsidP="0025277B">
      <w:pPr>
        <w:pStyle w:val="NoSpacing"/>
        <w:rPr>
          <w:rFonts w:asciiTheme="majorHAnsi" w:hAnsiTheme="majorHAnsi" w:cstheme="majorHAnsi"/>
        </w:rPr>
      </w:pPr>
      <w:r w:rsidRPr="0025277B">
        <w:rPr>
          <w:rFonts w:asciiTheme="majorHAnsi" w:hAnsiTheme="majorHAnsi" w:cstheme="majorHAnsi"/>
        </w:rPr>
        <w:t>Mitchell, A.H. ‘When I hear a poem, I want to write’, in J.B. Elliot and M.M. Dupuis (</w:t>
      </w:r>
      <w:proofErr w:type="spellStart"/>
      <w:r w:rsidRPr="0025277B">
        <w:rPr>
          <w:rFonts w:asciiTheme="majorHAnsi" w:hAnsiTheme="majorHAnsi" w:cstheme="majorHAnsi"/>
        </w:rPr>
        <w:t>eds</w:t>
      </w:r>
      <w:proofErr w:type="spellEnd"/>
      <w:r w:rsidRPr="0025277B">
        <w:rPr>
          <w:rFonts w:asciiTheme="majorHAnsi" w:hAnsiTheme="majorHAnsi" w:cstheme="majorHAnsi"/>
        </w:rPr>
        <w:t xml:space="preserve">) (2002) </w:t>
      </w:r>
      <w:r w:rsidRPr="0025277B">
        <w:rPr>
          <w:rFonts w:asciiTheme="majorHAnsi" w:hAnsiTheme="majorHAnsi" w:cstheme="majorHAnsi"/>
          <w:i/>
        </w:rPr>
        <w:t>Young adult literature in the classroom</w:t>
      </w:r>
      <w:r w:rsidRPr="0025277B">
        <w:rPr>
          <w:rFonts w:asciiTheme="majorHAnsi" w:hAnsiTheme="majorHAnsi" w:cstheme="majorHAnsi"/>
        </w:rPr>
        <w:t>, 152-169. Newark, DE: International Reading Association.</w:t>
      </w:r>
    </w:p>
    <w:p w14:paraId="0F0F00F2" w14:textId="77777777" w:rsidR="0025277B" w:rsidRPr="0025277B" w:rsidRDefault="0025277B" w:rsidP="0025277B">
      <w:pPr>
        <w:pStyle w:val="NoSpacing"/>
        <w:rPr>
          <w:rFonts w:asciiTheme="majorHAnsi" w:hAnsiTheme="majorHAnsi" w:cstheme="majorHAnsi"/>
        </w:rPr>
      </w:pPr>
    </w:p>
    <w:p w14:paraId="7720ACDA" w14:textId="77777777" w:rsidR="0025277B" w:rsidRP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Moffett, J. (1979) Integrity in the teaching of writing. </w:t>
      </w:r>
      <w:r w:rsidRPr="0025277B">
        <w:rPr>
          <w:rFonts w:asciiTheme="majorHAnsi" w:hAnsiTheme="majorHAnsi" w:cstheme="majorHAnsi"/>
          <w:i/>
          <w:iCs/>
        </w:rPr>
        <w:t xml:space="preserve">Phi Delta </w:t>
      </w:r>
      <w:proofErr w:type="spellStart"/>
      <w:r w:rsidRPr="0025277B">
        <w:rPr>
          <w:rFonts w:asciiTheme="majorHAnsi" w:hAnsiTheme="majorHAnsi" w:cstheme="majorHAnsi"/>
          <w:i/>
          <w:iCs/>
        </w:rPr>
        <w:t>Kappan</w:t>
      </w:r>
      <w:proofErr w:type="spellEnd"/>
      <w:r w:rsidRPr="0025277B">
        <w:rPr>
          <w:rFonts w:asciiTheme="majorHAnsi" w:hAnsiTheme="majorHAnsi" w:cstheme="majorHAnsi"/>
          <w:i/>
          <w:iCs/>
        </w:rPr>
        <w:t xml:space="preserve">, </w:t>
      </w:r>
      <w:r w:rsidRPr="0025277B">
        <w:rPr>
          <w:rFonts w:asciiTheme="majorHAnsi" w:hAnsiTheme="majorHAnsi" w:cstheme="majorHAnsi"/>
        </w:rPr>
        <w:t>61, 276-</w:t>
      </w:r>
    </w:p>
    <w:p w14:paraId="3B941BDC" w14:textId="77777777" w:rsidR="0025277B" w:rsidRPr="0025277B" w:rsidRDefault="0025277B" w:rsidP="0025277B">
      <w:pPr>
        <w:pStyle w:val="NoSpacing"/>
        <w:rPr>
          <w:rFonts w:asciiTheme="majorHAnsi" w:hAnsiTheme="majorHAnsi" w:cstheme="majorHAnsi"/>
          <w:color w:val="000000"/>
          <w:lang w:eastAsia="en-GB"/>
        </w:rPr>
      </w:pPr>
    </w:p>
    <w:p w14:paraId="3BFD99B8" w14:textId="4DA4058D"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Moss, C. and Brookhart, S. (2009). </w:t>
      </w:r>
      <w:r w:rsidRPr="0025277B">
        <w:rPr>
          <w:rFonts w:asciiTheme="majorHAnsi" w:hAnsiTheme="majorHAnsi" w:cstheme="majorHAnsi"/>
          <w:i/>
          <w:iCs/>
          <w:color w:val="000000"/>
          <w:lang w:eastAsia="en-GB"/>
        </w:rPr>
        <w:t>Advancing Formative Assessment in Every Classroom: A Guide for Instructional Leaders</w:t>
      </w:r>
      <w:r w:rsidRPr="0025277B">
        <w:rPr>
          <w:rFonts w:asciiTheme="majorHAnsi" w:hAnsiTheme="majorHAnsi" w:cstheme="majorHAnsi"/>
          <w:color w:val="000000"/>
          <w:lang w:eastAsia="en-GB"/>
        </w:rPr>
        <w:t>.</w:t>
      </w:r>
    </w:p>
    <w:p w14:paraId="2875D08F" w14:textId="77777777" w:rsidR="0025277B" w:rsidRPr="0025277B" w:rsidRDefault="0025277B" w:rsidP="0025277B">
      <w:pPr>
        <w:pStyle w:val="NoSpacing"/>
        <w:rPr>
          <w:rFonts w:asciiTheme="majorHAnsi" w:hAnsiTheme="majorHAnsi" w:cstheme="majorHAnsi"/>
          <w:color w:val="000000"/>
          <w:lang w:eastAsia="en-GB"/>
        </w:rPr>
      </w:pPr>
    </w:p>
    <w:p w14:paraId="0AFEF6AC" w14:textId="77777777" w:rsidR="0025277B" w:rsidRPr="0025277B" w:rsidRDefault="0025277B" w:rsidP="0025277B">
      <w:pPr>
        <w:pStyle w:val="NoSpacing"/>
        <w:rPr>
          <w:rFonts w:asciiTheme="majorHAnsi" w:hAnsiTheme="majorHAnsi" w:cstheme="majorHAnsi"/>
          <w:u w:val="single"/>
        </w:rPr>
      </w:pPr>
      <w:proofErr w:type="spellStart"/>
      <w:r w:rsidRPr="0025277B">
        <w:rPr>
          <w:rFonts w:asciiTheme="majorHAnsi" w:hAnsiTheme="majorHAnsi" w:cstheme="majorHAnsi"/>
        </w:rPr>
        <w:t>Myhill</w:t>
      </w:r>
      <w:proofErr w:type="spellEnd"/>
      <w:r w:rsidRPr="0025277B">
        <w:rPr>
          <w:rFonts w:asciiTheme="majorHAnsi" w:hAnsiTheme="majorHAnsi" w:cstheme="majorHAnsi"/>
        </w:rPr>
        <w:t xml:space="preserve">, D (1999) ‘Writing matters: linguistic characteristics of writing in GCSE English examinations’, </w:t>
      </w:r>
      <w:r w:rsidRPr="0025277B">
        <w:rPr>
          <w:rFonts w:asciiTheme="majorHAnsi" w:hAnsiTheme="majorHAnsi" w:cstheme="majorHAnsi"/>
          <w:i/>
          <w:iCs/>
        </w:rPr>
        <w:t>English in Education</w:t>
      </w:r>
      <w:r w:rsidRPr="0025277B">
        <w:rPr>
          <w:rFonts w:asciiTheme="majorHAnsi" w:hAnsiTheme="majorHAnsi" w:cstheme="majorHAnsi"/>
        </w:rPr>
        <w:t>, 33 (3): 70-82</w:t>
      </w:r>
    </w:p>
    <w:p w14:paraId="7249DB41" w14:textId="77777777" w:rsidR="0025277B" w:rsidRPr="0025277B" w:rsidRDefault="0025277B" w:rsidP="0025277B">
      <w:pPr>
        <w:pStyle w:val="NoSpacing"/>
        <w:rPr>
          <w:rFonts w:asciiTheme="majorHAnsi" w:eastAsia="Times New Roman" w:hAnsiTheme="majorHAnsi" w:cstheme="majorHAnsi"/>
          <w:lang w:eastAsia="en-GB"/>
        </w:rPr>
      </w:pPr>
    </w:p>
    <w:p w14:paraId="166D445A" w14:textId="77777777" w:rsidR="0025277B" w:rsidRPr="0025277B" w:rsidRDefault="0025277B" w:rsidP="0025277B">
      <w:pPr>
        <w:pStyle w:val="NoSpacing"/>
        <w:rPr>
          <w:rFonts w:asciiTheme="majorHAnsi" w:eastAsia="Times New Roman" w:hAnsiTheme="majorHAnsi" w:cstheme="majorHAnsi"/>
          <w:lang w:eastAsia="en-GB"/>
        </w:rPr>
      </w:pPr>
      <w:proofErr w:type="spellStart"/>
      <w:r w:rsidRPr="0025277B">
        <w:rPr>
          <w:rFonts w:asciiTheme="majorHAnsi" w:eastAsia="Times New Roman" w:hAnsiTheme="majorHAnsi" w:cstheme="majorHAnsi"/>
          <w:lang w:eastAsia="en-GB"/>
        </w:rPr>
        <w:t>Noël</w:t>
      </w:r>
      <w:proofErr w:type="spellEnd"/>
      <w:r w:rsidRPr="0025277B">
        <w:rPr>
          <w:rFonts w:asciiTheme="majorHAnsi" w:eastAsia="Times New Roman" w:hAnsiTheme="majorHAnsi" w:cstheme="majorHAnsi"/>
          <w:lang w:eastAsia="en-GB"/>
        </w:rPr>
        <w:t xml:space="preserve">, S., &amp; Robert, J. M. (2004). Empirical study on collaborative writing: What do co- authors do, use, and like? </w:t>
      </w:r>
      <w:r w:rsidRPr="0025277B">
        <w:rPr>
          <w:rFonts w:asciiTheme="majorHAnsi" w:eastAsia="Times New Roman" w:hAnsiTheme="majorHAnsi" w:cstheme="majorHAnsi"/>
          <w:i/>
          <w:lang w:eastAsia="en-GB"/>
        </w:rPr>
        <w:t>Computer Supported Cooperative Work</w:t>
      </w:r>
      <w:r w:rsidRPr="0025277B">
        <w:rPr>
          <w:rFonts w:asciiTheme="majorHAnsi" w:eastAsia="Times New Roman" w:hAnsiTheme="majorHAnsi" w:cstheme="majorHAnsi"/>
          <w:lang w:eastAsia="en-GB"/>
        </w:rPr>
        <w:t xml:space="preserve">, 13(1), 63-89. </w:t>
      </w:r>
    </w:p>
    <w:p w14:paraId="78E3EE5C" w14:textId="77777777" w:rsidR="0025277B" w:rsidRPr="0025277B" w:rsidRDefault="0025277B" w:rsidP="0025277B">
      <w:pPr>
        <w:pStyle w:val="NoSpacing"/>
        <w:rPr>
          <w:rFonts w:asciiTheme="majorHAnsi" w:hAnsiTheme="majorHAnsi" w:cstheme="majorHAnsi"/>
          <w:lang w:eastAsia="en-GB"/>
        </w:rPr>
      </w:pPr>
      <w:r w:rsidRPr="0025277B">
        <w:rPr>
          <w:rFonts w:asciiTheme="majorHAnsi" w:hAnsiTheme="majorHAnsi" w:cstheme="majorHAnsi"/>
          <w:lang w:eastAsia="en-GB"/>
        </w:rPr>
        <w:t xml:space="preserve">Norwood, NJ: </w:t>
      </w:r>
      <w:proofErr w:type="spellStart"/>
      <w:r w:rsidRPr="0025277B">
        <w:rPr>
          <w:rFonts w:asciiTheme="majorHAnsi" w:hAnsiTheme="majorHAnsi" w:cstheme="majorHAnsi"/>
          <w:lang w:eastAsia="en-GB"/>
        </w:rPr>
        <w:t>Ablex</w:t>
      </w:r>
      <w:proofErr w:type="spellEnd"/>
      <w:r w:rsidRPr="0025277B">
        <w:rPr>
          <w:rFonts w:asciiTheme="majorHAnsi" w:hAnsiTheme="majorHAnsi" w:cstheme="majorHAnsi"/>
          <w:lang w:eastAsia="en-GB"/>
        </w:rPr>
        <w:t>.</w:t>
      </w:r>
      <w:r w:rsidRPr="0025277B">
        <w:rPr>
          <w:rFonts w:ascii="MS Gothic" w:eastAsia="MS Gothic" w:hAnsi="MS Gothic" w:cs="MS Gothic" w:hint="eastAsia"/>
          <w:lang w:eastAsia="en-GB"/>
        </w:rPr>
        <w:t> </w:t>
      </w:r>
    </w:p>
    <w:p w14:paraId="5B3C2C11" w14:textId="77777777" w:rsidR="0025277B" w:rsidRPr="0025277B" w:rsidRDefault="0025277B" w:rsidP="0025277B">
      <w:pPr>
        <w:pStyle w:val="NoSpacing"/>
        <w:rPr>
          <w:rFonts w:asciiTheme="majorHAnsi" w:hAnsiTheme="majorHAnsi" w:cstheme="majorHAnsi"/>
        </w:rPr>
      </w:pPr>
    </w:p>
    <w:p w14:paraId="2E7370B4" w14:textId="4ACECBB9"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Obied</w:t>
      </w:r>
      <w:proofErr w:type="spellEnd"/>
      <w:r w:rsidRPr="0025277B">
        <w:rPr>
          <w:rFonts w:asciiTheme="majorHAnsi" w:hAnsiTheme="majorHAnsi" w:cstheme="majorHAnsi"/>
        </w:rPr>
        <w:t xml:space="preserve">, V (2007) ‘Why did I do nothing?’ Poetry and the experiences of bilingual pupils in a mainstream inner-city secondary school’, </w:t>
      </w:r>
      <w:r w:rsidRPr="0025277B">
        <w:rPr>
          <w:rFonts w:asciiTheme="majorHAnsi" w:hAnsiTheme="majorHAnsi" w:cstheme="majorHAnsi"/>
          <w:i/>
        </w:rPr>
        <w:t>English in Education</w:t>
      </w:r>
      <w:r w:rsidRPr="0025277B">
        <w:rPr>
          <w:rFonts w:asciiTheme="majorHAnsi" w:hAnsiTheme="majorHAnsi" w:cstheme="majorHAnsi"/>
        </w:rPr>
        <w:t>, 41 (3), 37-52.</w:t>
      </w:r>
    </w:p>
    <w:p w14:paraId="7A6A66DF" w14:textId="77777777" w:rsidR="0025277B" w:rsidRPr="0025277B" w:rsidRDefault="0025277B" w:rsidP="0025277B">
      <w:pPr>
        <w:pStyle w:val="NoSpacing"/>
        <w:rPr>
          <w:rFonts w:asciiTheme="majorHAnsi" w:hAnsiTheme="majorHAnsi" w:cstheme="majorHAnsi"/>
        </w:rPr>
      </w:pPr>
    </w:p>
    <w:p w14:paraId="1DB76BC8" w14:textId="5EF98414"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Oczkus</w:t>
      </w:r>
      <w:proofErr w:type="spellEnd"/>
      <w:r w:rsidRPr="0025277B">
        <w:rPr>
          <w:rFonts w:asciiTheme="majorHAnsi" w:hAnsiTheme="majorHAnsi" w:cstheme="majorHAnsi"/>
        </w:rPr>
        <w:t>, L.D.  (2007) Guided writing: Practical lessons, powerful results. Portsmouth, NH: Heinemann.</w:t>
      </w:r>
    </w:p>
    <w:p w14:paraId="254CD1E7" w14:textId="77777777" w:rsidR="0025277B" w:rsidRPr="0025277B" w:rsidRDefault="0025277B" w:rsidP="0025277B">
      <w:pPr>
        <w:pStyle w:val="NoSpacing"/>
        <w:rPr>
          <w:rFonts w:asciiTheme="majorHAnsi" w:hAnsiTheme="majorHAnsi" w:cstheme="majorHAnsi"/>
        </w:rPr>
      </w:pPr>
    </w:p>
    <w:p w14:paraId="20AE8896" w14:textId="77777777" w:rsidR="0025277B" w:rsidRPr="0025277B" w:rsidRDefault="0025277B" w:rsidP="0025277B">
      <w:pPr>
        <w:pStyle w:val="NoSpacing"/>
        <w:rPr>
          <w:rFonts w:asciiTheme="majorHAnsi" w:eastAsia="Times New Roman" w:hAnsiTheme="majorHAnsi" w:cstheme="majorHAnsi"/>
          <w:lang w:eastAsia="en-GB"/>
        </w:rPr>
      </w:pPr>
      <w:r w:rsidRPr="0025277B">
        <w:rPr>
          <w:rFonts w:asciiTheme="majorHAnsi" w:eastAsia="Times New Roman" w:hAnsiTheme="majorHAnsi" w:cstheme="majorHAnsi"/>
          <w:lang w:eastAsia="en-GB"/>
        </w:rPr>
        <w:t xml:space="preserve">Ong, P. L., &amp; </w:t>
      </w:r>
      <w:proofErr w:type="spellStart"/>
      <w:r w:rsidRPr="0025277B">
        <w:rPr>
          <w:rFonts w:asciiTheme="majorHAnsi" w:eastAsia="Times New Roman" w:hAnsiTheme="majorHAnsi" w:cstheme="majorHAnsi"/>
          <w:lang w:eastAsia="en-GB"/>
        </w:rPr>
        <w:t>Maarof</w:t>
      </w:r>
      <w:proofErr w:type="spellEnd"/>
      <w:r w:rsidRPr="0025277B">
        <w:rPr>
          <w:rFonts w:asciiTheme="majorHAnsi" w:eastAsia="Times New Roman" w:hAnsiTheme="majorHAnsi" w:cstheme="majorHAnsi"/>
          <w:lang w:eastAsia="en-GB"/>
        </w:rPr>
        <w:t xml:space="preserve">, N. (2013). Collaborative writing in summary writing: Student perceptions and problems. </w:t>
      </w:r>
      <w:r w:rsidRPr="0025277B">
        <w:rPr>
          <w:rFonts w:asciiTheme="majorHAnsi" w:eastAsia="Times New Roman" w:hAnsiTheme="majorHAnsi" w:cstheme="majorHAnsi"/>
          <w:i/>
          <w:lang w:eastAsia="en-GB"/>
        </w:rPr>
        <w:t xml:space="preserve">Procedia – Social </w:t>
      </w:r>
      <w:proofErr w:type="spellStart"/>
      <w:r w:rsidRPr="0025277B">
        <w:rPr>
          <w:rFonts w:asciiTheme="majorHAnsi" w:eastAsia="Times New Roman" w:hAnsiTheme="majorHAnsi" w:cstheme="majorHAnsi"/>
          <w:i/>
          <w:lang w:eastAsia="en-GB"/>
        </w:rPr>
        <w:t>Behavioral</w:t>
      </w:r>
      <w:proofErr w:type="spellEnd"/>
      <w:r w:rsidRPr="0025277B">
        <w:rPr>
          <w:rFonts w:asciiTheme="majorHAnsi" w:eastAsia="Times New Roman" w:hAnsiTheme="majorHAnsi" w:cstheme="majorHAnsi"/>
          <w:i/>
          <w:lang w:eastAsia="en-GB"/>
        </w:rPr>
        <w:t xml:space="preserve"> Sciences Journal</w:t>
      </w:r>
      <w:r w:rsidRPr="0025277B">
        <w:rPr>
          <w:rFonts w:asciiTheme="majorHAnsi" w:eastAsia="Times New Roman" w:hAnsiTheme="majorHAnsi" w:cstheme="majorHAnsi"/>
          <w:lang w:eastAsia="en-GB"/>
        </w:rPr>
        <w:t xml:space="preserve">, 90, 599- 606. </w:t>
      </w:r>
    </w:p>
    <w:p w14:paraId="62BAAD6B" w14:textId="77777777" w:rsidR="0025277B" w:rsidRPr="0025277B" w:rsidRDefault="0025277B" w:rsidP="0025277B">
      <w:pPr>
        <w:pStyle w:val="NoSpacing"/>
        <w:rPr>
          <w:rFonts w:asciiTheme="majorHAnsi" w:hAnsiTheme="majorHAnsi" w:cstheme="majorHAnsi"/>
        </w:rPr>
      </w:pPr>
    </w:p>
    <w:p w14:paraId="2E9BD44A" w14:textId="0F1D4E35"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Palmer, S. and Corbett, P. (2003) </w:t>
      </w:r>
      <w:r w:rsidRPr="0025277B">
        <w:rPr>
          <w:rFonts w:asciiTheme="majorHAnsi" w:hAnsiTheme="majorHAnsi" w:cstheme="majorHAnsi"/>
          <w:i/>
        </w:rPr>
        <w:t>Literacy: What works?</w:t>
      </w:r>
      <w:r w:rsidRPr="0025277B">
        <w:rPr>
          <w:rFonts w:asciiTheme="majorHAnsi" w:hAnsiTheme="majorHAnsi" w:cstheme="majorHAnsi"/>
        </w:rPr>
        <w:t xml:space="preserve"> Cheltenham: Nelson </w:t>
      </w:r>
      <w:proofErr w:type="spellStart"/>
      <w:r w:rsidRPr="0025277B">
        <w:rPr>
          <w:rFonts w:asciiTheme="majorHAnsi" w:hAnsiTheme="majorHAnsi" w:cstheme="majorHAnsi"/>
        </w:rPr>
        <w:t>Thornes</w:t>
      </w:r>
      <w:proofErr w:type="spellEnd"/>
      <w:r w:rsidRPr="0025277B">
        <w:rPr>
          <w:rFonts w:asciiTheme="majorHAnsi" w:hAnsiTheme="majorHAnsi" w:cstheme="majorHAnsi"/>
        </w:rPr>
        <w:t>.</w:t>
      </w:r>
    </w:p>
    <w:p w14:paraId="724DFF13" w14:textId="77777777" w:rsidR="0025277B" w:rsidRPr="0025277B" w:rsidRDefault="0025277B" w:rsidP="0025277B">
      <w:pPr>
        <w:pStyle w:val="NoSpacing"/>
        <w:rPr>
          <w:rFonts w:asciiTheme="majorHAnsi" w:hAnsiTheme="majorHAnsi" w:cstheme="majorHAnsi"/>
        </w:rPr>
      </w:pPr>
    </w:p>
    <w:p w14:paraId="2B2BDC5F" w14:textId="353F621B" w:rsidR="0025277B" w:rsidRDefault="0025277B" w:rsidP="0025277B">
      <w:pPr>
        <w:pStyle w:val="NoSpacing"/>
        <w:rPr>
          <w:rFonts w:asciiTheme="majorHAnsi" w:hAnsiTheme="majorHAnsi" w:cstheme="majorHAnsi"/>
        </w:rPr>
      </w:pPr>
      <w:r w:rsidRPr="0025277B">
        <w:rPr>
          <w:rFonts w:asciiTheme="majorHAnsi" w:hAnsiTheme="majorHAnsi" w:cstheme="majorHAnsi"/>
        </w:rPr>
        <w:t>Pearce, G. (</w:t>
      </w:r>
      <w:proofErr w:type="spellStart"/>
      <w:r w:rsidRPr="0025277B">
        <w:rPr>
          <w:rFonts w:asciiTheme="majorHAnsi" w:hAnsiTheme="majorHAnsi" w:cstheme="majorHAnsi"/>
        </w:rPr>
        <w:t>n.d.</w:t>
      </w:r>
      <w:proofErr w:type="spellEnd"/>
      <w:r w:rsidRPr="0025277B">
        <w:rPr>
          <w:rFonts w:asciiTheme="majorHAnsi" w:hAnsiTheme="majorHAnsi" w:cstheme="majorHAnsi"/>
        </w:rPr>
        <w:t>). Recognising the gifted English student.</w:t>
      </w:r>
      <w:r w:rsidRPr="0025277B">
        <w:rPr>
          <w:rStyle w:val="apple-converted-space"/>
          <w:rFonts w:asciiTheme="majorHAnsi" w:hAnsiTheme="majorHAnsi" w:cstheme="majorHAnsi"/>
          <w:color w:val="000000"/>
        </w:rPr>
        <w:t> </w:t>
      </w:r>
      <w:r w:rsidRPr="0025277B">
        <w:rPr>
          <w:rFonts w:asciiTheme="majorHAnsi" w:hAnsiTheme="majorHAnsi" w:cstheme="majorHAnsi"/>
          <w:i/>
          <w:iCs/>
        </w:rPr>
        <w:t>English in AOTEAROA</w:t>
      </w:r>
      <w:r w:rsidRPr="0025277B">
        <w:rPr>
          <w:rFonts w:asciiTheme="majorHAnsi" w:hAnsiTheme="majorHAnsi" w:cstheme="majorHAnsi"/>
        </w:rPr>
        <w:t>, pp.42-47.</w:t>
      </w:r>
    </w:p>
    <w:p w14:paraId="5BA3765B" w14:textId="77777777" w:rsidR="0025277B" w:rsidRPr="0025277B" w:rsidRDefault="0025277B" w:rsidP="0025277B">
      <w:pPr>
        <w:pStyle w:val="NoSpacing"/>
        <w:rPr>
          <w:rFonts w:asciiTheme="majorHAnsi" w:hAnsiTheme="majorHAnsi" w:cstheme="majorHAnsi"/>
        </w:rPr>
      </w:pPr>
    </w:p>
    <w:p w14:paraId="4CB1F8E9" w14:textId="29006504"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Price, M., C. Rust, B. O’Donovan, and K. Handley. 2012. Assessment Literacy: The Foundation for Improving Student Learning. Oxford: Oxford Centre for Staff and Learning Development. </w:t>
      </w:r>
    </w:p>
    <w:p w14:paraId="0F3009C5" w14:textId="77777777" w:rsidR="0025277B" w:rsidRPr="0025277B" w:rsidRDefault="0025277B" w:rsidP="0025277B">
      <w:pPr>
        <w:pStyle w:val="NoSpacing"/>
        <w:rPr>
          <w:rFonts w:asciiTheme="majorHAnsi" w:hAnsiTheme="majorHAnsi" w:cstheme="majorHAnsi"/>
        </w:rPr>
      </w:pPr>
    </w:p>
    <w:p w14:paraId="62A6D8A9" w14:textId="40F390B3"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Rees, F. (1996). </w:t>
      </w:r>
      <w:r w:rsidRPr="0025277B">
        <w:rPr>
          <w:rFonts w:asciiTheme="majorHAnsi" w:hAnsiTheme="majorHAnsi" w:cstheme="majorHAnsi"/>
          <w:i/>
          <w:iCs/>
          <w:color w:val="000000"/>
          <w:lang w:eastAsia="en-GB"/>
        </w:rPr>
        <w:t>The Writing Repertoire – Developing Writing at Key Stage 2</w:t>
      </w:r>
      <w:r w:rsidRPr="0025277B">
        <w:rPr>
          <w:rFonts w:asciiTheme="majorHAnsi" w:hAnsiTheme="majorHAnsi" w:cstheme="majorHAnsi"/>
          <w:color w:val="000000"/>
          <w:lang w:eastAsia="en-GB"/>
        </w:rPr>
        <w:t>. Slough: NFER.</w:t>
      </w:r>
    </w:p>
    <w:p w14:paraId="5B02FD77" w14:textId="77777777" w:rsidR="0025277B" w:rsidRPr="0025277B" w:rsidRDefault="0025277B" w:rsidP="0025277B">
      <w:pPr>
        <w:pStyle w:val="NoSpacing"/>
        <w:rPr>
          <w:rFonts w:asciiTheme="majorHAnsi" w:hAnsiTheme="majorHAnsi" w:cstheme="majorHAnsi"/>
          <w:color w:val="000000"/>
          <w:lang w:eastAsia="en-GB"/>
        </w:rPr>
      </w:pPr>
    </w:p>
    <w:p w14:paraId="35D2B951" w14:textId="1CC2A14A"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Rijlaarsdam</w:t>
      </w:r>
      <w:proofErr w:type="spellEnd"/>
      <w:r w:rsidRPr="0025277B">
        <w:rPr>
          <w:rFonts w:asciiTheme="majorHAnsi" w:hAnsiTheme="majorHAnsi" w:cstheme="majorHAnsi"/>
        </w:rPr>
        <w:t xml:space="preserve">, G. and Van den Bergh, H. ‘Effective learning and teaching of writing: Student involvement in the teaching of writing’, in G. </w:t>
      </w:r>
      <w:proofErr w:type="spellStart"/>
      <w:r w:rsidRPr="0025277B">
        <w:rPr>
          <w:rFonts w:asciiTheme="majorHAnsi" w:hAnsiTheme="majorHAnsi" w:cstheme="majorHAnsi"/>
        </w:rPr>
        <w:t>Rijlaarsdam</w:t>
      </w:r>
      <w:proofErr w:type="spellEnd"/>
      <w:r w:rsidRPr="0025277B">
        <w:rPr>
          <w:rFonts w:asciiTheme="majorHAnsi" w:hAnsiTheme="majorHAnsi" w:cstheme="majorHAnsi"/>
        </w:rPr>
        <w:t xml:space="preserve">, H. Van den Bergh and M. </w:t>
      </w:r>
      <w:proofErr w:type="spellStart"/>
      <w:r w:rsidRPr="0025277B">
        <w:rPr>
          <w:rFonts w:asciiTheme="majorHAnsi" w:hAnsiTheme="majorHAnsi" w:cstheme="majorHAnsi"/>
        </w:rPr>
        <w:t>Couzijn</w:t>
      </w:r>
      <w:proofErr w:type="spellEnd"/>
      <w:r w:rsidRPr="0025277B">
        <w:rPr>
          <w:rFonts w:asciiTheme="majorHAnsi" w:hAnsiTheme="majorHAnsi" w:cstheme="majorHAnsi"/>
        </w:rPr>
        <w:t xml:space="preserve"> (</w:t>
      </w:r>
      <w:proofErr w:type="spellStart"/>
      <w:r w:rsidRPr="0025277B">
        <w:rPr>
          <w:rFonts w:asciiTheme="majorHAnsi" w:hAnsiTheme="majorHAnsi" w:cstheme="majorHAnsi"/>
        </w:rPr>
        <w:t>eds</w:t>
      </w:r>
      <w:proofErr w:type="spellEnd"/>
      <w:r w:rsidRPr="0025277B">
        <w:rPr>
          <w:rFonts w:asciiTheme="majorHAnsi" w:hAnsiTheme="majorHAnsi" w:cstheme="majorHAnsi"/>
        </w:rPr>
        <w:t>) (2004) Effective learning and teaching of writing (2</w:t>
      </w:r>
      <w:r w:rsidRPr="0025277B">
        <w:rPr>
          <w:rFonts w:asciiTheme="majorHAnsi" w:hAnsiTheme="majorHAnsi" w:cstheme="majorHAnsi"/>
          <w:vertAlign w:val="superscript"/>
        </w:rPr>
        <w:t>nd</w:t>
      </w:r>
      <w:r w:rsidRPr="0025277B">
        <w:rPr>
          <w:rFonts w:asciiTheme="majorHAnsi" w:hAnsiTheme="majorHAnsi" w:cstheme="majorHAnsi"/>
        </w:rPr>
        <w:t xml:space="preserve"> </w:t>
      </w:r>
      <w:proofErr w:type="spellStart"/>
      <w:r w:rsidRPr="0025277B">
        <w:rPr>
          <w:rFonts w:asciiTheme="majorHAnsi" w:hAnsiTheme="majorHAnsi" w:cstheme="majorHAnsi"/>
        </w:rPr>
        <w:t>ed</w:t>
      </w:r>
      <w:proofErr w:type="spellEnd"/>
      <w:r w:rsidRPr="0025277B">
        <w:rPr>
          <w:rFonts w:asciiTheme="majorHAnsi" w:hAnsiTheme="majorHAnsi" w:cstheme="majorHAnsi"/>
        </w:rPr>
        <w:t>), 1-16. Boston: Kluwer Academic Publishers.</w:t>
      </w:r>
    </w:p>
    <w:p w14:paraId="71B24C4D" w14:textId="77777777" w:rsidR="0025277B" w:rsidRPr="0025277B" w:rsidRDefault="0025277B" w:rsidP="0025277B">
      <w:pPr>
        <w:pStyle w:val="NoSpacing"/>
        <w:rPr>
          <w:rFonts w:asciiTheme="majorHAnsi" w:hAnsiTheme="majorHAnsi" w:cstheme="majorHAnsi"/>
        </w:rPr>
      </w:pPr>
    </w:p>
    <w:p w14:paraId="701C1DCF" w14:textId="60261D8E"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Routman</w:t>
      </w:r>
      <w:proofErr w:type="spellEnd"/>
      <w:r w:rsidRPr="0025277B">
        <w:rPr>
          <w:rFonts w:asciiTheme="majorHAnsi" w:hAnsiTheme="majorHAnsi" w:cstheme="majorHAnsi"/>
        </w:rPr>
        <w:t xml:space="preserve">, R. (2005) </w:t>
      </w:r>
      <w:r w:rsidRPr="0025277B">
        <w:rPr>
          <w:rFonts w:asciiTheme="majorHAnsi" w:hAnsiTheme="majorHAnsi" w:cstheme="majorHAnsi"/>
          <w:i/>
        </w:rPr>
        <w:t>Writing essentials: Raising expectations and results while simplifying teaching</w:t>
      </w:r>
      <w:r w:rsidRPr="0025277B">
        <w:rPr>
          <w:rFonts w:asciiTheme="majorHAnsi" w:hAnsiTheme="majorHAnsi" w:cstheme="majorHAnsi"/>
        </w:rPr>
        <w:t>. Portsmouth, NH: Heinemann.</w:t>
      </w:r>
    </w:p>
    <w:p w14:paraId="3148CCE5" w14:textId="77777777" w:rsidR="0025277B" w:rsidRPr="0025277B" w:rsidRDefault="0025277B" w:rsidP="0025277B">
      <w:pPr>
        <w:pStyle w:val="NoSpacing"/>
        <w:rPr>
          <w:rFonts w:asciiTheme="majorHAnsi" w:hAnsiTheme="majorHAnsi" w:cstheme="majorHAnsi"/>
        </w:rPr>
      </w:pPr>
    </w:p>
    <w:p w14:paraId="01B06FAF" w14:textId="50E92DC7" w:rsidR="0025277B" w:rsidRDefault="0025277B" w:rsidP="0025277B">
      <w:pPr>
        <w:pStyle w:val="NoSpacing"/>
        <w:rPr>
          <w:rFonts w:asciiTheme="majorHAnsi" w:hAnsiTheme="majorHAnsi" w:cstheme="majorHAnsi"/>
          <w:color w:val="000000"/>
          <w:lang w:eastAsia="en-GB"/>
        </w:rPr>
      </w:pPr>
      <w:proofErr w:type="spellStart"/>
      <w:r w:rsidRPr="0025277B">
        <w:rPr>
          <w:rFonts w:asciiTheme="majorHAnsi" w:hAnsiTheme="majorHAnsi" w:cstheme="majorHAnsi"/>
          <w:color w:val="000000"/>
          <w:lang w:eastAsia="en-GB"/>
        </w:rPr>
        <w:t>Somba</w:t>
      </w:r>
      <w:proofErr w:type="spellEnd"/>
      <w:r w:rsidRPr="0025277B">
        <w:rPr>
          <w:rFonts w:asciiTheme="majorHAnsi" w:hAnsiTheme="majorHAnsi" w:cstheme="majorHAnsi"/>
          <w:color w:val="000000"/>
          <w:lang w:eastAsia="en-GB"/>
        </w:rPr>
        <w:t xml:space="preserve">, A., </w:t>
      </w:r>
      <w:proofErr w:type="spellStart"/>
      <w:r w:rsidRPr="0025277B">
        <w:rPr>
          <w:rFonts w:asciiTheme="majorHAnsi" w:hAnsiTheme="majorHAnsi" w:cstheme="majorHAnsi"/>
          <w:color w:val="000000"/>
          <w:lang w:eastAsia="en-GB"/>
        </w:rPr>
        <w:t>Obura</w:t>
      </w:r>
      <w:proofErr w:type="spellEnd"/>
      <w:r w:rsidRPr="0025277B">
        <w:rPr>
          <w:rFonts w:asciiTheme="majorHAnsi" w:hAnsiTheme="majorHAnsi" w:cstheme="majorHAnsi"/>
          <w:color w:val="000000"/>
          <w:lang w:eastAsia="en-GB"/>
        </w:rPr>
        <w:t xml:space="preserve">, G., </w:t>
      </w:r>
      <w:proofErr w:type="spellStart"/>
      <w:r w:rsidRPr="0025277B">
        <w:rPr>
          <w:rFonts w:asciiTheme="majorHAnsi" w:hAnsiTheme="majorHAnsi" w:cstheme="majorHAnsi"/>
          <w:color w:val="000000"/>
          <w:lang w:eastAsia="en-GB"/>
        </w:rPr>
        <w:t>Njuguna</w:t>
      </w:r>
      <w:proofErr w:type="spellEnd"/>
      <w:r w:rsidRPr="0025277B">
        <w:rPr>
          <w:rFonts w:asciiTheme="majorHAnsi" w:hAnsiTheme="majorHAnsi" w:cstheme="majorHAnsi"/>
          <w:color w:val="000000"/>
          <w:lang w:eastAsia="en-GB"/>
        </w:rPr>
        <w:t xml:space="preserve">, M., </w:t>
      </w:r>
      <w:proofErr w:type="spellStart"/>
      <w:r w:rsidRPr="0025277B">
        <w:rPr>
          <w:rFonts w:asciiTheme="majorHAnsi" w:hAnsiTheme="majorHAnsi" w:cstheme="majorHAnsi"/>
          <w:color w:val="000000"/>
          <w:lang w:eastAsia="en-GB"/>
        </w:rPr>
        <w:t>Itevete</w:t>
      </w:r>
      <w:proofErr w:type="spellEnd"/>
      <w:r w:rsidRPr="0025277B">
        <w:rPr>
          <w:rFonts w:asciiTheme="majorHAnsi" w:hAnsiTheme="majorHAnsi" w:cstheme="majorHAnsi"/>
          <w:color w:val="000000"/>
          <w:lang w:eastAsia="en-GB"/>
        </w:rPr>
        <w:t xml:space="preserve">, B., </w:t>
      </w:r>
      <w:proofErr w:type="spellStart"/>
      <w:r w:rsidRPr="0025277B">
        <w:rPr>
          <w:rFonts w:asciiTheme="majorHAnsi" w:hAnsiTheme="majorHAnsi" w:cstheme="majorHAnsi"/>
          <w:color w:val="000000"/>
          <w:lang w:eastAsia="en-GB"/>
        </w:rPr>
        <w:t>Mulwa</w:t>
      </w:r>
      <w:proofErr w:type="spellEnd"/>
      <w:r w:rsidRPr="0025277B">
        <w:rPr>
          <w:rFonts w:asciiTheme="majorHAnsi" w:hAnsiTheme="majorHAnsi" w:cstheme="majorHAnsi"/>
          <w:color w:val="000000"/>
          <w:lang w:eastAsia="en-GB"/>
        </w:rPr>
        <w:t xml:space="preserve">, J. and </w:t>
      </w:r>
      <w:proofErr w:type="spellStart"/>
      <w:r w:rsidRPr="0025277B">
        <w:rPr>
          <w:rFonts w:asciiTheme="majorHAnsi" w:hAnsiTheme="majorHAnsi" w:cstheme="majorHAnsi"/>
          <w:color w:val="000000"/>
          <w:lang w:eastAsia="en-GB"/>
        </w:rPr>
        <w:t>Wandera</w:t>
      </w:r>
      <w:proofErr w:type="spellEnd"/>
      <w:r w:rsidRPr="0025277B">
        <w:rPr>
          <w:rFonts w:asciiTheme="majorHAnsi" w:hAnsiTheme="majorHAnsi" w:cstheme="majorHAnsi"/>
          <w:color w:val="000000"/>
          <w:lang w:eastAsia="en-GB"/>
        </w:rPr>
        <w:t>, N. (2015). The Use of Descriptors with Exemplar and Model Answers to Improve Quality of Students’ Narrative Writing in English French and Arabic. </w:t>
      </w:r>
      <w:r w:rsidRPr="0025277B">
        <w:rPr>
          <w:rFonts w:asciiTheme="majorHAnsi" w:hAnsiTheme="majorHAnsi" w:cstheme="majorHAnsi"/>
          <w:i/>
          <w:iCs/>
          <w:color w:val="000000"/>
          <w:lang w:eastAsia="en-GB"/>
        </w:rPr>
        <w:t>Journal of Education and Practice</w:t>
      </w:r>
      <w:r w:rsidRPr="0025277B">
        <w:rPr>
          <w:rFonts w:asciiTheme="majorHAnsi" w:hAnsiTheme="majorHAnsi" w:cstheme="majorHAnsi"/>
          <w:color w:val="000000"/>
          <w:lang w:eastAsia="en-GB"/>
        </w:rPr>
        <w:t>, 6(3).</w:t>
      </w:r>
    </w:p>
    <w:p w14:paraId="1C8E1B2A" w14:textId="77777777" w:rsidR="0025277B" w:rsidRPr="0025277B" w:rsidRDefault="0025277B" w:rsidP="0025277B">
      <w:pPr>
        <w:pStyle w:val="NoSpacing"/>
        <w:rPr>
          <w:rFonts w:asciiTheme="majorHAnsi" w:hAnsiTheme="majorHAnsi" w:cstheme="majorHAnsi"/>
          <w:color w:val="000000"/>
          <w:lang w:eastAsia="en-GB"/>
        </w:rPr>
      </w:pPr>
    </w:p>
    <w:p w14:paraId="68B94C30" w14:textId="12B4D501"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Spiro, J. (2004) </w:t>
      </w:r>
      <w:r w:rsidRPr="0025277B">
        <w:rPr>
          <w:rFonts w:asciiTheme="majorHAnsi" w:hAnsiTheme="majorHAnsi" w:cstheme="majorHAnsi"/>
          <w:i/>
        </w:rPr>
        <w:t>Creative poetry writing</w:t>
      </w:r>
      <w:r w:rsidRPr="0025277B">
        <w:rPr>
          <w:rFonts w:asciiTheme="majorHAnsi" w:hAnsiTheme="majorHAnsi" w:cstheme="majorHAnsi"/>
        </w:rPr>
        <w:t>. Oxford: Oxford University Press.</w:t>
      </w:r>
    </w:p>
    <w:p w14:paraId="3E5C4A6D" w14:textId="77777777" w:rsidR="0025277B" w:rsidRPr="0025277B" w:rsidRDefault="0025277B" w:rsidP="0025277B">
      <w:pPr>
        <w:pStyle w:val="NoSpacing"/>
        <w:rPr>
          <w:rFonts w:asciiTheme="majorHAnsi" w:hAnsiTheme="majorHAnsi" w:cstheme="majorHAnsi"/>
        </w:rPr>
      </w:pPr>
    </w:p>
    <w:p w14:paraId="27ACAF73" w14:textId="75A000E0"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Strong, J. (2013). </w:t>
      </w:r>
      <w:r w:rsidRPr="0025277B">
        <w:rPr>
          <w:rFonts w:asciiTheme="majorHAnsi" w:hAnsiTheme="majorHAnsi" w:cstheme="majorHAnsi"/>
          <w:i/>
          <w:iCs/>
          <w:color w:val="000000"/>
          <w:lang w:eastAsia="en-GB"/>
        </w:rPr>
        <w:t>Talk f</w:t>
      </w:r>
      <w:r w:rsidRPr="0025277B">
        <w:rPr>
          <w:rFonts w:asciiTheme="majorHAnsi" w:hAnsiTheme="majorHAnsi" w:cstheme="majorHAnsi"/>
          <w:i/>
          <w:iCs/>
          <w:color w:val="000000"/>
        </w:rPr>
        <w:t>or writing in secondary schools</w:t>
      </w:r>
      <w:r w:rsidRPr="0025277B">
        <w:rPr>
          <w:rFonts w:asciiTheme="majorHAnsi" w:hAnsiTheme="majorHAnsi" w:cstheme="majorHAnsi"/>
          <w:i/>
          <w:iCs/>
          <w:color w:val="000000"/>
          <w:lang w:eastAsia="en-GB"/>
        </w:rPr>
        <w:t>: how to achieve effective reading, writing and communication across the curriculum</w:t>
      </w:r>
      <w:r w:rsidRPr="0025277B">
        <w:rPr>
          <w:rFonts w:asciiTheme="majorHAnsi" w:hAnsiTheme="majorHAnsi" w:cstheme="majorHAnsi"/>
          <w:color w:val="000000"/>
          <w:lang w:eastAsia="en-GB"/>
        </w:rPr>
        <w:t>. Maidenhead: McGraw-Hill.</w:t>
      </w:r>
    </w:p>
    <w:p w14:paraId="164E83F1" w14:textId="77777777" w:rsidR="0025277B" w:rsidRPr="0025277B" w:rsidRDefault="0025277B" w:rsidP="0025277B">
      <w:pPr>
        <w:pStyle w:val="NoSpacing"/>
        <w:rPr>
          <w:rFonts w:asciiTheme="majorHAnsi" w:hAnsiTheme="majorHAnsi" w:cstheme="majorHAnsi"/>
          <w:color w:val="000000"/>
          <w:lang w:eastAsia="en-GB"/>
        </w:rPr>
      </w:pPr>
    </w:p>
    <w:p w14:paraId="26D38960" w14:textId="5D28840C" w:rsidR="0025277B" w:rsidRDefault="0025277B" w:rsidP="0025277B">
      <w:pPr>
        <w:pStyle w:val="NoSpacing"/>
        <w:rPr>
          <w:rFonts w:asciiTheme="majorHAnsi" w:hAnsiTheme="majorHAnsi" w:cstheme="majorHAnsi"/>
          <w:color w:val="000000"/>
          <w:lang w:eastAsia="en-GB"/>
        </w:rPr>
      </w:pPr>
      <w:proofErr w:type="spellStart"/>
      <w:r w:rsidRPr="0025277B">
        <w:rPr>
          <w:rFonts w:asciiTheme="majorHAnsi" w:hAnsiTheme="majorHAnsi" w:cstheme="majorHAnsi"/>
          <w:color w:val="000000"/>
          <w:lang w:eastAsia="en-GB"/>
        </w:rPr>
        <w:t>Talib</w:t>
      </w:r>
      <w:proofErr w:type="spellEnd"/>
      <w:r w:rsidRPr="0025277B">
        <w:rPr>
          <w:rFonts w:asciiTheme="majorHAnsi" w:hAnsiTheme="majorHAnsi" w:cstheme="majorHAnsi"/>
          <w:color w:val="000000"/>
          <w:lang w:eastAsia="en-GB"/>
        </w:rPr>
        <w:t>, T. and Cheung, Y. (2017). Collaborative Writing in Classroom Instruction: A Synthesis of Recent Research. </w:t>
      </w:r>
      <w:r w:rsidRPr="0025277B">
        <w:rPr>
          <w:rFonts w:asciiTheme="majorHAnsi" w:hAnsiTheme="majorHAnsi" w:cstheme="majorHAnsi"/>
          <w:i/>
          <w:iCs/>
          <w:color w:val="000000"/>
          <w:lang w:eastAsia="en-GB"/>
        </w:rPr>
        <w:t>English Teacher</w:t>
      </w:r>
      <w:r w:rsidRPr="0025277B">
        <w:rPr>
          <w:rFonts w:asciiTheme="majorHAnsi" w:hAnsiTheme="majorHAnsi" w:cstheme="majorHAnsi"/>
          <w:color w:val="000000"/>
          <w:lang w:eastAsia="en-GB"/>
        </w:rPr>
        <w:t>, 46(2), pp.43-58.</w:t>
      </w:r>
    </w:p>
    <w:p w14:paraId="765EB5D8" w14:textId="77777777" w:rsidR="0025277B" w:rsidRPr="0025277B" w:rsidRDefault="0025277B" w:rsidP="0025277B">
      <w:pPr>
        <w:pStyle w:val="NoSpacing"/>
        <w:rPr>
          <w:rFonts w:asciiTheme="majorHAnsi" w:hAnsiTheme="majorHAnsi" w:cstheme="majorHAnsi"/>
          <w:color w:val="000000"/>
          <w:lang w:eastAsia="en-GB"/>
        </w:rPr>
      </w:pPr>
    </w:p>
    <w:p w14:paraId="1C49DD00" w14:textId="2A73187B" w:rsidR="0025277B" w:rsidRDefault="0025277B" w:rsidP="0025277B">
      <w:pPr>
        <w:pStyle w:val="NoSpacing"/>
        <w:rPr>
          <w:rFonts w:asciiTheme="majorHAnsi" w:hAnsiTheme="majorHAnsi" w:cstheme="majorHAnsi"/>
          <w:color w:val="000000"/>
          <w:lang w:eastAsia="en-GB"/>
        </w:rPr>
      </w:pPr>
      <w:r w:rsidRPr="0025277B">
        <w:rPr>
          <w:rFonts w:asciiTheme="majorHAnsi" w:hAnsiTheme="majorHAnsi" w:cstheme="majorHAnsi"/>
          <w:color w:val="000000"/>
          <w:lang w:eastAsia="en-GB"/>
        </w:rPr>
        <w:t>To, J. and Carless, D. (2015). Making productive use of exemplars: Peer discussion and teacher guidance for positive transfer of strategie</w:t>
      </w:r>
      <w:r w:rsidRPr="0025277B">
        <w:rPr>
          <w:rFonts w:asciiTheme="majorHAnsi" w:hAnsiTheme="majorHAnsi" w:cstheme="majorHAnsi"/>
          <w:color w:val="000000"/>
        </w:rPr>
        <w:t>s</w:t>
      </w:r>
      <w:r w:rsidRPr="0025277B">
        <w:rPr>
          <w:rFonts w:asciiTheme="majorHAnsi" w:hAnsiTheme="majorHAnsi" w:cstheme="majorHAnsi"/>
          <w:color w:val="000000"/>
          <w:lang w:eastAsia="en-GB"/>
        </w:rPr>
        <w:t>. </w:t>
      </w:r>
      <w:r w:rsidRPr="0025277B">
        <w:rPr>
          <w:rFonts w:asciiTheme="majorHAnsi" w:hAnsiTheme="majorHAnsi" w:cstheme="majorHAnsi"/>
          <w:i/>
          <w:iCs/>
          <w:color w:val="000000"/>
          <w:lang w:eastAsia="en-GB"/>
        </w:rPr>
        <w:t>Journal of Further and Higher Education</w:t>
      </w:r>
      <w:r w:rsidRPr="0025277B">
        <w:rPr>
          <w:rFonts w:asciiTheme="majorHAnsi" w:hAnsiTheme="majorHAnsi" w:cstheme="majorHAnsi"/>
          <w:color w:val="000000"/>
          <w:lang w:eastAsia="en-GB"/>
        </w:rPr>
        <w:t>, pp.1-19.</w:t>
      </w:r>
    </w:p>
    <w:p w14:paraId="1C7EE7A6" w14:textId="77777777" w:rsidR="0025277B" w:rsidRPr="0025277B" w:rsidRDefault="0025277B" w:rsidP="0025277B">
      <w:pPr>
        <w:pStyle w:val="NoSpacing"/>
        <w:rPr>
          <w:rFonts w:asciiTheme="majorHAnsi" w:hAnsiTheme="majorHAnsi" w:cstheme="majorHAnsi"/>
          <w:color w:val="000000"/>
          <w:lang w:eastAsia="en-GB"/>
        </w:rPr>
      </w:pPr>
    </w:p>
    <w:p w14:paraId="58B01A85" w14:textId="77777777" w:rsidR="0025277B" w:rsidRPr="0025277B" w:rsidRDefault="0025277B" w:rsidP="0025277B">
      <w:pPr>
        <w:pStyle w:val="NoSpacing"/>
        <w:rPr>
          <w:rFonts w:asciiTheme="majorHAnsi" w:hAnsiTheme="majorHAnsi" w:cstheme="majorHAnsi"/>
          <w:i/>
        </w:rPr>
      </w:pPr>
      <w:r w:rsidRPr="0025277B">
        <w:rPr>
          <w:rFonts w:asciiTheme="majorHAnsi" w:hAnsiTheme="majorHAnsi" w:cstheme="majorHAnsi"/>
        </w:rPr>
        <w:t xml:space="preserve">Tricky, S. &amp; Topping, K., 2007. Collaborative philosophical inquiry for school children: Cognitive gains at 2-year follow-up. </w:t>
      </w:r>
      <w:r w:rsidRPr="0025277B">
        <w:rPr>
          <w:rFonts w:asciiTheme="majorHAnsi" w:hAnsiTheme="majorHAnsi" w:cstheme="majorHAnsi"/>
          <w:i/>
        </w:rPr>
        <w:t>British Journal of Educational Psychology</w:t>
      </w:r>
      <w:r w:rsidRPr="0025277B">
        <w:rPr>
          <w:rFonts w:asciiTheme="majorHAnsi" w:hAnsiTheme="majorHAnsi" w:cstheme="majorHAnsi"/>
        </w:rPr>
        <w:t>, Volume 77, pp. 787-796.</w:t>
      </w:r>
    </w:p>
    <w:p w14:paraId="62B9B8D1" w14:textId="77777777" w:rsidR="0025277B" w:rsidRPr="0025277B" w:rsidRDefault="0025277B" w:rsidP="0025277B">
      <w:pPr>
        <w:pStyle w:val="NoSpacing"/>
        <w:rPr>
          <w:rFonts w:asciiTheme="majorHAnsi" w:hAnsiTheme="majorHAnsi" w:cstheme="majorHAnsi"/>
          <w:lang w:val="en-US"/>
        </w:rPr>
      </w:pPr>
    </w:p>
    <w:p w14:paraId="09F41B72" w14:textId="77777777" w:rsidR="0025277B" w:rsidRP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Vanderstoep</w:t>
      </w:r>
      <w:proofErr w:type="spellEnd"/>
      <w:r w:rsidRPr="0025277B">
        <w:rPr>
          <w:rFonts w:asciiTheme="majorHAnsi" w:hAnsiTheme="majorHAnsi" w:cstheme="majorHAnsi"/>
        </w:rPr>
        <w:t xml:space="preserve">, W. &amp; Johnston, D., 2008. Research Methods for everyday Life: Blending Qualitative and Quantitative Approaches. San Francisco: </w:t>
      </w:r>
      <w:proofErr w:type="spellStart"/>
      <w:r w:rsidRPr="0025277B">
        <w:rPr>
          <w:rFonts w:asciiTheme="majorHAnsi" w:hAnsiTheme="majorHAnsi" w:cstheme="majorHAnsi"/>
        </w:rPr>
        <w:t>Jossey</w:t>
      </w:r>
      <w:proofErr w:type="spellEnd"/>
      <w:r w:rsidRPr="0025277B">
        <w:rPr>
          <w:rFonts w:asciiTheme="majorHAnsi" w:hAnsiTheme="majorHAnsi" w:cstheme="majorHAnsi"/>
        </w:rPr>
        <w:t xml:space="preserve"> Bass Ltd.</w:t>
      </w:r>
    </w:p>
    <w:p w14:paraId="74CD9F01" w14:textId="77777777" w:rsidR="0025277B" w:rsidRPr="0025277B" w:rsidRDefault="0025277B" w:rsidP="0025277B">
      <w:pPr>
        <w:pStyle w:val="NoSpacing"/>
        <w:rPr>
          <w:rFonts w:asciiTheme="majorHAnsi" w:hAnsiTheme="majorHAnsi" w:cstheme="majorHAnsi"/>
        </w:rPr>
      </w:pPr>
    </w:p>
    <w:p w14:paraId="0F59EB38" w14:textId="77777777" w:rsidR="0025277B" w:rsidRPr="0025277B" w:rsidRDefault="0025277B" w:rsidP="0025277B">
      <w:pPr>
        <w:pStyle w:val="NoSpacing"/>
        <w:rPr>
          <w:rFonts w:asciiTheme="majorHAnsi" w:hAnsiTheme="majorHAnsi" w:cstheme="majorHAnsi"/>
          <w:u w:val="single"/>
        </w:rPr>
      </w:pPr>
      <w:r w:rsidRPr="0025277B">
        <w:rPr>
          <w:rFonts w:asciiTheme="majorHAnsi" w:hAnsiTheme="majorHAnsi" w:cstheme="majorHAnsi"/>
        </w:rPr>
        <w:t xml:space="preserve">Vygotsky, L (1978) </w:t>
      </w:r>
      <w:r w:rsidRPr="0025277B">
        <w:rPr>
          <w:rFonts w:asciiTheme="majorHAnsi" w:hAnsiTheme="majorHAnsi" w:cstheme="majorHAnsi"/>
          <w:i/>
          <w:iCs/>
        </w:rPr>
        <w:t>Mind in Society</w:t>
      </w:r>
      <w:r w:rsidRPr="0025277B">
        <w:rPr>
          <w:rFonts w:asciiTheme="majorHAnsi" w:hAnsiTheme="majorHAnsi" w:cstheme="majorHAnsi"/>
        </w:rPr>
        <w:t>. Cambridge, MA: Harvard University Press</w:t>
      </w:r>
    </w:p>
    <w:p w14:paraId="07A16E95" w14:textId="77777777" w:rsidR="0025277B" w:rsidRPr="0025277B" w:rsidRDefault="0025277B" w:rsidP="0025277B">
      <w:pPr>
        <w:pStyle w:val="NoSpacing"/>
        <w:rPr>
          <w:rFonts w:asciiTheme="majorHAnsi" w:hAnsiTheme="majorHAnsi" w:cstheme="majorHAnsi"/>
        </w:rPr>
      </w:pPr>
    </w:p>
    <w:p w14:paraId="571BF630" w14:textId="4B89914A" w:rsidR="0025277B" w:rsidRDefault="0025277B" w:rsidP="0025277B">
      <w:pPr>
        <w:pStyle w:val="NoSpacing"/>
        <w:rPr>
          <w:rFonts w:asciiTheme="majorHAnsi" w:hAnsiTheme="majorHAnsi" w:cstheme="majorHAnsi"/>
        </w:rPr>
      </w:pPr>
      <w:r w:rsidRPr="0025277B">
        <w:rPr>
          <w:rFonts w:asciiTheme="majorHAnsi" w:hAnsiTheme="majorHAnsi" w:cstheme="majorHAnsi"/>
        </w:rPr>
        <w:t xml:space="preserve">Wainwright, J. (2004) </w:t>
      </w:r>
      <w:r w:rsidRPr="0025277B">
        <w:rPr>
          <w:rFonts w:asciiTheme="majorHAnsi" w:hAnsiTheme="majorHAnsi" w:cstheme="majorHAnsi"/>
          <w:i/>
        </w:rPr>
        <w:t>Poetry: The basics</w:t>
      </w:r>
      <w:r w:rsidRPr="0025277B">
        <w:rPr>
          <w:rFonts w:asciiTheme="majorHAnsi" w:hAnsiTheme="majorHAnsi" w:cstheme="majorHAnsi"/>
        </w:rPr>
        <w:t>. London and New York: Routledge.</w:t>
      </w:r>
    </w:p>
    <w:p w14:paraId="77979062" w14:textId="77777777" w:rsidR="0025277B" w:rsidRPr="0025277B" w:rsidRDefault="0025277B" w:rsidP="0025277B">
      <w:pPr>
        <w:pStyle w:val="NoSpacing"/>
        <w:rPr>
          <w:rFonts w:asciiTheme="majorHAnsi" w:hAnsiTheme="majorHAnsi" w:cstheme="majorHAnsi"/>
        </w:rPr>
      </w:pPr>
    </w:p>
    <w:p w14:paraId="66C061C8" w14:textId="0C8AEAE7" w:rsidR="0025277B" w:rsidRDefault="0025277B" w:rsidP="0025277B">
      <w:pPr>
        <w:pStyle w:val="NoSpacing"/>
        <w:rPr>
          <w:rFonts w:asciiTheme="majorHAnsi" w:hAnsiTheme="majorHAnsi" w:cstheme="majorHAnsi"/>
          <w:color w:val="000000"/>
          <w:lang w:eastAsia="en-GB"/>
        </w:rPr>
      </w:pPr>
      <w:proofErr w:type="spellStart"/>
      <w:r w:rsidRPr="0025277B">
        <w:rPr>
          <w:rFonts w:asciiTheme="majorHAnsi" w:hAnsiTheme="majorHAnsi" w:cstheme="majorHAnsi"/>
          <w:color w:val="000000"/>
          <w:lang w:eastAsia="en-GB"/>
        </w:rPr>
        <w:t>Wenglinsky</w:t>
      </w:r>
      <w:proofErr w:type="spellEnd"/>
      <w:r w:rsidRPr="0025277B">
        <w:rPr>
          <w:rFonts w:asciiTheme="majorHAnsi" w:hAnsiTheme="majorHAnsi" w:cstheme="majorHAnsi"/>
          <w:color w:val="000000"/>
          <w:lang w:eastAsia="en-GB"/>
        </w:rPr>
        <w:t>, H. (2001). </w:t>
      </w:r>
      <w:r w:rsidRPr="0025277B">
        <w:rPr>
          <w:rFonts w:asciiTheme="majorHAnsi" w:hAnsiTheme="majorHAnsi" w:cstheme="majorHAnsi"/>
          <w:i/>
          <w:iCs/>
          <w:color w:val="000000"/>
          <w:lang w:eastAsia="en-GB"/>
        </w:rPr>
        <w:t>Teacher classroom practices and student performances</w:t>
      </w:r>
      <w:r w:rsidRPr="0025277B">
        <w:rPr>
          <w:rFonts w:asciiTheme="majorHAnsi" w:hAnsiTheme="majorHAnsi" w:cstheme="majorHAnsi"/>
          <w:color w:val="000000"/>
          <w:lang w:eastAsia="en-GB"/>
        </w:rPr>
        <w:t>. Princeton, NJ: Educational Testing Service.</w:t>
      </w:r>
    </w:p>
    <w:p w14:paraId="48625797" w14:textId="77777777" w:rsidR="0025277B" w:rsidRPr="0025277B" w:rsidRDefault="0025277B" w:rsidP="0025277B">
      <w:pPr>
        <w:pStyle w:val="NoSpacing"/>
        <w:rPr>
          <w:rFonts w:asciiTheme="majorHAnsi" w:hAnsiTheme="majorHAnsi" w:cstheme="majorHAnsi"/>
          <w:color w:val="000000"/>
          <w:lang w:eastAsia="en-GB"/>
        </w:rPr>
      </w:pPr>
    </w:p>
    <w:p w14:paraId="7D742765" w14:textId="2DEC6229" w:rsidR="0025277B" w:rsidRDefault="0025277B" w:rsidP="0025277B">
      <w:pPr>
        <w:pStyle w:val="NoSpacing"/>
        <w:rPr>
          <w:rFonts w:asciiTheme="majorHAnsi" w:hAnsiTheme="majorHAnsi" w:cstheme="majorHAnsi"/>
        </w:rPr>
      </w:pPr>
      <w:proofErr w:type="spellStart"/>
      <w:r w:rsidRPr="0025277B">
        <w:rPr>
          <w:rFonts w:asciiTheme="majorHAnsi" w:hAnsiTheme="majorHAnsi" w:cstheme="majorHAnsi"/>
        </w:rPr>
        <w:t>Womelsduff</w:t>
      </w:r>
      <w:proofErr w:type="spellEnd"/>
      <w:r w:rsidRPr="0025277B">
        <w:rPr>
          <w:rFonts w:asciiTheme="majorHAnsi" w:hAnsiTheme="majorHAnsi" w:cstheme="majorHAnsi"/>
        </w:rPr>
        <w:t>, D. (2005) ‘The paradox of structure and freedom: An experiment in writing poetry’</w:t>
      </w:r>
      <w:r w:rsidRPr="0025277B">
        <w:rPr>
          <w:rFonts w:asciiTheme="majorHAnsi" w:hAnsiTheme="majorHAnsi" w:cstheme="majorHAnsi"/>
          <w:i/>
        </w:rPr>
        <w:t>, English Journal</w:t>
      </w:r>
      <w:r w:rsidRPr="0025277B">
        <w:rPr>
          <w:rFonts w:asciiTheme="majorHAnsi" w:hAnsiTheme="majorHAnsi" w:cstheme="majorHAnsi"/>
        </w:rPr>
        <w:t>, 94 (4), 23-27.</w:t>
      </w:r>
    </w:p>
    <w:p w14:paraId="607E95F6" w14:textId="77777777" w:rsidR="0025277B" w:rsidRPr="0025277B" w:rsidRDefault="0025277B" w:rsidP="0025277B">
      <w:pPr>
        <w:pStyle w:val="NoSpacing"/>
        <w:rPr>
          <w:rFonts w:asciiTheme="majorHAnsi" w:hAnsiTheme="majorHAnsi" w:cstheme="majorHAnsi"/>
        </w:rPr>
      </w:pPr>
    </w:p>
    <w:p w14:paraId="6C18438D" w14:textId="734BDAC0" w:rsidR="0025277B" w:rsidRDefault="0025277B" w:rsidP="0025277B">
      <w:pPr>
        <w:pStyle w:val="NoSpacing"/>
        <w:rPr>
          <w:rFonts w:asciiTheme="majorHAnsi" w:hAnsiTheme="majorHAnsi" w:cstheme="majorHAnsi"/>
          <w:color w:val="000000"/>
          <w:lang w:eastAsia="en-GB"/>
        </w:rPr>
      </w:pPr>
      <w:proofErr w:type="spellStart"/>
      <w:r w:rsidRPr="0025277B">
        <w:rPr>
          <w:rFonts w:asciiTheme="majorHAnsi" w:hAnsiTheme="majorHAnsi" w:cstheme="majorHAnsi"/>
          <w:color w:val="000000"/>
          <w:lang w:eastAsia="en-GB"/>
        </w:rPr>
        <w:t>Xerri</w:t>
      </w:r>
      <w:proofErr w:type="spellEnd"/>
      <w:r w:rsidRPr="0025277B">
        <w:rPr>
          <w:rFonts w:asciiTheme="majorHAnsi" w:hAnsiTheme="majorHAnsi" w:cstheme="majorHAnsi"/>
          <w:color w:val="000000"/>
          <w:lang w:eastAsia="en-GB"/>
        </w:rPr>
        <w:t>, D. (2011). Shared Writing via Contemporary Poetry. </w:t>
      </w:r>
      <w:r w:rsidRPr="0025277B">
        <w:rPr>
          <w:rFonts w:asciiTheme="majorHAnsi" w:hAnsiTheme="majorHAnsi" w:cstheme="majorHAnsi"/>
          <w:i/>
          <w:iCs/>
          <w:color w:val="000000"/>
          <w:lang w:eastAsia="en-GB"/>
        </w:rPr>
        <w:t>English in Education</w:t>
      </w:r>
      <w:r w:rsidRPr="0025277B">
        <w:rPr>
          <w:rFonts w:asciiTheme="majorHAnsi" w:hAnsiTheme="majorHAnsi" w:cstheme="majorHAnsi"/>
          <w:color w:val="000000"/>
          <w:lang w:eastAsia="en-GB"/>
        </w:rPr>
        <w:t>, 45(2).</w:t>
      </w:r>
    </w:p>
    <w:p w14:paraId="4013F687" w14:textId="77777777" w:rsidR="0025277B" w:rsidRPr="0025277B" w:rsidRDefault="0025277B" w:rsidP="0025277B">
      <w:pPr>
        <w:pStyle w:val="NoSpacing"/>
        <w:rPr>
          <w:rFonts w:asciiTheme="majorHAnsi" w:hAnsiTheme="majorHAnsi" w:cstheme="majorHAnsi"/>
          <w:color w:val="000000"/>
          <w:lang w:eastAsia="en-GB"/>
        </w:rPr>
      </w:pPr>
    </w:p>
    <w:p w14:paraId="79E46DC8" w14:textId="77777777" w:rsidR="0025277B" w:rsidRPr="0025277B" w:rsidRDefault="0025277B" w:rsidP="0025277B">
      <w:pPr>
        <w:pStyle w:val="NoSpacing"/>
        <w:rPr>
          <w:rFonts w:asciiTheme="majorHAnsi" w:eastAsia="Times New Roman" w:hAnsiTheme="majorHAnsi" w:cstheme="majorHAnsi"/>
          <w:lang w:eastAsia="en-GB"/>
        </w:rPr>
      </w:pPr>
      <w:proofErr w:type="spellStart"/>
      <w:r w:rsidRPr="0025277B">
        <w:rPr>
          <w:rFonts w:asciiTheme="majorHAnsi" w:eastAsia="Times New Roman" w:hAnsiTheme="majorHAnsi" w:cstheme="majorHAnsi"/>
          <w:lang w:eastAsia="en-GB"/>
        </w:rPr>
        <w:t>Yeh</w:t>
      </w:r>
      <w:proofErr w:type="spellEnd"/>
      <w:r w:rsidRPr="0025277B">
        <w:rPr>
          <w:rFonts w:asciiTheme="majorHAnsi" w:eastAsia="Times New Roman" w:hAnsiTheme="majorHAnsi" w:cstheme="majorHAnsi"/>
          <w:lang w:eastAsia="en-GB"/>
        </w:rPr>
        <w:t xml:space="preserve">, H.-C. (2014). Exploring How Collaborative Dialogues Facilitate Synchronous Collaborative Writing. </w:t>
      </w:r>
      <w:r w:rsidRPr="0025277B">
        <w:rPr>
          <w:rFonts w:asciiTheme="majorHAnsi" w:eastAsia="Times New Roman" w:hAnsiTheme="majorHAnsi" w:cstheme="majorHAnsi"/>
          <w:i/>
          <w:lang w:eastAsia="en-GB"/>
        </w:rPr>
        <w:t>Language Learning &amp; Technology</w:t>
      </w:r>
      <w:r w:rsidRPr="0025277B">
        <w:rPr>
          <w:rFonts w:asciiTheme="majorHAnsi" w:eastAsia="Times New Roman" w:hAnsiTheme="majorHAnsi" w:cstheme="majorHAnsi"/>
          <w:lang w:eastAsia="en-GB"/>
        </w:rPr>
        <w:t xml:space="preserve">, 18(1), 23–37. </w:t>
      </w:r>
    </w:p>
    <w:p w14:paraId="4B5491B5" w14:textId="77777777" w:rsidR="0025277B" w:rsidRPr="00E1280F" w:rsidRDefault="0025277B" w:rsidP="0025277B">
      <w:pPr>
        <w:shd w:val="clear" w:color="auto" w:fill="FFFFFF"/>
        <w:spacing w:after="180"/>
        <w:ind w:left="450" w:hanging="450"/>
        <w:rPr>
          <w:color w:val="000000"/>
        </w:rPr>
      </w:pPr>
    </w:p>
    <w:p w14:paraId="0666B6EE" w14:textId="77777777" w:rsidR="0025277B" w:rsidRPr="00E1280F" w:rsidRDefault="0025277B" w:rsidP="0025277B">
      <w:pPr>
        <w:shd w:val="clear" w:color="auto" w:fill="FFFFFF"/>
        <w:spacing w:after="180"/>
        <w:ind w:left="450" w:hanging="450"/>
        <w:rPr>
          <w:color w:val="000000"/>
        </w:rPr>
      </w:pPr>
    </w:p>
    <w:p w14:paraId="2D848AB3" w14:textId="77777777" w:rsidR="0025277B" w:rsidRPr="00E1280F" w:rsidRDefault="0025277B" w:rsidP="0025277B">
      <w:pPr>
        <w:shd w:val="clear" w:color="auto" w:fill="FFFFFF"/>
        <w:spacing w:after="180"/>
        <w:ind w:left="450" w:hanging="450"/>
        <w:rPr>
          <w:color w:val="000000"/>
        </w:rPr>
      </w:pPr>
    </w:p>
    <w:p w14:paraId="50C9BE62" w14:textId="77777777" w:rsidR="0025277B" w:rsidRPr="00E1280F" w:rsidRDefault="0025277B" w:rsidP="0025277B">
      <w:pPr>
        <w:rPr>
          <w:lang w:val="en-US"/>
        </w:rPr>
      </w:pPr>
    </w:p>
    <w:p w14:paraId="2E6BAC02" w14:textId="77777777" w:rsidR="0025277B" w:rsidRDefault="0025277B" w:rsidP="00DB116D">
      <w:pPr>
        <w:rPr>
          <w:sz w:val="32"/>
        </w:rPr>
      </w:pPr>
    </w:p>
    <w:p w14:paraId="2B5C4864" w14:textId="77777777" w:rsidR="00152E9D" w:rsidRDefault="00152E9D" w:rsidP="00DB116D">
      <w:pPr>
        <w:rPr>
          <w:rFonts w:ascii="Calibri" w:hAnsi="Calibri" w:cs="Calibri"/>
          <w:b/>
        </w:rPr>
      </w:pPr>
    </w:p>
    <w:p w14:paraId="0E51E97E" w14:textId="77777777" w:rsidR="00BA6B2C" w:rsidRDefault="00BA6B2C" w:rsidP="00DB116D">
      <w:pPr>
        <w:rPr>
          <w:rFonts w:ascii="Calibri" w:hAnsi="Calibri" w:cs="Calibri"/>
          <w:b/>
        </w:rPr>
      </w:pPr>
    </w:p>
    <w:sectPr w:rsidR="00BA6B2C" w:rsidSect="008A2003">
      <w:footerReference w:type="default" r:id="rId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C33D5" w14:textId="77777777" w:rsidR="00241294" w:rsidRDefault="00241294">
      <w:r>
        <w:separator/>
      </w:r>
    </w:p>
  </w:endnote>
  <w:endnote w:type="continuationSeparator" w:id="0">
    <w:p w14:paraId="1A7B9C0D" w14:textId="77777777" w:rsidR="00241294" w:rsidRDefault="00241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9045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7C45F" w14:textId="77777777" w:rsidR="00241294" w:rsidRDefault="00241294">
      <w:r>
        <w:separator/>
      </w:r>
    </w:p>
  </w:footnote>
  <w:footnote w:type="continuationSeparator" w:id="0">
    <w:p w14:paraId="5D4DD548" w14:textId="77777777" w:rsidR="00241294" w:rsidRDefault="002412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37133C"/>
    <w:multiLevelType w:val="hybridMultilevel"/>
    <w:tmpl w:val="899CA6BE"/>
    <w:lvl w:ilvl="0" w:tplc="BA68D75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2E39B2"/>
    <w:multiLevelType w:val="hybridMultilevel"/>
    <w:tmpl w:val="5C1027C2"/>
    <w:lvl w:ilvl="0" w:tplc="B34616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2"/>
  </w:num>
  <w:num w:numId="2">
    <w:abstractNumId w:val="13"/>
  </w:num>
  <w:num w:numId="3">
    <w:abstractNumId w:val="24"/>
  </w:num>
  <w:num w:numId="4">
    <w:abstractNumId w:val="18"/>
  </w:num>
  <w:num w:numId="5">
    <w:abstractNumId w:val="11"/>
  </w:num>
  <w:num w:numId="6">
    <w:abstractNumId w:val="23"/>
  </w:num>
  <w:num w:numId="7">
    <w:abstractNumId w:val="3"/>
  </w:num>
  <w:num w:numId="8">
    <w:abstractNumId w:val="20"/>
  </w:num>
  <w:num w:numId="9">
    <w:abstractNumId w:val="14"/>
  </w:num>
  <w:num w:numId="10">
    <w:abstractNumId w:val="5"/>
  </w:num>
  <w:num w:numId="11">
    <w:abstractNumId w:val="6"/>
  </w:num>
  <w:num w:numId="12">
    <w:abstractNumId w:val="12"/>
  </w:num>
  <w:num w:numId="13">
    <w:abstractNumId w:val="19"/>
  </w:num>
  <w:num w:numId="14">
    <w:abstractNumId w:val="4"/>
  </w:num>
  <w:num w:numId="15">
    <w:abstractNumId w:val="0"/>
  </w:num>
  <w:num w:numId="16">
    <w:abstractNumId w:val="8"/>
  </w:num>
  <w:num w:numId="17">
    <w:abstractNumId w:val="16"/>
  </w:num>
  <w:num w:numId="18">
    <w:abstractNumId w:val="1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5"/>
  </w:num>
  <w:num w:numId="22">
    <w:abstractNumId w:val="7"/>
  </w:num>
  <w:num w:numId="23">
    <w:abstractNumId w:val="1"/>
  </w:num>
  <w:num w:numId="24">
    <w:abstractNumId w:val="22"/>
  </w:num>
  <w:num w:numId="25">
    <w:abstractNumId w:val="2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26B02"/>
    <w:rsid w:val="000822E5"/>
    <w:rsid w:val="000971FC"/>
    <w:rsid w:val="000A2A3A"/>
    <w:rsid w:val="000A492A"/>
    <w:rsid w:val="000D2F80"/>
    <w:rsid w:val="000E413A"/>
    <w:rsid w:val="000F5AA3"/>
    <w:rsid w:val="00100396"/>
    <w:rsid w:val="00100B5C"/>
    <w:rsid w:val="00105A08"/>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294"/>
    <w:rsid w:val="002444CA"/>
    <w:rsid w:val="0025277B"/>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0A7"/>
    <w:rsid w:val="00426244"/>
    <w:rsid w:val="00470A38"/>
    <w:rsid w:val="004874DE"/>
    <w:rsid w:val="004B5334"/>
    <w:rsid w:val="004B5C19"/>
    <w:rsid w:val="004B6C14"/>
    <w:rsid w:val="004D63D9"/>
    <w:rsid w:val="0050249F"/>
    <w:rsid w:val="00524566"/>
    <w:rsid w:val="00530BEF"/>
    <w:rsid w:val="005617CF"/>
    <w:rsid w:val="00561F00"/>
    <w:rsid w:val="00562C4E"/>
    <w:rsid w:val="00562DEC"/>
    <w:rsid w:val="00576AB4"/>
    <w:rsid w:val="00577917"/>
    <w:rsid w:val="00590667"/>
    <w:rsid w:val="005969E2"/>
    <w:rsid w:val="005A1689"/>
    <w:rsid w:val="005B61CD"/>
    <w:rsid w:val="005D1D58"/>
    <w:rsid w:val="005D29F9"/>
    <w:rsid w:val="005D432C"/>
    <w:rsid w:val="005E285E"/>
    <w:rsid w:val="005E72F8"/>
    <w:rsid w:val="005F0579"/>
    <w:rsid w:val="005F6180"/>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E65FF"/>
    <w:rsid w:val="006F45BF"/>
    <w:rsid w:val="006F60E0"/>
    <w:rsid w:val="00702F71"/>
    <w:rsid w:val="007366DF"/>
    <w:rsid w:val="007423C5"/>
    <w:rsid w:val="00757839"/>
    <w:rsid w:val="00770C81"/>
    <w:rsid w:val="007866E5"/>
    <w:rsid w:val="00791024"/>
    <w:rsid w:val="00793F0A"/>
    <w:rsid w:val="007A2657"/>
    <w:rsid w:val="007C2438"/>
    <w:rsid w:val="007C682C"/>
    <w:rsid w:val="007D2385"/>
    <w:rsid w:val="007F214F"/>
    <w:rsid w:val="00800069"/>
    <w:rsid w:val="008310A0"/>
    <w:rsid w:val="00835D29"/>
    <w:rsid w:val="00842E7F"/>
    <w:rsid w:val="00852933"/>
    <w:rsid w:val="008566E5"/>
    <w:rsid w:val="008566FE"/>
    <w:rsid w:val="00865B46"/>
    <w:rsid w:val="0088296F"/>
    <w:rsid w:val="00896134"/>
    <w:rsid w:val="008A2003"/>
    <w:rsid w:val="008A62BC"/>
    <w:rsid w:val="008B43E7"/>
    <w:rsid w:val="008C1855"/>
    <w:rsid w:val="008D763F"/>
    <w:rsid w:val="008F036F"/>
    <w:rsid w:val="008F78C2"/>
    <w:rsid w:val="00904568"/>
    <w:rsid w:val="00911394"/>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16174"/>
    <w:rsid w:val="00A3505D"/>
    <w:rsid w:val="00A4036F"/>
    <w:rsid w:val="00A4641C"/>
    <w:rsid w:val="00A52FDE"/>
    <w:rsid w:val="00A55876"/>
    <w:rsid w:val="00A62BD8"/>
    <w:rsid w:val="00A67FB1"/>
    <w:rsid w:val="00AB6FE7"/>
    <w:rsid w:val="00AB7AD7"/>
    <w:rsid w:val="00AD2430"/>
    <w:rsid w:val="00AE41A6"/>
    <w:rsid w:val="00AF0E34"/>
    <w:rsid w:val="00AF271D"/>
    <w:rsid w:val="00AF56C2"/>
    <w:rsid w:val="00B004E6"/>
    <w:rsid w:val="00B01A8F"/>
    <w:rsid w:val="00B0744D"/>
    <w:rsid w:val="00B53B62"/>
    <w:rsid w:val="00B64082"/>
    <w:rsid w:val="00B72325"/>
    <w:rsid w:val="00B81AD3"/>
    <w:rsid w:val="00B829D8"/>
    <w:rsid w:val="00B84B5B"/>
    <w:rsid w:val="00B86446"/>
    <w:rsid w:val="00BA1176"/>
    <w:rsid w:val="00BA6B2C"/>
    <w:rsid w:val="00BC0EEA"/>
    <w:rsid w:val="00BE0B01"/>
    <w:rsid w:val="00BE34DB"/>
    <w:rsid w:val="00BE79C7"/>
    <w:rsid w:val="00BF3CB5"/>
    <w:rsid w:val="00BF4918"/>
    <w:rsid w:val="00C109C8"/>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71AE"/>
    <w:rsid w:val="00DA36EE"/>
    <w:rsid w:val="00DB116D"/>
    <w:rsid w:val="00DD17CC"/>
    <w:rsid w:val="00DE217A"/>
    <w:rsid w:val="00DF321B"/>
    <w:rsid w:val="00E230E0"/>
    <w:rsid w:val="00E3293C"/>
    <w:rsid w:val="00E51AAC"/>
    <w:rsid w:val="00E66CC0"/>
    <w:rsid w:val="00E728A9"/>
    <w:rsid w:val="00E807D9"/>
    <w:rsid w:val="00EA0F4E"/>
    <w:rsid w:val="00EA295B"/>
    <w:rsid w:val="00EA6801"/>
    <w:rsid w:val="00EB4F96"/>
    <w:rsid w:val="00ED7072"/>
    <w:rsid w:val="00EE3132"/>
    <w:rsid w:val="00EE3D9D"/>
    <w:rsid w:val="00EE6F25"/>
    <w:rsid w:val="00EF62B0"/>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character" w:customStyle="1" w:styleId="apple-converted-space">
    <w:name w:val="apple-converted-space"/>
    <w:basedOn w:val="DefaultParagraphFont"/>
    <w:rsid w:val="0025277B"/>
  </w:style>
  <w:style w:type="paragraph" w:styleId="NoSpacing">
    <w:name w:val="No Spacing"/>
    <w:uiPriority w:val="1"/>
    <w:qFormat/>
    <w:rsid w:val="0025277B"/>
    <w:rPr>
      <w:rFonts w:asciiTheme="minorHAnsi" w:eastAsia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50717-nc-english-en-v3.pdf" TargetMode="Externa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B246F-BD48-4042-81C8-E2C1F32F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9040</Words>
  <Characters>47086</Characters>
  <Application>Microsoft Office Word</Application>
  <DocSecurity>0</DocSecurity>
  <Lines>392</Lines>
  <Paragraphs>112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56014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ol-profile</cp:lastModifiedBy>
  <cp:revision>3</cp:revision>
  <cp:lastPrinted>2014-10-10T07:42:00Z</cp:lastPrinted>
  <dcterms:created xsi:type="dcterms:W3CDTF">2018-05-14T09:25:00Z</dcterms:created>
  <dcterms:modified xsi:type="dcterms:W3CDTF">2018-05-14T09:25:00Z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