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09B2F" w14:textId="770CBBAF" w:rsidR="006B44B6" w:rsidRPr="001E15F2" w:rsidRDefault="00FF6CF1">
      <w:pPr>
        <w:jc w:val="center"/>
        <w:rPr>
          <w:rStyle w:val="Heading1Char"/>
        </w:rPr>
      </w:pPr>
      <w:r>
        <w:rPr>
          <w:b/>
        </w:rPr>
        <w:br/>
      </w:r>
      <w:r>
        <w:rPr>
          <w:b/>
        </w:rPr>
        <w:br/>
        <w:t>WRITTEN ASSIGNMENT – COMPONENT 2</w:t>
      </w:r>
      <w:r>
        <w:rPr>
          <w:b/>
        </w:rPr>
        <w:br/>
      </w:r>
      <w:r>
        <w:rPr>
          <w:b/>
        </w:rPr>
        <w:br/>
        <w:t>Mrs Thompson: Communication, Administrative Practice and Collaborative Working</w:t>
      </w:r>
      <w:r>
        <w:rPr>
          <w:b/>
        </w:rPr>
        <w:br/>
      </w:r>
      <w:r>
        <w:br/>
        <w:t>Module: LCHS4003 Introduction to Health and Social Care</w:t>
      </w:r>
      <w:r>
        <w:br/>
      </w:r>
      <w:r>
        <w:br/>
      </w:r>
      <w:r w:rsidRPr="001E15F2">
        <w:rPr>
          <w:rStyle w:val="Heading1Char"/>
        </w:rPr>
        <w:t xml:space="preserve">Student Name: </w:t>
      </w:r>
      <w:r w:rsidRPr="001E15F2">
        <w:rPr>
          <w:rStyle w:val="Heading1Char"/>
        </w:rPr>
        <w:t>_</w:t>
      </w:r>
      <w:r w:rsidR="001E15F2" w:rsidRPr="001E15F2">
        <w:rPr>
          <w:rStyle w:val="Heading1Char"/>
        </w:rPr>
        <w:t xml:space="preserve">Klarinta Alla </w:t>
      </w:r>
      <w:r w:rsidRPr="001E15F2">
        <w:rPr>
          <w:rStyle w:val="Heading1Char"/>
        </w:rPr>
        <w:t>_____________________________</w:t>
      </w:r>
      <w:r w:rsidRPr="001E15F2">
        <w:rPr>
          <w:rStyle w:val="Heading1Char"/>
        </w:rPr>
        <w:br/>
        <w:t>Student Number: _</w:t>
      </w:r>
      <w:r w:rsidR="001E15F2" w:rsidRPr="001E15F2">
        <w:rPr>
          <w:rStyle w:val="Heading1Char"/>
        </w:rPr>
        <w:t>2533087</w:t>
      </w:r>
      <w:r w:rsidRPr="001E15F2">
        <w:rPr>
          <w:rStyle w:val="Heading1Char"/>
        </w:rPr>
        <w:t>___________________________</w:t>
      </w:r>
      <w:r w:rsidRPr="001E15F2">
        <w:rPr>
          <w:rStyle w:val="Heading1Char"/>
        </w:rPr>
        <w:br/>
        <w:t>Tutor: _</w:t>
      </w:r>
      <w:r w:rsidR="001E15F2" w:rsidRPr="001E15F2">
        <w:rPr>
          <w:rStyle w:val="Heading1Char"/>
        </w:rPr>
        <w:t xml:space="preserve">Caroline Salami </w:t>
      </w:r>
      <w:r w:rsidRPr="001E15F2">
        <w:rPr>
          <w:rStyle w:val="Heading1Char"/>
        </w:rPr>
        <w:t>____________________________________</w:t>
      </w:r>
      <w:r w:rsidRPr="001E15F2">
        <w:rPr>
          <w:rStyle w:val="Heading1Char"/>
        </w:rPr>
        <w:br/>
        <w:t>Date: _</w:t>
      </w:r>
      <w:r w:rsidR="001E15F2" w:rsidRPr="001E15F2">
        <w:rPr>
          <w:rStyle w:val="Heading1Char"/>
        </w:rPr>
        <w:t>13/08/2026</w:t>
      </w:r>
      <w:r w:rsidRPr="001E15F2">
        <w:rPr>
          <w:rStyle w:val="Heading1Char"/>
        </w:rPr>
        <w:t>_____________________________________</w:t>
      </w:r>
      <w:r w:rsidRPr="001E15F2">
        <w:rPr>
          <w:rStyle w:val="Heading1Char"/>
        </w:rPr>
        <w:br/>
      </w:r>
    </w:p>
    <w:p w14:paraId="1D6E2681" w14:textId="77777777" w:rsidR="006B44B6" w:rsidRDefault="00FF6CF1">
      <w:r>
        <w:br w:type="page"/>
      </w:r>
    </w:p>
    <w:p w14:paraId="25C7E0D5" w14:textId="77777777" w:rsidR="006B44B6" w:rsidRDefault="00FF6CF1">
      <w:pPr>
        <w:pStyle w:val="Heading1"/>
      </w:pPr>
      <w:r>
        <w:lastRenderedPageBreak/>
        <w:t>Contents</w:t>
      </w:r>
    </w:p>
    <w:p w14:paraId="0009072D" w14:textId="77777777" w:rsidR="006B44B6" w:rsidRDefault="00FF6CF1">
      <w:r>
        <w:t>Introduction</w:t>
      </w:r>
    </w:p>
    <w:p w14:paraId="7564FADF" w14:textId="77777777" w:rsidR="006B44B6" w:rsidRDefault="00FF6CF1">
      <w:r>
        <w:t>1. Importance of effective communication</w:t>
      </w:r>
    </w:p>
    <w:p w14:paraId="3DF93FB0" w14:textId="77777777" w:rsidR="006B44B6" w:rsidRDefault="00FF6CF1">
      <w:r>
        <w:t>2. Importance of administrative skills, record keeping and data protection</w:t>
      </w:r>
    </w:p>
    <w:p w14:paraId="1E0D222C" w14:textId="77777777" w:rsidR="006B44B6" w:rsidRDefault="00FF6CF1">
      <w:r>
        <w:t>3. Collaborative working with other professionals</w:t>
      </w:r>
    </w:p>
    <w:p w14:paraId="78E4C6A6" w14:textId="77777777" w:rsidR="006B44B6" w:rsidRDefault="00FF6CF1">
      <w:r>
        <w:t>Conclusion</w:t>
      </w:r>
    </w:p>
    <w:p w14:paraId="7BA5D83F" w14:textId="77777777" w:rsidR="006B44B6" w:rsidRDefault="00FF6CF1">
      <w:r>
        <w:t>References</w:t>
      </w:r>
    </w:p>
    <w:p w14:paraId="2465D22A" w14:textId="77777777" w:rsidR="006B44B6" w:rsidRDefault="00FF6CF1">
      <w:r>
        <w:br w:type="page"/>
      </w:r>
    </w:p>
    <w:p w14:paraId="713C50AC" w14:textId="77777777" w:rsidR="006B44B6" w:rsidRDefault="00FF6CF1">
      <w:pPr>
        <w:pStyle w:val="Heading1"/>
      </w:pPr>
      <w:r>
        <w:lastRenderedPageBreak/>
        <w:t>Introduction</w:t>
      </w:r>
    </w:p>
    <w:p w14:paraId="31EFD843" w14:textId="77777777" w:rsidR="006B44B6" w:rsidRDefault="00FF6CF1">
      <w:r>
        <w:t xml:space="preserve">Mrs Thompson is an 84-year-old woman who lives alone in sheltered housing and receives domiciliary care twice daily. Following a recent hospital admission for pneumonia, concerns have emerged about medication adherence and her safety. Mrs Thompson has mild dementia and missed two days of medication, which was followed by increased confusion. The incident was recorded through the care service’s incident process and a medication review was requested. A further concern arose when she was found outside in cold </w:t>
      </w:r>
      <w:r>
        <w:t>weather without appropriate clothing, and the local council is reviewing the circumstances. This case demonstrates the importance of effective communication, accurate administration and record keeping, and collaborative working in health and social care. These areas are closely connected because professionals need reliable information to understand Mrs Thompson’s needs, identify risks and provide safe, person-centred care. This report therefore considers communication with Mrs Thompson and her family, profe</w:t>
      </w:r>
      <w:r>
        <w:t>ssional record keeping and data protection, and collaborative working between the professionals involved in her care.</w:t>
      </w:r>
    </w:p>
    <w:p w14:paraId="59484CE4" w14:textId="77777777" w:rsidR="006B44B6" w:rsidRDefault="00FF6CF1">
      <w:pPr>
        <w:pStyle w:val="Heading1"/>
      </w:pPr>
      <w:r>
        <w:t>1. Importance of effective communication</w:t>
      </w:r>
    </w:p>
    <w:p w14:paraId="45BABCC4" w14:textId="77777777" w:rsidR="006B44B6" w:rsidRDefault="00FF6CF1">
      <w:r>
        <w:t>Effective communication is essential in Mrs Thompson’s care because it supports person-centred practice, helps prevent mistakes and enables professionals to understand what matters to the service user. The Week 6 teaching material identifies communication as an exchange of information between a sender and receiver and explains that effective communication occurs when the receiver clearly understands the message. Communication should be clear, consistent, transparent, accessible and inclusive (Lee, 2023). Th</w:t>
      </w:r>
      <w:r>
        <w:t>is is particularly important for Mrs Thompson because mild dementia and recent confusion may make it more difficult for her to remember information or explain her needs.</w:t>
      </w:r>
    </w:p>
    <w:p w14:paraId="27E8814C" w14:textId="77777777" w:rsidR="006B44B6" w:rsidRDefault="00FF6CF1">
      <w:r>
        <w:t>When communicating with Mrs Thompson, health and social care workers should use simple and respectful language, avoid unnecessary jargon, speak at an appropriate pace and give her enough time to respond. Active listening is also important. The Week 6 material distinguishes listening from simply hearing: listening requires the receiver to make an active effort to understand the message. Staff should observe non-verbal cues and ensure that their body language supports what they are saying. If Mrs Thompson app</w:t>
      </w:r>
      <w:r>
        <w:t xml:space="preserve">ears confused, the professional should clarify the message rather than assume that she has understood it. Information about medication should be explained in a way that is accessible to her, and understanding should be </w:t>
      </w:r>
      <w:r>
        <w:lastRenderedPageBreak/>
        <w:t>checked through feedback. These approaches can reduce anxiety and support her involvement in decisions about her care.</w:t>
      </w:r>
    </w:p>
    <w:p w14:paraId="1DB50F23" w14:textId="77777777" w:rsidR="006B44B6" w:rsidRDefault="00FF6CF1">
      <w:r>
        <w:t>Berlo’s (1960) Sender–Message–Channel–Receiver (SMCR) model can be applied to this situation. The sender could be a domiciliary care worker explaining Mrs Thompson’s medication routine. The message is the information about what medication is required and when it should be taken. The channel is the method through which the information is communicated, such as face-to-face speech, written information or a telephone conversation. The receiver is Mrs Thompson. Berlo also identifies factors affecting communicati</w:t>
      </w:r>
      <w:r>
        <w:t>on, including communication skills, attitude, knowledge, social systems and culture. Therefore, the worker should consider Mrs Thompson’s individual circumstances and adapt the message and channel accordingly (Berlo, 1960).</w:t>
      </w:r>
    </w:p>
    <w:p w14:paraId="461272FA" w14:textId="77777777" w:rsidR="006B44B6" w:rsidRDefault="00FF6CF1">
      <w:r>
        <w:t>Communication with family members should also be respectful and person-centred. Family concerns should be listened to and relevant information should be shared appropriately, while Mrs Thompson’s confidentiality and preferences are respected. The Equality Act 2010 provides an important framework because age and disability are protected characteristics. Professionals must avoid discriminatory assumptions about Mrs Thompson because she is older or has dementia. The Week 8 material emphasises treating patients</w:t>
      </w:r>
      <w:r>
        <w:t xml:space="preserve"> as individuals, respecting dignity, avoiding discrimination and respecting diversity and different cultures and values (Glasby, 2017). Reasonable adjustments to communication may therefore be needed so that Mrs Thompson can participate as fully as possible in discussions about her care. Effective communication between Mrs Thompson, her family and professionals can help identify changes in her condition, improve safety and support continuity of care.</w:t>
      </w:r>
    </w:p>
    <w:p w14:paraId="4CD1C2AD" w14:textId="77777777" w:rsidR="006B44B6" w:rsidRDefault="00FF6CF1">
      <w:pPr>
        <w:pStyle w:val="Heading1"/>
      </w:pPr>
      <w:r>
        <w:t>2. Importance of administrative skills, record keeping and data protection</w:t>
      </w:r>
    </w:p>
    <w:p w14:paraId="2626493B" w14:textId="77777777" w:rsidR="006B44B6" w:rsidRDefault="00FF6CF1">
      <w:r>
        <w:t>Good administrative skills are essential to Mrs Thompson’s safety because health and social care decisions depend on accurate and timely information. The Week 7 teaching material explains that staff have a professional and legal obligation to keep accurate records and that health and social care records are legal documents. Good records support high standards of care, continuity, accountability, monitoring and evidence for complaints or investigations (SCIE, 2023). In Mrs Thompson’s case, recording the miss</w:t>
      </w:r>
      <w:r>
        <w:t>ed medication and increased confusion through the service’s incident process provides an important account of what happened and enables other professionals to respond appropriately.</w:t>
      </w:r>
    </w:p>
    <w:p w14:paraId="25D422DE" w14:textId="77777777" w:rsidR="006B44B6" w:rsidRDefault="00FF6CF1">
      <w:r>
        <w:lastRenderedPageBreak/>
        <w:t>Good records should be person-centred, accurate, timely, evidence-based, succinct, holistic and professional, and should avoid jargon. Staff should read previous records so that new entries are consistent with the existing care history. Documentation should distinguish between observed facts and personal opinions. For example, a worker should record that Mrs Thompson missed her medication for two days and that increased confusion was observed, rather than using judgemental descriptions. Accurate recording i</w:t>
      </w:r>
      <w:r>
        <w:t>s particularly important after discharge from hospital because different professionals may rely on the record to understand changes in her health and care needs. It also supports communication between domiciliary workers, the GP, community or district nurse and other professionals.</w:t>
      </w:r>
    </w:p>
    <w:p w14:paraId="564A6E99" w14:textId="77777777" w:rsidR="006B44B6" w:rsidRDefault="00FF6CF1">
      <w:r>
        <w:t>Confidentiality is another important administrative responsibility. The Week 7 material identifies the Data Protection Act 2018, UK GDPR and the Common Law Duty of Confidentiality as key parts of the legal framework for handling service-user information. Personal information must be processed fairly, lawfully and transparently (NHS Digital, 2022). Mrs Thompson’s health information, medication details, dementia-related information and care records should therefore only be accessed or shared for legitimate pr</w:t>
      </w:r>
      <w:r>
        <w:t>ofessional purposes. Staff should follow organisational confidentiality and information-governance policies and use secure systems when storing or communicating information.</w:t>
      </w:r>
    </w:p>
    <w:p w14:paraId="0081B628" w14:textId="77777777" w:rsidR="006B44B6" w:rsidRDefault="00FF6CF1">
      <w:r>
        <w:t>The principles of data protection also require professionals to use information appropriately and protect it from unauthorised access, loss or disclosure. The Week 7 teaching material explains that data protection applies to identifiable information held in written or electronic form and that individuals have rights concerning information held about them and how it is used. Confidential information should normally remain private, but it can be shared where this is necessary for safe and effective care, wher</w:t>
      </w:r>
      <w:r>
        <w:t>e there is appropriate consent, or where safeguarding or legal requirements justify disclosure. Therefore, information about Mrs Thompson’s missed medication should be shared with professionals who need it to assess and manage the risk, but not with people who have no legitimate reason to receive it.</w:t>
      </w:r>
    </w:p>
    <w:p w14:paraId="0B35D674" w14:textId="77777777" w:rsidR="006B44B6" w:rsidRDefault="00FF6CF1">
      <w:r>
        <w:t>The incident record should consequently be accurate, factual and securely stored, with access restricted to authorised staff. Good administration also means following up the requested medication review, documenting actions taken and recording any changes to Mrs Thompson’s care plan. This creates an auditable record and supports continuity of care. In this way, record keeping and data protection are not simply administrative tasks; they are professional responsibilities that contribute directly to Mrs Thomps</w:t>
      </w:r>
      <w:r>
        <w:t>on’s safety, dignity, confidentiality and quality of care.</w:t>
      </w:r>
    </w:p>
    <w:p w14:paraId="2B70E347" w14:textId="77777777" w:rsidR="006B44B6" w:rsidRDefault="00FF6CF1">
      <w:pPr>
        <w:pStyle w:val="Heading1"/>
      </w:pPr>
      <w:r>
        <w:lastRenderedPageBreak/>
        <w:t>3. Collaborative working with other professionals</w:t>
      </w:r>
    </w:p>
    <w:p w14:paraId="24CBF68B" w14:textId="77777777" w:rsidR="006B44B6" w:rsidRDefault="00FF6CF1">
      <w:r>
        <w:t>Collaborative working is important in Mrs Thompson’s case because no single professional is likely to have all the information or skills required to address her health, medication and safety needs. The GP can review her medication and monitor her recovery from pneumonia. The community or district nurse can assess her health and communicate changes to other professionals. Domiciliary care workers have regular contact with Mrs Thompson and can identify changes in her medication adherence, confusion, presentat</w:t>
      </w:r>
      <w:r>
        <w:t>ion or safety. Where involved, a speech and language therapist may contribute to assessment and support relating to communication or other identified needs. The local authority also has responsibilities where concerns about her welfare or safeguarding are being reviewed.</w:t>
      </w:r>
    </w:p>
    <w:p w14:paraId="3FBE093A" w14:textId="77777777" w:rsidR="006B44B6" w:rsidRDefault="00FF6CF1">
      <w:r>
        <w:t>Effective collaboration requires clear communication, agreed roles and responsibilities, accurate record keeping and appropriate information sharing. Shared care plans, referrals, multidisciplinary discussions and clear escalation procedures can help professionals develop a common understanding of Mrs Thompson’s needs. Partnership working is important because integrated care depends on professionals and organisations working together around the individual rather than operating separately (Glasby and Dickins</w:t>
      </w:r>
      <w:r>
        <w:t>on, 2014).</w:t>
      </w:r>
    </w:p>
    <w:p w14:paraId="7874C647" w14:textId="77777777" w:rsidR="006B44B6" w:rsidRDefault="00FF6CF1">
      <w:r>
        <w:t>Common challenges include poor communication, delays in sharing information, unclear responsibilities, different organisational procedures and concerns about confidentiality. These can be reduced through regular communication, clear documentation, agreed responsibilities and secure information-sharing processes. Professionals should respect each other’s expertise and raise concerns promptly when risks are identified. In Mrs Thompson’s case, the missed medication and the incident involving inappropriate clot</w:t>
      </w:r>
      <w:r>
        <w:t>hing should be communicated to the appropriate professionals so that risks can be assessed rather than treated as isolated events. A coordinated approach can help identify whether her current support remains appropriate and can promote safer, more consistent and person-</w:t>
      </w:r>
      <w:proofErr w:type="spellStart"/>
      <w:r>
        <w:t>centred</w:t>
      </w:r>
      <w:proofErr w:type="spellEnd"/>
      <w:r>
        <w:t xml:space="preserve"> care.</w:t>
      </w:r>
    </w:p>
    <w:p w14:paraId="4FE334A4" w14:textId="77777777" w:rsidR="001E15F2" w:rsidRDefault="001E15F2"/>
    <w:p w14:paraId="4B51A906" w14:textId="77777777" w:rsidR="001E15F2" w:rsidRDefault="001E15F2"/>
    <w:p w14:paraId="7B585A8A" w14:textId="77777777" w:rsidR="001E15F2" w:rsidRDefault="001E15F2"/>
    <w:p w14:paraId="32E78FF9" w14:textId="77777777" w:rsidR="006B44B6" w:rsidRDefault="00FF6CF1">
      <w:pPr>
        <w:pStyle w:val="Heading1"/>
      </w:pPr>
      <w:r>
        <w:lastRenderedPageBreak/>
        <w:t>Conclusion</w:t>
      </w:r>
    </w:p>
    <w:p w14:paraId="788B18CC" w14:textId="77777777" w:rsidR="006B44B6" w:rsidRDefault="00FF6CF1">
      <w:r>
        <w:t>Mrs Thompson’s case demonstrates how communication, administration and collaborative working are interconnected within safe health and social care practice. Effective communication should be clear, inclusive and person-centred, with staff adapting their approach to Mrs Thompson’s dementia, communication needs and individual preferences. Berlo’s SMCR model provides a useful way of considering the sender, message, channel and receiver and the factors that may affect understanding. The Equality Act 2010 also r</w:t>
      </w:r>
      <w:r>
        <w:t>equires professionals to avoid discrimination and respect Mrs Thompson’s dignity and individual circumstances. Accurate record keeping is equally important because records provide evidence of care, support continuity and help professionals identify and respond to risks. The Data Protection Act 2018, UK GDPR and confidentiality requirements mean that her information must be handled lawfully, securely and appropriately. Finally, effective collaboration between the GP, nursing professionals, domiciliary care w</w:t>
      </w:r>
      <w:r>
        <w:t xml:space="preserve">orkers and other relevant services can ensure that information and expertise are combined. Together, these practices can support safer, accountable and person-centred care for </w:t>
      </w:r>
      <w:proofErr w:type="spellStart"/>
      <w:r>
        <w:t>Mrs</w:t>
      </w:r>
      <w:proofErr w:type="spellEnd"/>
      <w:r>
        <w:t xml:space="preserve"> Thompson.</w:t>
      </w:r>
    </w:p>
    <w:p w14:paraId="043DCCB1" w14:textId="77777777" w:rsidR="001E15F2" w:rsidRDefault="001E15F2"/>
    <w:p w14:paraId="74351720" w14:textId="77777777" w:rsidR="001E15F2" w:rsidRDefault="001E15F2"/>
    <w:p w14:paraId="2A86E62F" w14:textId="77777777" w:rsidR="001E15F2" w:rsidRDefault="001E15F2"/>
    <w:p w14:paraId="79E37939" w14:textId="77777777" w:rsidR="001E15F2" w:rsidRDefault="001E15F2"/>
    <w:p w14:paraId="0C06E681" w14:textId="77777777" w:rsidR="001E15F2" w:rsidRDefault="001E15F2"/>
    <w:p w14:paraId="5D3BD5B6" w14:textId="77777777" w:rsidR="001E15F2" w:rsidRDefault="001E15F2"/>
    <w:p w14:paraId="3B2F2AEE" w14:textId="77777777" w:rsidR="001E15F2" w:rsidRDefault="001E15F2"/>
    <w:p w14:paraId="50F83705" w14:textId="77777777" w:rsidR="001E15F2" w:rsidRDefault="001E15F2"/>
    <w:p w14:paraId="5347604D" w14:textId="77777777" w:rsidR="001E15F2" w:rsidRDefault="001E15F2"/>
    <w:p w14:paraId="4905B8D1" w14:textId="77777777" w:rsidR="001E15F2" w:rsidRDefault="001E15F2"/>
    <w:p w14:paraId="602F3964" w14:textId="77777777" w:rsidR="001E15F2" w:rsidRDefault="001E15F2"/>
    <w:p w14:paraId="7EE344E0" w14:textId="77777777" w:rsidR="001E15F2" w:rsidRDefault="001E15F2"/>
    <w:p w14:paraId="0B014777" w14:textId="77777777" w:rsidR="001E15F2" w:rsidRDefault="001E15F2"/>
    <w:p w14:paraId="09DB6F73" w14:textId="77777777" w:rsidR="001E15F2" w:rsidRDefault="001E15F2"/>
    <w:p w14:paraId="764E820A" w14:textId="77777777" w:rsidR="001E15F2" w:rsidRDefault="001E15F2"/>
    <w:p w14:paraId="6DC0DA4C" w14:textId="77777777" w:rsidR="001E15F2" w:rsidRDefault="001E15F2"/>
    <w:p w14:paraId="433713D5" w14:textId="77777777" w:rsidR="001E15F2" w:rsidRDefault="001E15F2"/>
    <w:p w14:paraId="0B43460B" w14:textId="77777777" w:rsidR="006B44B6" w:rsidRDefault="00FF6CF1">
      <w:pPr>
        <w:pStyle w:val="Heading1"/>
      </w:pPr>
      <w:r>
        <w:t>References</w:t>
      </w:r>
    </w:p>
    <w:p w14:paraId="084F6208" w14:textId="77777777" w:rsidR="001E15F2" w:rsidRPr="001E15F2" w:rsidRDefault="001E15F2" w:rsidP="001E15F2">
      <w:pPr>
        <w:spacing w:before="100" w:beforeAutospacing="1" w:after="100" w:afterAutospacing="1" w:line="240" w:lineRule="auto"/>
        <w:outlineLvl w:val="2"/>
        <w:rPr>
          <w:rFonts w:ascii="Times New Roman" w:eastAsia="Times New Roman" w:hAnsi="Times New Roman" w:cs="Times New Roman"/>
          <w:b/>
          <w:bCs/>
          <w:sz w:val="27"/>
          <w:szCs w:val="27"/>
          <w:lang w:val="en-GB" w:eastAsia="en-GB"/>
        </w:rPr>
      </w:pPr>
      <w:r w:rsidRPr="001E15F2">
        <w:rPr>
          <w:rFonts w:ascii="Times New Roman" w:eastAsia="Times New Roman" w:hAnsi="Times New Roman" w:cs="Times New Roman"/>
          <w:b/>
          <w:bCs/>
          <w:sz w:val="27"/>
          <w:szCs w:val="27"/>
          <w:lang w:val="en-GB" w:eastAsia="en-GB"/>
        </w:rPr>
        <w:t>References</w:t>
      </w:r>
    </w:p>
    <w:p w14:paraId="68708972"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Berlo, D.K. (1960) </w:t>
      </w:r>
      <w:r w:rsidRPr="001E15F2">
        <w:rPr>
          <w:rFonts w:ascii="Times New Roman" w:eastAsia="Times New Roman" w:hAnsi="Times New Roman" w:cs="Times New Roman"/>
          <w:i/>
          <w:iCs/>
          <w:sz w:val="24"/>
          <w:szCs w:val="24"/>
          <w:lang w:val="en-GB" w:eastAsia="en-GB"/>
        </w:rPr>
        <w:t>The Process of Communication</w:t>
      </w:r>
      <w:r w:rsidRPr="001E15F2">
        <w:rPr>
          <w:rFonts w:ascii="Times New Roman" w:eastAsia="Times New Roman" w:hAnsi="Times New Roman" w:cs="Times New Roman"/>
          <w:sz w:val="24"/>
          <w:szCs w:val="24"/>
          <w:lang w:val="en-GB" w:eastAsia="en-GB"/>
        </w:rPr>
        <w:t xml:space="preserve">. New York: Holt, Rinehart and Winston. Available at: </w:t>
      </w:r>
      <w:hyperlink r:id="rId9" w:history="1">
        <w:r w:rsidRPr="001E15F2">
          <w:rPr>
            <w:rFonts w:ascii="Times New Roman" w:eastAsia="Times New Roman" w:hAnsi="Times New Roman" w:cs="Times New Roman"/>
            <w:color w:val="0000FF"/>
            <w:sz w:val="24"/>
            <w:szCs w:val="24"/>
            <w:u w:val="single"/>
            <w:lang w:val="en-GB" w:eastAsia="en-GB"/>
          </w:rPr>
          <w:t>https://archive.org/</w:t>
        </w:r>
      </w:hyperlink>
      <w:r w:rsidRPr="001E15F2">
        <w:rPr>
          <w:rFonts w:ascii="Times New Roman" w:eastAsia="Times New Roman" w:hAnsi="Times New Roman" w:cs="Times New Roman"/>
          <w:sz w:val="24"/>
          <w:szCs w:val="24"/>
          <w:lang w:val="en-GB" w:eastAsia="en-GB"/>
        </w:rPr>
        <w:t xml:space="preserve"> (Accessed: 13 August 2026).</w:t>
      </w:r>
    </w:p>
    <w:p w14:paraId="4055D1A0"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Care Act 2014 (2014) </w:t>
      </w:r>
      <w:r w:rsidRPr="001E15F2">
        <w:rPr>
          <w:rFonts w:ascii="Times New Roman" w:eastAsia="Times New Roman" w:hAnsi="Times New Roman" w:cs="Times New Roman"/>
          <w:i/>
          <w:iCs/>
          <w:sz w:val="24"/>
          <w:szCs w:val="24"/>
          <w:lang w:val="en-GB" w:eastAsia="en-GB"/>
        </w:rPr>
        <w:t>Care Act 2014</w:t>
      </w:r>
      <w:r w:rsidRPr="001E15F2">
        <w:rPr>
          <w:rFonts w:ascii="Times New Roman" w:eastAsia="Times New Roman" w:hAnsi="Times New Roman" w:cs="Times New Roman"/>
          <w:sz w:val="24"/>
          <w:szCs w:val="24"/>
          <w:lang w:val="en-GB" w:eastAsia="en-GB"/>
        </w:rPr>
        <w:t xml:space="preserve">. London: The Stationery Office. Available at: </w:t>
      </w:r>
      <w:hyperlink r:id="rId10" w:history="1">
        <w:r w:rsidRPr="001E15F2">
          <w:rPr>
            <w:rFonts w:ascii="Times New Roman" w:eastAsia="Times New Roman" w:hAnsi="Times New Roman" w:cs="Times New Roman"/>
            <w:color w:val="0000FF"/>
            <w:sz w:val="24"/>
            <w:szCs w:val="24"/>
            <w:u w:val="single"/>
            <w:lang w:val="en-GB" w:eastAsia="en-GB"/>
          </w:rPr>
          <w:t>https://www.legislation.gov.uk/ukpga/2014/23/contents</w:t>
        </w:r>
      </w:hyperlink>
      <w:r w:rsidRPr="001E15F2">
        <w:rPr>
          <w:rFonts w:ascii="Times New Roman" w:eastAsia="Times New Roman" w:hAnsi="Times New Roman" w:cs="Times New Roman"/>
          <w:sz w:val="24"/>
          <w:szCs w:val="24"/>
          <w:lang w:val="en-GB" w:eastAsia="en-GB"/>
        </w:rPr>
        <w:t xml:space="preserve"> (Accessed: 13 August 2026).</w:t>
      </w:r>
    </w:p>
    <w:p w14:paraId="3757C097"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Data Protection Act 2018 (2018) </w:t>
      </w:r>
      <w:r w:rsidRPr="001E15F2">
        <w:rPr>
          <w:rFonts w:ascii="Times New Roman" w:eastAsia="Times New Roman" w:hAnsi="Times New Roman" w:cs="Times New Roman"/>
          <w:i/>
          <w:iCs/>
          <w:sz w:val="24"/>
          <w:szCs w:val="24"/>
          <w:lang w:val="en-GB" w:eastAsia="en-GB"/>
        </w:rPr>
        <w:t>Data Protection Act 2018</w:t>
      </w:r>
      <w:r w:rsidRPr="001E15F2">
        <w:rPr>
          <w:rFonts w:ascii="Times New Roman" w:eastAsia="Times New Roman" w:hAnsi="Times New Roman" w:cs="Times New Roman"/>
          <w:sz w:val="24"/>
          <w:szCs w:val="24"/>
          <w:lang w:val="en-GB" w:eastAsia="en-GB"/>
        </w:rPr>
        <w:t xml:space="preserve">. London: The Stationery Office. Available at: </w:t>
      </w:r>
      <w:hyperlink r:id="rId11" w:history="1">
        <w:r w:rsidRPr="001E15F2">
          <w:rPr>
            <w:rFonts w:ascii="Times New Roman" w:eastAsia="Times New Roman" w:hAnsi="Times New Roman" w:cs="Times New Roman"/>
            <w:color w:val="0000FF"/>
            <w:sz w:val="24"/>
            <w:szCs w:val="24"/>
            <w:u w:val="single"/>
            <w:lang w:val="en-GB" w:eastAsia="en-GB"/>
          </w:rPr>
          <w:t>https://www.legislation.gov.uk/ukpga/2018/12/contents</w:t>
        </w:r>
      </w:hyperlink>
      <w:r w:rsidRPr="001E15F2">
        <w:rPr>
          <w:rFonts w:ascii="Times New Roman" w:eastAsia="Times New Roman" w:hAnsi="Times New Roman" w:cs="Times New Roman"/>
          <w:sz w:val="24"/>
          <w:szCs w:val="24"/>
          <w:lang w:val="en-GB" w:eastAsia="en-GB"/>
        </w:rPr>
        <w:t xml:space="preserve"> (Accessed: 13 August 2026).</w:t>
      </w:r>
    </w:p>
    <w:p w14:paraId="3C84360D"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Equality Act 2010 (2010) </w:t>
      </w:r>
      <w:r w:rsidRPr="001E15F2">
        <w:rPr>
          <w:rFonts w:ascii="Times New Roman" w:eastAsia="Times New Roman" w:hAnsi="Times New Roman" w:cs="Times New Roman"/>
          <w:i/>
          <w:iCs/>
          <w:sz w:val="24"/>
          <w:szCs w:val="24"/>
          <w:lang w:val="en-GB" w:eastAsia="en-GB"/>
        </w:rPr>
        <w:t>Equality Act 2010</w:t>
      </w:r>
      <w:r w:rsidRPr="001E15F2">
        <w:rPr>
          <w:rFonts w:ascii="Times New Roman" w:eastAsia="Times New Roman" w:hAnsi="Times New Roman" w:cs="Times New Roman"/>
          <w:sz w:val="24"/>
          <w:szCs w:val="24"/>
          <w:lang w:val="en-GB" w:eastAsia="en-GB"/>
        </w:rPr>
        <w:t xml:space="preserve">. London: The Stationery Office. Available at: </w:t>
      </w:r>
      <w:hyperlink r:id="rId12" w:history="1">
        <w:r w:rsidRPr="001E15F2">
          <w:rPr>
            <w:rFonts w:ascii="Times New Roman" w:eastAsia="Times New Roman" w:hAnsi="Times New Roman" w:cs="Times New Roman"/>
            <w:color w:val="0000FF"/>
            <w:sz w:val="24"/>
            <w:szCs w:val="24"/>
            <w:u w:val="single"/>
            <w:lang w:val="en-GB" w:eastAsia="en-GB"/>
          </w:rPr>
          <w:t>https://www.legislation.gov.uk/ukpga/2010/15/contents</w:t>
        </w:r>
      </w:hyperlink>
      <w:r w:rsidRPr="001E15F2">
        <w:rPr>
          <w:rFonts w:ascii="Times New Roman" w:eastAsia="Times New Roman" w:hAnsi="Times New Roman" w:cs="Times New Roman"/>
          <w:sz w:val="24"/>
          <w:szCs w:val="24"/>
          <w:lang w:val="en-GB" w:eastAsia="en-GB"/>
        </w:rPr>
        <w:t xml:space="preserve"> (Accessed: 13 August 2026).</w:t>
      </w:r>
    </w:p>
    <w:p w14:paraId="371A585B"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Glasby, J. (2017) </w:t>
      </w:r>
      <w:r w:rsidRPr="001E15F2">
        <w:rPr>
          <w:rFonts w:ascii="Times New Roman" w:eastAsia="Times New Roman" w:hAnsi="Times New Roman" w:cs="Times New Roman"/>
          <w:i/>
          <w:iCs/>
          <w:sz w:val="24"/>
          <w:szCs w:val="24"/>
          <w:lang w:val="en-GB" w:eastAsia="en-GB"/>
        </w:rPr>
        <w:t>Understanding Health and Social Care</w:t>
      </w:r>
      <w:r w:rsidRPr="001E15F2">
        <w:rPr>
          <w:rFonts w:ascii="Times New Roman" w:eastAsia="Times New Roman" w:hAnsi="Times New Roman" w:cs="Times New Roman"/>
          <w:sz w:val="24"/>
          <w:szCs w:val="24"/>
          <w:lang w:val="en-GB" w:eastAsia="en-GB"/>
        </w:rPr>
        <w:t xml:space="preserve">. 3rd </w:t>
      </w:r>
      <w:proofErr w:type="spellStart"/>
      <w:r w:rsidRPr="001E15F2">
        <w:rPr>
          <w:rFonts w:ascii="Times New Roman" w:eastAsia="Times New Roman" w:hAnsi="Times New Roman" w:cs="Times New Roman"/>
          <w:sz w:val="24"/>
          <w:szCs w:val="24"/>
          <w:lang w:val="en-GB" w:eastAsia="en-GB"/>
        </w:rPr>
        <w:t>edn</w:t>
      </w:r>
      <w:proofErr w:type="spellEnd"/>
      <w:r w:rsidRPr="001E15F2">
        <w:rPr>
          <w:rFonts w:ascii="Times New Roman" w:eastAsia="Times New Roman" w:hAnsi="Times New Roman" w:cs="Times New Roman"/>
          <w:sz w:val="24"/>
          <w:szCs w:val="24"/>
          <w:lang w:val="en-GB" w:eastAsia="en-GB"/>
        </w:rPr>
        <w:t>. Bristol: Policy Press.</w:t>
      </w:r>
    </w:p>
    <w:p w14:paraId="08BC676A"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Glasby, J. and Dickinson, H. (2014) </w:t>
      </w:r>
      <w:r w:rsidRPr="001E15F2">
        <w:rPr>
          <w:rFonts w:ascii="Times New Roman" w:eastAsia="Times New Roman" w:hAnsi="Times New Roman" w:cs="Times New Roman"/>
          <w:i/>
          <w:iCs/>
          <w:sz w:val="24"/>
          <w:szCs w:val="24"/>
          <w:lang w:val="en-GB" w:eastAsia="en-GB"/>
        </w:rPr>
        <w:t>Partnership Working in Health and Social Care: What Is Integrated Care and How Can We Deliver It?</w:t>
      </w:r>
      <w:r w:rsidRPr="001E15F2">
        <w:rPr>
          <w:rFonts w:ascii="Times New Roman" w:eastAsia="Times New Roman" w:hAnsi="Times New Roman" w:cs="Times New Roman"/>
          <w:sz w:val="24"/>
          <w:szCs w:val="24"/>
          <w:lang w:val="en-GB" w:eastAsia="en-GB"/>
        </w:rPr>
        <w:t xml:space="preserve"> Bristol: Policy Press.</w:t>
      </w:r>
    </w:p>
    <w:p w14:paraId="3ED80481"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Hoyle, V., Shepherd, E., Flinn, A. and Lomas, E. (2019) ‘Child social care recording &amp; the information rights of care experienced people: A record keeping perspective’, </w:t>
      </w:r>
      <w:r w:rsidRPr="001E15F2">
        <w:rPr>
          <w:rFonts w:ascii="Times New Roman" w:eastAsia="Times New Roman" w:hAnsi="Times New Roman" w:cs="Times New Roman"/>
          <w:i/>
          <w:iCs/>
          <w:sz w:val="24"/>
          <w:szCs w:val="24"/>
          <w:lang w:val="en-GB" w:eastAsia="en-GB"/>
        </w:rPr>
        <w:t>British Journal of Social Work</w:t>
      </w:r>
      <w:r w:rsidRPr="001E15F2">
        <w:rPr>
          <w:rFonts w:ascii="Times New Roman" w:eastAsia="Times New Roman" w:hAnsi="Times New Roman" w:cs="Times New Roman"/>
          <w:sz w:val="24"/>
          <w:szCs w:val="24"/>
          <w:lang w:val="en-GB" w:eastAsia="en-GB"/>
        </w:rPr>
        <w:t xml:space="preserve">, 49(7), pp. 1856–1874. Available at: </w:t>
      </w:r>
      <w:hyperlink r:id="rId13" w:history="1">
        <w:r w:rsidRPr="001E15F2">
          <w:rPr>
            <w:rFonts w:ascii="Times New Roman" w:eastAsia="Times New Roman" w:hAnsi="Times New Roman" w:cs="Times New Roman"/>
            <w:color w:val="0000FF"/>
            <w:sz w:val="24"/>
            <w:szCs w:val="24"/>
            <w:u w:val="single"/>
            <w:lang w:val="en-GB" w:eastAsia="en-GB"/>
          </w:rPr>
          <w:t>https://doi.org/10.1093/bjsw/bcz044</w:t>
        </w:r>
      </w:hyperlink>
      <w:r w:rsidRPr="001E15F2">
        <w:rPr>
          <w:rFonts w:ascii="Times New Roman" w:eastAsia="Times New Roman" w:hAnsi="Times New Roman" w:cs="Times New Roman"/>
          <w:sz w:val="24"/>
          <w:szCs w:val="24"/>
          <w:lang w:val="en-GB" w:eastAsia="en-GB"/>
        </w:rPr>
        <w:t xml:space="preserve"> (Accessed: 13 August 2026).</w:t>
      </w:r>
    </w:p>
    <w:p w14:paraId="0031AF25"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Lee, E. (2021) </w:t>
      </w:r>
      <w:r w:rsidRPr="001E15F2">
        <w:rPr>
          <w:rFonts w:ascii="Times New Roman" w:eastAsia="Times New Roman" w:hAnsi="Times New Roman" w:cs="Times New Roman"/>
          <w:i/>
          <w:iCs/>
          <w:sz w:val="24"/>
          <w:szCs w:val="24"/>
          <w:lang w:val="en-GB" w:eastAsia="en-GB"/>
        </w:rPr>
        <w:t>Effective Communication in Health and Social Care</w:t>
      </w:r>
      <w:r w:rsidRPr="001E15F2">
        <w:rPr>
          <w:rFonts w:ascii="Times New Roman" w:eastAsia="Times New Roman" w:hAnsi="Times New Roman" w:cs="Times New Roman"/>
          <w:sz w:val="24"/>
          <w:szCs w:val="24"/>
          <w:lang w:val="en-GB" w:eastAsia="en-GB"/>
        </w:rPr>
        <w:t>. Available via CPD Online.</w:t>
      </w:r>
    </w:p>
    <w:p w14:paraId="0D18CF99"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NHS Digital (2022) </w:t>
      </w:r>
      <w:r w:rsidRPr="001E15F2">
        <w:rPr>
          <w:rFonts w:ascii="Times New Roman" w:eastAsia="Times New Roman" w:hAnsi="Times New Roman" w:cs="Times New Roman"/>
          <w:i/>
          <w:iCs/>
          <w:sz w:val="24"/>
          <w:szCs w:val="24"/>
          <w:lang w:val="en-GB" w:eastAsia="en-GB"/>
        </w:rPr>
        <w:t>Protecting Patient Data</w:t>
      </w:r>
      <w:r w:rsidRPr="001E15F2">
        <w:rPr>
          <w:rFonts w:ascii="Times New Roman" w:eastAsia="Times New Roman" w:hAnsi="Times New Roman" w:cs="Times New Roman"/>
          <w:sz w:val="24"/>
          <w:szCs w:val="24"/>
          <w:lang w:val="en-GB" w:eastAsia="en-GB"/>
        </w:rPr>
        <w:t xml:space="preserve">. Available at: </w:t>
      </w:r>
      <w:hyperlink r:id="rId14" w:history="1">
        <w:r w:rsidRPr="001E15F2">
          <w:rPr>
            <w:rFonts w:ascii="Times New Roman" w:eastAsia="Times New Roman" w:hAnsi="Times New Roman" w:cs="Times New Roman"/>
            <w:color w:val="0000FF"/>
            <w:sz w:val="24"/>
            <w:szCs w:val="24"/>
            <w:u w:val="single"/>
            <w:lang w:val="en-GB" w:eastAsia="en-GB"/>
          </w:rPr>
          <w:t>https://digital.nhs.uk/</w:t>
        </w:r>
      </w:hyperlink>
      <w:r w:rsidRPr="001E15F2">
        <w:rPr>
          <w:rFonts w:ascii="Times New Roman" w:eastAsia="Times New Roman" w:hAnsi="Times New Roman" w:cs="Times New Roman"/>
          <w:sz w:val="24"/>
          <w:szCs w:val="24"/>
          <w:lang w:val="en-GB" w:eastAsia="en-GB"/>
        </w:rPr>
        <w:t xml:space="preserve"> (Accessed: 13 August 2026).</w:t>
      </w:r>
    </w:p>
    <w:p w14:paraId="0BE0DA0F"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NHS England (2021) </w:t>
      </w:r>
      <w:r w:rsidRPr="001E15F2">
        <w:rPr>
          <w:rFonts w:ascii="Times New Roman" w:eastAsia="Times New Roman" w:hAnsi="Times New Roman" w:cs="Times New Roman"/>
          <w:i/>
          <w:iCs/>
          <w:sz w:val="24"/>
          <w:szCs w:val="24"/>
          <w:lang w:val="en-GB" w:eastAsia="en-GB"/>
        </w:rPr>
        <w:t>Improving Communication Between Health Care Professionals and Patients in the NHS in England</w:t>
      </w:r>
      <w:r w:rsidRPr="001E15F2">
        <w:rPr>
          <w:rFonts w:ascii="Times New Roman" w:eastAsia="Times New Roman" w:hAnsi="Times New Roman" w:cs="Times New Roman"/>
          <w:sz w:val="24"/>
          <w:szCs w:val="24"/>
          <w:lang w:val="en-GB" w:eastAsia="en-GB"/>
        </w:rPr>
        <w:t xml:space="preserve">. Available at: </w:t>
      </w:r>
      <w:hyperlink r:id="rId15" w:history="1">
        <w:r w:rsidRPr="001E15F2">
          <w:rPr>
            <w:rFonts w:ascii="Times New Roman" w:eastAsia="Times New Roman" w:hAnsi="Times New Roman" w:cs="Times New Roman"/>
            <w:color w:val="0000FF"/>
            <w:sz w:val="24"/>
            <w:szCs w:val="24"/>
            <w:u w:val="single"/>
            <w:lang w:val="en-GB" w:eastAsia="en-GB"/>
          </w:rPr>
          <w:t>https://www.england.nhs.uk/publication/improving-communication-between-health-care-professionals-and-patients-in-the-nhs-in-england/</w:t>
        </w:r>
      </w:hyperlink>
      <w:r w:rsidRPr="001E15F2">
        <w:rPr>
          <w:rFonts w:ascii="Times New Roman" w:eastAsia="Times New Roman" w:hAnsi="Times New Roman" w:cs="Times New Roman"/>
          <w:sz w:val="24"/>
          <w:szCs w:val="24"/>
          <w:lang w:val="en-GB" w:eastAsia="en-GB"/>
        </w:rPr>
        <w:t xml:space="preserve"> (Accessed: 13 August 2026).</w:t>
      </w:r>
    </w:p>
    <w:p w14:paraId="4C1A1927"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t xml:space="preserve">SCIE (2023) </w:t>
      </w:r>
      <w:r w:rsidRPr="001E15F2">
        <w:rPr>
          <w:rFonts w:ascii="Times New Roman" w:eastAsia="Times New Roman" w:hAnsi="Times New Roman" w:cs="Times New Roman"/>
          <w:i/>
          <w:iCs/>
          <w:sz w:val="24"/>
          <w:szCs w:val="24"/>
          <w:lang w:val="en-GB" w:eastAsia="en-GB"/>
        </w:rPr>
        <w:t>Social Care Recording</w:t>
      </w:r>
      <w:r w:rsidRPr="001E15F2">
        <w:rPr>
          <w:rFonts w:ascii="Times New Roman" w:eastAsia="Times New Roman" w:hAnsi="Times New Roman" w:cs="Times New Roman"/>
          <w:sz w:val="24"/>
          <w:szCs w:val="24"/>
          <w:lang w:val="en-GB" w:eastAsia="en-GB"/>
        </w:rPr>
        <w:t xml:space="preserve">. Social Care Institute for Excellence. Available at: </w:t>
      </w:r>
      <w:hyperlink r:id="rId16" w:history="1">
        <w:r w:rsidRPr="001E15F2">
          <w:rPr>
            <w:rFonts w:ascii="Times New Roman" w:eastAsia="Times New Roman" w:hAnsi="Times New Roman" w:cs="Times New Roman"/>
            <w:color w:val="0000FF"/>
            <w:sz w:val="24"/>
            <w:szCs w:val="24"/>
            <w:u w:val="single"/>
            <w:lang w:val="en-GB" w:eastAsia="en-GB"/>
          </w:rPr>
          <w:t>https://www.scie.org.uk/social-care-recording/</w:t>
        </w:r>
      </w:hyperlink>
      <w:r w:rsidRPr="001E15F2">
        <w:rPr>
          <w:rFonts w:ascii="Times New Roman" w:eastAsia="Times New Roman" w:hAnsi="Times New Roman" w:cs="Times New Roman"/>
          <w:sz w:val="24"/>
          <w:szCs w:val="24"/>
          <w:lang w:val="en-GB" w:eastAsia="en-GB"/>
        </w:rPr>
        <w:t xml:space="preserve"> (Accessed: 13 August 2026).</w:t>
      </w:r>
    </w:p>
    <w:p w14:paraId="2043C218" w14:textId="77777777" w:rsidR="001E15F2" w:rsidRPr="001E15F2" w:rsidRDefault="001E15F2" w:rsidP="001E15F2">
      <w:pPr>
        <w:spacing w:before="100" w:beforeAutospacing="1" w:after="100" w:afterAutospacing="1" w:line="240" w:lineRule="auto"/>
        <w:rPr>
          <w:rFonts w:ascii="Times New Roman" w:eastAsia="Times New Roman" w:hAnsi="Times New Roman" w:cs="Times New Roman"/>
          <w:sz w:val="24"/>
          <w:szCs w:val="24"/>
          <w:lang w:val="en-GB" w:eastAsia="en-GB"/>
        </w:rPr>
      </w:pPr>
      <w:r w:rsidRPr="001E15F2">
        <w:rPr>
          <w:rFonts w:ascii="Times New Roman" w:eastAsia="Times New Roman" w:hAnsi="Times New Roman" w:cs="Times New Roman"/>
          <w:sz w:val="24"/>
          <w:szCs w:val="24"/>
          <w:lang w:val="en-GB" w:eastAsia="en-GB"/>
        </w:rPr>
        <w:lastRenderedPageBreak/>
        <w:t xml:space="preserve">UK GDPR (2018) </w:t>
      </w:r>
      <w:r w:rsidRPr="001E15F2">
        <w:rPr>
          <w:rFonts w:ascii="Times New Roman" w:eastAsia="Times New Roman" w:hAnsi="Times New Roman" w:cs="Times New Roman"/>
          <w:i/>
          <w:iCs/>
          <w:sz w:val="24"/>
          <w:szCs w:val="24"/>
          <w:lang w:val="en-GB" w:eastAsia="en-GB"/>
        </w:rPr>
        <w:t>United Kingdom General Data Protection Regulation</w:t>
      </w:r>
      <w:r w:rsidRPr="001E15F2">
        <w:rPr>
          <w:rFonts w:ascii="Times New Roman" w:eastAsia="Times New Roman" w:hAnsi="Times New Roman" w:cs="Times New Roman"/>
          <w:sz w:val="24"/>
          <w:szCs w:val="24"/>
          <w:lang w:val="en-GB" w:eastAsia="en-GB"/>
        </w:rPr>
        <w:t xml:space="preserve">. Available at: </w:t>
      </w:r>
      <w:hyperlink r:id="rId17" w:history="1">
        <w:r w:rsidRPr="001E15F2">
          <w:rPr>
            <w:rFonts w:ascii="Times New Roman" w:eastAsia="Times New Roman" w:hAnsi="Times New Roman" w:cs="Times New Roman"/>
            <w:color w:val="0000FF"/>
            <w:sz w:val="24"/>
            <w:szCs w:val="24"/>
            <w:u w:val="single"/>
            <w:lang w:val="en-GB" w:eastAsia="en-GB"/>
          </w:rPr>
          <w:t>https://www.gov.uk/data-protection</w:t>
        </w:r>
      </w:hyperlink>
      <w:r w:rsidRPr="001E15F2">
        <w:rPr>
          <w:rFonts w:ascii="Times New Roman" w:eastAsia="Times New Roman" w:hAnsi="Times New Roman" w:cs="Times New Roman"/>
          <w:sz w:val="24"/>
          <w:szCs w:val="24"/>
          <w:lang w:val="en-GB" w:eastAsia="en-GB"/>
        </w:rPr>
        <w:t xml:space="preserve"> (Accessed: 13 August 2026).</w:t>
      </w:r>
    </w:p>
    <w:p w14:paraId="7CBE28B8" w14:textId="77777777" w:rsidR="006B44B6" w:rsidRDefault="00FF6CF1">
      <w:r>
        <w:br w:type="page"/>
      </w:r>
    </w:p>
    <w:p w14:paraId="262D28E9" w14:textId="77777777" w:rsidR="006B44B6" w:rsidRDefault="00FF6CF1">
      <w:pPr>
        <w:pStyle w:val="Heading1"/>
      </w:pPr>
      <w:r>
        <w:lastRenderedPageBreak/>
        <w:t>Before submission – student checks</w:t>
      </w:r>
    </w:p>
    <w:p w14:paraId="2D87351B" w14:textId="77777777" w:rsidR="006B44B6" w:rsidRDefault="00FF6CF1">
      <w:pPr>
        <w:pStyle w:val="ListBullet"/>
      </w:pPr>
      <w:r>
        <w:t>Replace the student/tutor details on the title page.</w:t>
      </w:r>
    </w:p>
    <w:p w14:paraId="370D2B12" w14:textId="77777777" w:rsidR="006B44B6" w:rsidRDefault="00FF6CF1">
      <w:pPr>
        <w:pStyle w:val="ListBullet"/>
      </w:pPr>
      <w:r>
        <w:t>Check the final word count in Word. The target is 1,500 words (+/-10%), excluding the reference list and contents/title material.</w:t>
      </w:r>
    </w:p>
    <w:p w14:paraId="0F3A1859" w14:textId="77777777" w:rsidR="006B44B6" w:rsidRDefault="00FF6CF1">
      <w:pPr>
        <w:pStyle w:val="ListBullet"/>
      </w:pPr>
      <w:r>
        <w:t>Compare the final reference details with your university's Cite Them Right/UWTSD Harvard guidance.</w:t>
      </w:r>
    </w:p>
    <w:p w14:paraId="42C4DAC2" w14:textId="77777777" w:rsidR="006B44B6" w:rsidRDefault="00FF6CF1">
      <w:pPr>
        <w:pStyle w:val="ListBullet"/>
      </w:pPr>
      <w:r>
        <w:t>Add any specific sources from your Moodle essential reading list if your tutor requires them.</w:t>
      </w:r>
    </w:p>
    <w:p w14:paraId="150928CF" w14:textId="77777777" w:rsidR="006B44B6" w:rsidRDefault="00FF6CF1">
      <w:pPr>
        <w:pStyle w:val="ListBullet"/>
      </w:pPr>
      <w:r>
        <w:t>Proofread and check that the final submission reflects your own understanding and complies with your university's academic integrity and AI guidance.</w:t>
      </w:r>
    </w:p>
    <w:sectPr w:rsidR="006B44B6"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42758802">
    <w:abstractNumId w:val="8"/>
  </w:num>
  <w:num w:numId="2" w16cid:durableId="678391217">
    <w:abstractNumId w:val="6"/>
  </w:num>
  <w:num w:numId="3" w16cid:durableId="391541132">
    <w:abstractNumId w:val="5"/>
  </w:num>
  <w:num w:numId="4" w16cid:durableId="18629723">
    <w:abstractNumId w:val="4"/>
  </w:num>
  <w:num w:numId="5" w16cid:durableId="1728643503">
    <w:abstractNumId w:val="7"/>
  </w:num>
  <w:num w:numId="6" w16cid:durableId="1834490601">
    <w:abstractNumId w:val="3"/>
  </w:num>
  <w:num w:numId="7" w16cid:durableId="386731891">
    <w:abstractNumId w:val="2"/>
  </w:num>
  <w:num w:numId="8" w16cid:durableId="1367759606">
    <w:abstractNumId w:val="1"/>
  </w:num>
  <w:num w:numId="9" w16cid:durableId="1551572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E15F2"/>
    <w:rsid w:val="0029639D"/>
    <w:rsid w:val="00326F90"/>
    <w:rsid w:val="006B44B6"/>
    <w:rsid w:val="00756D33"/>
    <w:rsid w:val="00AA1D8D"/>
    <w:rsid w:val="00B47730"/>
    <w:rsid w:val="00CB0664"/>
    <w:rsid w:val="00FC693F"/>
    <w:rsid w:val="00FF6CF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8E6D7D"/>
  <w14:defaultImageDpi w14:val="300"/>
  <w15:docId w15:val="{2176E02A-00D0-40EC-89A3-A9BE6B618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93/bjsw/bcz044"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egislation.gov.uk/ukpga/2010/15/contents" TargetMode="External"/><Relationship Id="rId17" Type="http://schemas.openxmlformats.org/officeDocument/2006/relationships/hyperlink" Target="https://www.gov.uk/data-protection" TargetMode="External"/><Relationship Id="rId2" Type="http://schemas.openxmlformats.org/officeDocument/2006/relationships/customXml" Target="../customXml/item2.xml"/><Relationship Id="rId16" Type="http://schemas.openxmlformats.org/officeDocument/2006/relationships/hyperlink" Target="https://www.scie.org.uk/social-care-record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legislation.gov.uk/ukpga/2018/12/contents" TargetMode="External"/><Relationship Id="rId5" Type="http://schemas.openxmlformats.org/officeDocument/2006/relationships/numbering" Target="numbering.xml"/><Relationship Id="rId15" Type="http://schemas.openxmlformats.org/officeDocument/2006/relationships/hyperlink" Target="https://www.england.nhs.uk/publication/improving-communication-between-health-care-professionals-and-patients-in-the-nhs-in-england/" TargetMode="External"/><Relationship Id="rId10" Type="http://schemas.openxmlformats.org/officeDocument/2006/relationships/hyperlink" Target="https://www.legislation.gov.uk/ukpga/2014/23/contents"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archive.org/" TargetMode="External"/><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97b646f1b9946e59f9192c01f8226513">
  <xsd:schema xmlns:xsd="http://www.w3.org/2001/XMLSchema" xmlns:xs="http://www.w3.org/2001/XMLSchema" xmlns:p="http://schemas.microsoft.com/office/2006/metadata/properties" xmlns:ns3="21f98238-5914-40fc-b2db-49ce196065c9" targetNamespace="http://schemas.microsoft.com/office/2006/metadata/properties" ma:root="true" ma:fieldsID="d7bf7ac66862e535360b38ce3f7238b0"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3768A5B2-0243-44B2-968A-E5C74C9B5B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42F0F6-77AA-4A07-9759-7BC2C5354019}">
  <ds:schemaRefs>
    <ds:schemaRef ds:uri="http://schemas.microsoft.com/sharepoint/v3/contenttype/forms"/>
  </ds:schemaRefs>
</ds:datastoreItem>
</file>

<file path=customXml/itemProps4.xml><?xml version="1.0" encoding="utf-8"?>
<ds:datastoreItem xmlns:ds="http://schemas.openxmlformats.org/officeDocument/2006/customXml" ds:itemID="{3D7A5494-7C6A-4A40-B218-FB0EE5F23C3F}">
  <ds:schemaRefs>
    <ds:schemaRef ds:uri="http://schemas.microsoft.com/office/2006/metadata/properties"/>
    <ds:schemaRef ds:uri="http://schemas.microsoft.com/office/infopath/2007/PartnerControls"/>
    <ds:schemaRef ds:uri="21f98238-5914-40fc-b2db-49ce196065c9"/>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2278</Words>
  <Characters>12989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15237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Klarinta Alla (2533087)</cp:lastModifiedBy>
  <cp:revision>2</cp:revision>
  <dcterms:created xsi:type="dcterms:W3CDTF">2026-08-13T21:19:00Z</dcterms:created>
  <dcterms:modified xsi:type="dcterms:W3CDTF">2026-08-13T21:19:00Z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82623af1-dee8-47d0-8624-253730e307a4</vt:lpwstr>
  </property>
  <property fmtid="{D5CDD505-2E9C-101B-9397-08002B2CF9AE}" pid="3" name="ContentTypeId">
    <vt:lpwstr>0x010100DA021E96B5FC724E97FF783D9C73C02D</vt:lpwstr>
  </property>
</Properties>
</file>