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38DE2" w14:textId="054F2D5C" w:rsidR="00A363D3" w:rsidRDefault="00A363D3" w:rsidP="00897C0C">
      <w:pPr>
        <w:jc w:val="both"/>
      </w:pPr>
      <w:r>
        <w:t xml:space="preserve">Portfolio Part 1: </w:t>
      </w:r>
      <w:r w:rsidR="00DD49D6">
        <w:t>Journal Article Step-By-Step Analysis</w:t>
      </w:r>
    </w:p>
    <w:p w14:paraId="54284C2C" w14:textId="70295533" w:rsidR="00DD49D6" w:rsidRDefault="00DD49D6" w:rsidP="00897C0C">
      <w:pPr>
        <w:jc w:val="both"/>
      </w:pPr>
    </w:p>
    <w:p w14:paraId="220E7795" w14:textId="761FE281" w:rsidR="00E37161" w:rsidRDefault="00E37161" w:rsidP="00897C0C">
      <w:pPr>
        <w:jc w:val="both"/>
      </w:pPr>
      <w:r>
        <w:t xml:space="preserve">A journal article entitled </w:t>
      </w:r>
      <w:r>
        <w:rPr>
          <w:i/>
          <w:iCs/>
        </w:rPr>
        <w:t>British Working Women and the First World</w:t>
      </w:r>
      <w:r w:rsidR="001310E6">
        <w:t xml:space="preserve"> b</w:t>
      </w:r>
      <w:r w:rsidR="0006216E">
        <w:t xml:space="preserve">y Susan Pyecroft discusses the </w:t>
      </w:r>
      <w:r w:rsidR="00853185">
        <w:t>rise of women’s suffrage in the years leading up to the First World War</w:t>
      </w:r>
      <w:r w:rsidR="004314CB">
        <w:t xml:space="preserve">, and </w:t>
      </w:r>
      <w:r w:rsidR="0067718F">
        <w:t xml:space="preserve">the experiences of women in the workplace in the early twentieth century. It </w:t>
      </w:r>
      <w:r w:rsidR="005304A8">
        <w:t>argues that the narrative that women were given the vote as a ‘reward’ for their efforts in the First World War</w:t>
      </w:r>
      <w:r w:rsidR="00853DBC">
        <w:t xml:space="preserve"> is f</w:t>
      </w:r>
      <w:r w:rsidR="00070639">
        <w:t>alse, and that due to only women over the age of thirty being given the vote after the war</w:t>
      </w:r>
      <w:r w:rsidR="00DB1C65">
        <w:t xml:space="preserve">, thus alienating </w:t>
      </w:r>
      <w:r w:rsidR="0088737B">
        <w:t>five out of eleven million women in Britain at the time</w:t>
      </w:r>
      <w:r w:rsidR="009771C6">
        <w:t>,</w:t>
      </w:r>
      <w:r w:rsidR="009333A2">
        <w:t xml:space="preserve"> the</w:t>
      </w:r>
      <w:r w:rsidR="009771C6">
        <w:t xml:space="preserve"> </w:t>
      </w:r>
      <w:r w:rsidR="00D55BD1">
        <w:t xml:space="preserve">women’s equality </w:t>
      </w:r>
      <w:r w:rsidR="009333A2">
        <w:t xml:space="preserve">movement </w:t>
      </w:r>
      <w:r w:rsidR="00D55BD1">
        <w:t xml:space="preserve">suffered </w:t>
      </w:r>
      <w:r w:rsidR="009333A2">
        <w:t>as a result</w:t>
      </w:r>
      <w:r w:rsidR="00CF025F">
        <w:t xml:space="preserve">- </w:t>
      </w:r>
      <w:r w:rsidR="00CD4EE1">
        <w:t xml:space="preserve">the traction that the movement had gained in the years preceding the war </w:t>
      </w:r>
      <w:r w:rsidR="008B33DD">
        <w:t xml:space="preserve">was greatly reduced, with the Government’s move to push women back to the role of housewife and </w:t>
      </w:r>
      <w:r w:rsidR="00005CCE">
        <w:t>home keepers</w:t>
      </w:r>
      <w:r w:rsidR="001C4F41">
        <w:t>.</w:t>
      </w:r>
      <w:r w:rsidR="00005CCE">
        <w:t xml:space="preserve"> </w:t>
      </w:r>
      <w:r w:rsidR="00761C61">
        <w:t xml:space="preserve">It explains </w:t>
      </w:r>
      <w:r w:rsidR="006B0DE3">
        <w:t xml:space="preserve">how women came to be employed </w:t>
      </w:r>
      <w:r w:rsidR="00113F4D">
        <w:t>in jobs traditionally belonging to men across the country, and</w:t>
      </w:r>
      <w:r w:rsidR="00C931E5">
        <w:t xml:space="preserve"> how after the war ended, these jobs were lost.</w:t>
      </w:r>
    </w:p>
    <w:p w14:paraId="4E7ADF5A" w14:textId="074FCEFB" w:rsidR="00005CCE" w:rsidRPr="00121CFC" w:rsidRDefault="0037609B" w:rsidP="00897C0C">
      <w:pPr>
        <w:jc w:val="both"/>
        <w:rPr>
          <w:b/>
          <w:bCs/>
        </w:rPr>
      </w:pPr>
      <w:r>
        <w:t xml:space="preserve"> </w:t>
      </w:r>
      <w:r w:rsidR="00005CCE">
        <w:t xml:space="preserve">Susan Pyecroft </w:t>
      </w:r>
      <w:r w:rsidR="008F064E">
        <w:t xml:space="preserve">was a doctoral student </w:t>
      </w:r>
      <w:r w:rsidR="00265D97">
        <w:t>of history at the University of</w:t>
      </w:r>
      <w:r w:rsidR="008F064E">
        <w:t xml:space="preserve"> Strathclyde</w:t>
      </w:r>
      <w:r w:rsidR="00265D97">
        <w:t xml:space="preserve"> in Glasgow, Scotland in 199</w:t>
      </w:r>
      <w:r w:rsidR="009C5505">
        <w:t>4, when this article was written</w:t>
      </w:r>
      <w:r w:rsidR="003E447C">
        <w:rPr>
          <w:rStyle w:val="FootnoteReference"/>
        </w:rPr>
        <w:footnoteReference w:id="1"/>
      </w:r>
      <w:r w:rsidR="009C5505">
        <w:t>.</w:t>
      </w:r>
      <w:r w:rsidR="001B4D17">
        <w:t xml:space="preserve"> Pyecroft’s experiences a</w:t>
      </w:r>
      <w:r w:rsidR="00614E8A">
        <w:t xml:space="preserve">s a woman herself and as a student of history </w:t>
      </w:r>
      <w:r w:rsidR="00171CD2">
        <w:t xml:space="preserve">led her to write this article, as it in turn goes on to explain the attitudes of women during the war period, </w:t>
      </w:r>
      <w:r>
        <w:t>and how they reacted to the Government’s response during the post-war period.</w:t>
      </w:r>
      <w:r w:rsidR="00EE63CA">
        <w:t xml:space="preserve"> That the journal was written in 1994 </w:t>
      </w:r>
      <w:r w:rsidR="00943745">
        <w:t xml:space="preserve">shows the perspective of a post-war generation on the impact of the First World War on the lives and rights of women </w:t>
      </w:r>
      <w:r w:rsidR="0046064A">
        <w:t>half a century later.</w:t>
      </w:r>
      <w:r w:rsidR="005B45C0">
        <w:t xml:space="preserve"> This journal article was published</w:t>
      </w:r>
      <w:r w:rsidR="0080043F">
        <w:t xml:space="preserve"> in </w:t>
      </w:r>
      <w:r w:rsidR="0080043F">
        <w:rPr>
          <w:i/>
          <w:iCs/>
        </w:rPr>
        <w:t>The Historian</w:t>
      </w:r>
      <w:r w:rsidR="0080043F">
        <w:t xml:space="preserve">, </w:t>
      </w:r>
      <w:r w:rsidR="00380B93">
        <w:t>which is read by many historians across the UK</w:t>
      </w:r>
      <w:r w:rsidR="00E906F9">
        <w:t xml:space="preserve">, </w:t>
      </w:r>
      <w:r w:rsidR="009377D5">
        <w:t>and so the article is written in order to</w:t>
      </w:r>
      <w:r w:rsidR="00183DBF">
        <w:t xml:space="preserve"> bring attention to the </w:t>
      </w:r>
      <w:r w:rsidR="00626D3E">
        <w:t>largely held belief that women ‘won’ the right to vote due to their actions during the war</w:t>
      </w:r>
      <w:r w:rsidR="007A0B3A">
        <w:t xml:space="preserve">, and challenge the common misconception that </w:t>
      </w:r>
      <w:r w:rsidR="00EB290D">
        <w:t xml:space="preserve">before the war there were very few women working, wherein fact there were </w:t>
      </w:r>
      <w:r w:rsidR="001E3CDA">
        <w:t>around six million women employed across Britain by 1914.</w:t>
      </w:r>
      <w:r w:rsidR="002110A0">
        <w:t xml:space="preserve"> In the context of war, British historians have historically been known to alter truths and </w:t>
      </w:r>
      <w:r w:rsidR="0046086D">
        <w:t xml:space="preserve">spin a narrative that portrays Britain in the most favourable light possible, this being yet another case of such an event. Pyecroft </w:t>
      </w:r>
      <w:r w:rsidR="00121CFC">
        <w:t xml:space="preserve">takes it as her duty to set the record straight with her article </w:t>
      </w:r>
      <w:r w:rsidR="00121CFC">
        <w:rPr>
          <w:i/>
          <w:iCs/>
        </w:rPr>
        <w:t>British Working Women and the First World War</w:t>
      </w:r>
      <w:r w:rsidR="00121CFC">
        <w:t>.</w:t>
      </w:r>
    </w:p>
    <w:p w14:paraId="6B02B032" w14:textId="1A4C27D3" w:rsidR="00A363D3" w:rsidRDefault="00170161" w:rsidP="00897C0C">
      <w:pPr>
        <w:jc w:val="both"/>
      </w:pPr>
      <w:r>
        <w:t xml:space="preserve">Pyecroft states that the Government’s first response to the labour shortage caused by conscription during the First World War was to </w:t>
      </w:r>
      <w:r w:rsidR="003E447C">
        <w:t>consider importing workers from Belgium</w:t>
      </w:r>
      <w:r w:rsidR="00024F85">
        <w:t xml:space="preserve">, before realising that </w:t>
      </w:r>
      <w:r w:rsidR="00277879">
        <w:t>there was a workforce</w:t>
      </w:r>
      <w:r w:rsidR="000D75C1">
        <w:t xml:space="preserve"> of around six million women that could be utilised. They began by</w:t>
      </w:r>
      <w:r w:rsidR="00C7571F">
        <w:t xml:space="preserve"> replacing the roles traditionally filled by men such as mail delivery, window washing, </w:t>
      </w:r>
      <w:r w:rsidR="008811B2">
        <w:t>lift operating</w:t>
      </w:r>
      <w:r w:rsidR="002E7D89">
        <w:t xml:space="preserve"> and such.</w:t>
      </w:r>
      <w:r w:rsidR="00A74FD2">
        <w:t xml:space="preserve"> </w:t>
      </w:r>
      <w:r w:rsidR="008811B2">
        <w:t xml:space="preserve">From </w:t>
      </w:r>
      <w:r w:rsidR="00EB6F8B">
        <w:t>1915 onwards</w:t>
      </w:r>
      <w:r w:rsidR="008811B2">
        <w:t xml:space="preserve"> women became employed across various public sectors, </w:t>
      </w:r>
      <w:r w:rsidR="00445FEC">
        <w:t>including</w:t>
      </w:r>
      <w:r w:rsidR="008811B2">
        <w:t xml:space="preserve"> factory work</w:t>
      </w:r>
      <w:r w:rsidR="00EB6F8B">
        <w:t>, particularly munitions production,</w:t>
      </w:r>
      <w:r w:rsidR="000F4FB1">
        <w:t xml:space="preserve"> clerking, </w:t>
      </w:r>
      <w:r w:rsidR="00445FEC">
        <w:t>transport and mill work</w:t>
      </w:r>
      <w:r w:rsidR="00EB6F8B">
        <w:t xml:space="preserve"> as there was such a shortage of male workers.</w:t>
      </w:r>
      <w:r w:rsidR="00EF61EF">
        <w:rPr>
          <w:rStyle w:val="FootnoteReference"/>
        </w:rPr>
        <w:footnoteReference w:id="2"/>
      </w:r>
      <w:r w:rsidR="000F4FB1">
        <w:t xml:space="preserve"> </w:t>
      </w:r>
    </w:p>
    <w:p w14:paraId="0A6FC0A4" w14:textId="11180860" w:rsidR="00090B54" w:rsidRDefault="00090B54" w:rsidP="00897C0C">
      <w:pPr>
        <w:jc w:val="both"/>
      </w:pPr>
      <w:r>
        <w:t>On page 9</w:t>
      </w:r>
      <w:r w:rsidR="00B3240B">
        <w:t xml:space="preserve"> of the article, Pyecroft states that </w:t>
      </w:r>
      <w:r w:rsidR="00EF6B26">
        <w:t>“m</w:t>
      </w:r>
      <w:r w:rsidR="00C50030">
        <w:t xml:space="preserve">any workers contributed a strong patriotic element to their work, a deep need to take risks or make sacrifices for the good of the cause. Immediately after one explosion at a shell-filling factory, in which over 100 workers were killed and another 150 injured, the Times reported that "the women workers </w:t>
      </w:r>
      <w:r w:rsidR="00EF6B26">
        <w:t xml:space="preserve">behaved splendidly, and are pressing to be allowed to </w:t>
      </w:r>
      <w:r w:rsidR="00EF6B26">
        <w:lastRenderedPageBreak/>
        <w:t xml:space="preserve">return to work." </w:t>
      </w:r>
      <w:r w:rsidR="00EF6B26">
        <w:rPr>
          <w:rStyle w:val="FootnoteReference"/>
        </w:rPr>
        <w:footnoteReference w:id="3"/>
      </w:r>
      <w:r w:rsidR="00EF6B26">
        <w:t xml:space="preserve"> </w:t>
      </w:r>
      <w:r w:rsidR="00CA1576">
        <w:t xml:space="preserve">showing that during the war, women felt motivated to work by the same patriotism that sent men of all ages to enlist and fight in the trenches. </w:t>
      </w:r>
      <w:r w:rsidR="00D460A2">
        <w:t>This shows that women at the time felt it was as much their duty to contribute to the war effort</w:t>
      </w:r>
      <w:r w:rsidR="00314CCE">
        <w:t xml:space="preserve">, </w:t>
      </w:r>
      <w:r w:rsidR="00A40056">
        <w:t xml:space="preserve">and that </w:t>
      </w:r>
      <w:r w:rsidR="00377798">
        <w:t xml:space="preserve">the British population responded to the threat of war as one, </w:t>
      </w:r>
      <w:r w:rsidR="00F01F36">
        <w:t xml:space="preserve">rather than placing the </w:t>
      </w:r>
      <w:r w:rsidR="0092110E">
        <w:t>credit with the Government, who claimed that its initiatives and propaganda was responsible for the increased number of female workers.</w:t>
      </w:r>
      <w:r w:rsidR="001C7608">
        <w:t xml:space="preserve"> It was the general opinion of the female population of Britain in the 1910s that due to the effort shown by women across the country in the war effort, that </w:t>
      </w:r>
      <w:r w:rsidR="0029625C">
        <w:t>as recognition for their sacrifice, they would be treat with more equality, and that more of the archaic traditions and conceptions about women would be done away with.</w:t>
      </w:r>
      <w:r w:rsidR="0029625C">
        <w:rPr>
          <w:rStyle w:val="FootnoteReference"/>
        </w:rPr>
        <w:footnoteReference w:id="4"/>
      </w:r>
      <w:r w:rsidR="00D51726">
        <w:t xml:space="preserve"> One of the chief demands that </w:t>
      </w:r>
      <w:r w:rsidR="00673282">
        <w:t>organisations such as</w:t>
      </w:r>
      <w:r w:rsidR="00281DD9">
        <w:t xml:space="preserve"> the NFWW (National Federation of Women’s Workers) wished to be implemented after the war was the right to ‘leisure’, to achieve recognition that outside of the traditional roles of women, and their </w:t>
      </w:r>
      <w:r w:rsidR="00C86DAB">
        <w:t>working lives, that women had a right to pursue hobbies and other leisure activities</w:t>
      </w:r>
      <w:r w:rsidR="00B36D3F">
        <w:t xml:space="preserve">. This had been a demand of women since before the war, but with the </w:t>
      </w:r>
      <w:r w:rsidR="00463CCE">
        <w:t xml:space="preserve">end of the war in 1918 a new-found increase in women wanting </w:t>
      </w:r>
      <w:r w:rsidR="00722FCD">
        <w:t>to indulge in leisure grew.</w:t>
      </w:r>
      <w:r w:rsidR="001471A5">
        <w:t xml:space="preserve"> </w:t>
      </w:r>
    </w:p>
    <w:p w14:paraId="0ED8FA96" w14:textId="45194C3F" w:rsidR="00774F1B" w:rsidRDefault="00494F2B" w:rsidP="00897C0C">
      <w:pPr>
        <w:jc w:val="both"/>
      </w:pPr>
      <w:r>
        <w:t xml:space="preserve">Despite the </w:t>
      </w:r>
      <w:r w:rsidR="00992CAF">
        <w:t>public conception that once the war had ended, women were handed equality and integrated into society on the same level as men</w:t>
      </w:r>
      <w:r w:rsidR="00AB5481">
        <w:t xml:space="preserve">, the truth is far different. With the end of the First World War, soldiers from the trenches returned home from the horrors to find </w:t>
      </w:r>
      <w:r w:rsidR="00551C42">
        <w:t>“high rents and scarce jobs”</w:t>
      </w:r>
      <w:r w:rsidR="00551C42">
        <w:rPr>
          <w:rStyle w:val="FootnoteReference"/>
        </w:rPr>
        <w:footnoteReference w:id="5"/>
      </w:r>
      <w:r w:rsidR="00551C42">
        <w:t xml:space="preserve"> and subsequently the message was spread by the male population that </w:t>
      </w:r>
      <w:r w:rsidR="00CA3103">
        <w:t>“women must go”</w:t>
      </w:r>
      <w:r w:rsidR="00CA3103">
        <w:rPr>
          <w:rStyle w:val="FootnoteReference"/>
        </w:rPr>
        <w:footnoteReference w:id="6"/>
      </w:r>
      <w:r w:rsidR="00CA3103">
        <w:t xml:space="preserve"> back to the home, to return to the status quo previous to the war.</w:t>
      </w:r>
      <w:r w:rsidR="00D93448">
        <w:t xml:space="preserve"> </w:t>
      </w:r>
      <w:r w:rsidR="00D10D8B">
        <w:t>This was met with mixed responses, as Pyecroft states</w:t>
      </w:r>
      <w:r w:rsidR="00875FAB">
        <w:t>: “</w:t>
      </w:r>
      <w:r w:rsidR="00541D3B">
        <w:t>by the fall of 1919, nearly three-quarters of a million</w:t>
      </w:r>
      <w:r w:rsidR="00AD39DC">
        <w:t xml:space="preserve"> women had lost their jobs.”</w:t>
      </w:r>
      <w:r w:rsidR="00AD39DC">
        <w:rPr>
          <w:rStyle w:val="FootnoteReference"/>
        </w:rPr>
        <w:footnoteReference w:id="7"/>
      </w:r>
      <w:r w:rsidR="00AD39DC">
        <w:t xml:space="preserve"> Proving that the British Government did not foster an environment in which women were encouraged to keep working, </w:t>
      </w:r>
      <w:r w:rsidR="006F5DA6">
        <w:t>much less given equal pay.</w:t>
      </w:r>
      <w:r w:rsidR="0067065C">
        <w:t xml:space="preserve"> In 1918, the British Government </w:t>
      </w:r>
      <w:r w:rsidR="00FD0144">
        <w:t>issued a decree</w:t>
      </w:r>
      <w:r w:rsidR="0067065C">
        <w:t xml:space="preserve"> </w:t>
      </w:r>
      <w:r w:rsidR="00FD0144">
        <w:t>that women</w:t>
      </w:r>
      <w:r w:rsidR="002E0362">
        <w:t xml:space="preserve"> be allowed to run for Parliament, vote if over thirty, </w:t>
      </w:r>
      <w:r w:rsidR="00FD0144">
        <w:t>attend Cambridge or Oxford, and work a more traditionally ‘male’ job such as practicing law.</w:t>
      </w:r>
      <w:r w:rsidR="006F28FB">
        <w:rPr>
          <w:rStyle w:val="FootnoteReference"/>
        </w:rPr>
        <w:footnoteReference w:id="8"/>
      </w:r>
      <w:r w:rsidR="00FD0144">
        <w:t xml:space="preserve"> This hollow gesture was intended to placate the Suffrage movement</w:t>
      </w:r>
      <w:r w:rsidR="00675CE2">
        <w:t xml:space="preserve">, in the hopes that with its diminished support since the war that </w:t>
      </w:r>
      <w:r w:rsidR="002F638D">
        <w:t xml:space="preserve">Suffrage would </w:t>
      </w:r>
      <w:r w:rsidR="006F28FB">
        <w:t>relent,</w:t>
      </w:r>
      <w:r w:rsidR="002F638D">
        <w:t xml:space="preserve"> </w:t>
      </w:r>
      <w:r w:rsidR="006F28FB">
        <w:t>and women would return to the previous roles they had filled.</w:t>
      </w:r>
      <w:r w:rsidR="00445FEC">
        <w:t xml:space="preserve"> In that sense this </w:t>
      </w:r>
      <w:r w:rsidR="00426B11">
        <w:t>succeeded, as many women were forced to give up their jobs and return to being housewives. However, there was still a strong enough dissent that many women carried on campaigning for change.</w:t>
      </w:r>
    </w:p>
    <w:p w14:paraId="4B06C81F" w14:textId="1F94E738" w:rsidR="00A363D3" w:rsidRDefault="006F5DA6" w:rsidP="00897C0C">
      <w:pPr>
        <w:jc w:val="both"/>
      </w:pPr>
      <w:r>
        <w:t xml:space="preserve">Pyecroft’s article </w:t>
      </w:r>
      <w:r w:rsidR="00254A6D">
        <w:t xml:space="preserve">has its strengths in that it challenges common misconceptions about the events </w:t>
      </w:r>
      <w:r w:rsidR="00284816">
        <w:t xml:space="preserve">that happened after the First World War, and in detail it discusses the </w:t>
      </w:r>
      <w:r w:rsidR="000F7FC2">
        <w:t xml:space="preserve">difficulties that women faced and </w:t>
      </w:r>
      <w:r w:rsidR="000F7FC2">
        <w:lastRenderedPageBreak/>
        <w:t xml:space="preserve">overcame to </w:t>
      </w:r>
      <w:r w:rsidR="008979FB">
        <w:t xml:space="preserve">be a part of the work force, and the voting constituency. </w:t>
      </w:r>
      <w:r w:rsidR="00D241DE">
        <w:t xml:space="preserve">Pyecroft displays the facts of her article at face value, using them to </w:t>
      </w:r>
      <w:r w:rsidR="00D90AB9">
        <w:t>add strength to her arguments- for example</w:t>
      </w:r>
      <w:r w:rsidR="00152C7B">
        <w:t xml:space="preserve"> on the subject of </w:t>
      </w:r>
      <w:r w:rsidR="00F00562">
        <w:t xml:space="preserve">poor </w:t>
      </w:r>
      <w:r w:rsidR="00152C7B">
        <w:t xml:space="preserve">conditions in munitions factories </w:t>
      </w:r>
      <w:r w:rsidR="00F00562">
        <w:t>being shrugged off by those in charge, Pyecroft states that</w:t>
      </w:r>
      <w:r w:rsidR="00D25C0A">
        <w:t xml:space="preserve"> by</w:t>
      </w:r>
      <w:r w:rsidR="00B23F8E">
        <w:t xml:space="preserve"> </w:t>
      </w:r>
      <w:r w:rsidR="00D25C0A">
        <w:t>making light of these co</w:t>
      </w:r>
      <w:r w:rsidR="00504873">
        <w:t>nditions, it “</w:t>
      </w:r>
      <w:r w:rsidR="00504873">
        <w:t>overlooks the fact that over 300 women died from either TNT poisoning or explosions during the war</w:t>
      </w:r>
      <w:r w:rsidR="00504873">
        <w:t>”</w:t>
      </w:r>
      <w:r w:rsidR="00517A2B">
        <w:rPr>
          <w:rStyle w:val="FootnoteReference"/>
        </w:rPr>
        <w:footnoteReference w:id="9"/>
      </w:r>
      <w:r w:rsidR="00504873">
        <w:t xml:space="preserve">. </w:t>
      </w:r>
    </w:p>
    <w:p w14:paraId="29B0A190" w14:textId="23B57F44" w:rsidR="00B23F8E" w:rsidRDefault="00D67CC9" w:rsidP="00897C0C">
      <w:pPr>
        <w:jc w:val="both"/>
      </w:pPr>
      <w:r>
        <w:t xml:space="preserve">In her journal article </w:t>
      </w:r>
      <w:r>
        <w:rPr>
          <w:i/>
          <w:iCs/>
        </w:rPr>
        <w:t>Women</w:t>
      </w:r>
      <w:r w:rsidR="00D246C3">
        <w:rPr>
          <w:i/>
          <w:iCs/>
        </w:rPr>
        <w:t xml:space="preserve">, Science and </w:t>
      </w:r>
      <w:r w:rsidR="00DF4A1A">
        <w:rPr>
          <w:i/>
          <w:iCs/>
        </w:rPr>
        <w:t>Suffrage in</w:t>
      </w:r>
      <w:r w:rsidR="00D246C3">
        <w:rPr>
          <w:i/>
          <w:iCs/>
        </w:rPr>
        <w:t xml:space="preserve"> World War 1</w:t>
      </w:r>
      <w:r w:rsidR="00D246C3">
        <w:t xml:space="preserve">, Patricia Fara </w:t>
      </w:r>
      <w:r w:rsidR="00DF4A1A">
        <w:t>states that “</w:t>
      </w:r>
      <w:r w:rsidR="00DF4A1A">
        <w:t>Many people believed—and still do—that the war represented a dramatic break with the past, liberating women by enabling them to work and giving the vote to those over t</w:t>
      </w:r>
      <w:r w:rsidR="00DF4A1A">
        <w:t>hirty.”</w:t>
      </w:r>
      <w:r w:rsidR="00DF4A1A">
        <w:rPr>
          <w:rStyle w:val="FootnoteReference"/>
        </w:rPr>
        <w:footnoteReference w:id="10"/>
      </w:r>
      <w:r w:rsidR="008C70DC">
        <w:t xml:space="preserve"> This reinforces the point that Pyecroft makes, further adding “</w:t>
      </w:r>
      <w:r w:rsidR="002C65F2">
        <w:t>in reality, only a tiny minority were enabled to act and think with anything even approaching the freedom of men</w:t>
      </w:r>
      <w:r w:rsidR="00B34219">
        <w:t>”</w:t>
      </w:r>
      <w:r w:rsidR="00B34219">
        <w:rPr>
          <w:rStyle w:val="FootnoteReference"/>
        </w:rPr>
        <w:footnoteReference w:id="11"/>
      </w:r>
      <w:r w:rsidR="002C7C7F">
        <w:t xml:space="preserve">. That this article was written in 2015 further adds to its </w:t>
      </w:r>
      <w:r w:rsidR="008A3BEC">
        <w:t xml:space="preserve">viability as after twenty- five years of advancements and </w:t>
      </w:r>
      <w:r w:rsidR="00682BCB">
        <w:t xml:space="preserve">with what is known now, we can still be sure that the British Government and the male population actively discouraged women from </w:t>
      </w:r>
      <w:r w:rsidR="0015163D">
        <w:t>working and working to achieve equality in the period of time after the First World War.</w:t>
      </w:r>
    </w:p>
    <w:p w14:paraId="22469876" w14:textId="2FC59810" w:rsidR="0015163D" w:rsidRPr="00D246C3" w:rsidRDefault="0015163D" w:rsidP="00897C0C">
      <w:pPr>
        <w:jc w:val="both"/>
      </w:pPr>
      <w:r>
        <w:t xml:space="preserve">Susan Pyecroft’s journal article on the subject of </w:t>
      </w:r>
      <w:r w:rsidR="004269FE">
        <w:t xml:space="preserve">British women and their employment and suffrage during World War One highlights the </w:t>
      </w:r>
      <w:r w:rsidR="00075294">
        <w:t xml:space="preserve">disparity between the jobs of men and of women at the </w:t>
      </w:r>
      <w:r w:rsidR="00365108">
        <w:t>time and</w:t>
      </w:r>
      <w:r w:rsidR="00075294">
        <w:t xml:space="preserve"> explains how the war changed this disparity for a time, </w:t>
      </w:r>
      <w:r w:rsidR="00CF1DC2">
        <w:t xml:space="preserve">with women coming to possess jobs across all fields of employment. It successfully </w:t>
      </w:r>
      <w:r w:rsidR="007A0876">
        <w:t xml:space="preserve">explains the attitudes of women towards the war, the Government and society at the time, and </w:t>
      </w:r>
      <w:r w:rsidR="004B7660">
        <w:t xml:space="preserve">with careful reference challenges </w:t>
      </w:r>
      <w:r w:rsidR="002E772F">
        <w:t>the common belief that equality between the genders was reached due solely to the war.</w:t>
      </w:r>
    </w:p>
    <w:p w14:paraId="15568088" w14:textId="77777777" w:rsidR="00A363D3" w:rsidRDefault="00A363D3" w:rsidP="00897C0C">
      <w:pPr>
        <w:jc w:val="both"/>
      </w:pPr>
    </w:p>
    <w:p w14:paraId="7C89F44A" w14:textId="77777777" w:rsidR="00A363D3" w:rsidRDefault="00A363D3" w:rsidP="00897C0C">
      <w:pPr>
        <w:jc w:val="both"/>
      </w:pPr>
    </w:p>
    <w:p w14:paraId="30567348" w14:textId="77777777" w:rsidR="00A363D3" w:rsidRDefault="00A363D3" w:rsidP="00897C0C">
      <w:pPr>
        <w:jc w:val="both"/>
      </w:pPr>
    </w:p>
    <w:p w14:paraId="040E2080" w14:textId="77777777" w:rsidR="00A363D3" w:rsidRDefault="00A363D3" w:rsidP="00897C0C">
      <w:pPr>
        <w:jc w:val="both"/>
      </w:pPr>
    </w:p>
    <w:p w14:paraId="2DE4257E" w14:textId="77777777" w:rsidR="00A363D3" w:rsidRDefault="00A363D3" w:rsidP="00897C0C">
      <w:pPr>
        <w:jc w:val="both"/>
      </w:pPr>
    </w:p>
    <w:p w14:paraId="3DCE157C" w14:textId="77777777" w:rsidR="00A363D3" w:rsidRDefault="00A363D3" w:rsidP="00897C0C">
      <w:pPr>
        <w:jc w:val="both"/>
      </w:pPr>
    </w:p>
    <w:p w14:paraId="7520E172" w14:textId="77777777" w:rsidR="00A363D3" w:rsidRDefault="00A363D3" w:rsidP="00897C0C">
      <w:pPr>
        <w:jc w:val="both"/>
      </w:pPr>
    </w:p>
    <w:p w14:paraId="092BFCFE" w14:textId="77777777" w:rsidR="00A363D3" w:rsidRDefault="00A363D3" w:rsidP="00897C0C">
      <w:pPr>
        <w:jc w:val="both"/>
      </w:pPr>
    </w:p>
    <w:p w14:paraId="368BA5A3" w14:textId="77777777" w:rsidR="00A363D3" w:rsidRDefault="00A363D3" w:rsidP="00897C0C">
      <w:pPr>
        <w:jc w:val="both"/>
      </w:pPr>
    </w:p>
    <w:p w14:paraId="480F9501" w14:textId="77777777" w:rsidR="00AB2695" w:rsidRDefault="00AB2695" w:rsidP="00897C0C">
      <w:pPr>
        <w:jc w:val="both"/>
      </w:pPr>
    </w:p>
    <w:p w14:paraId="09532AF6" w14:textId="49366D65" w:rsidR="00A363D3" w:rsidRDefault="00A363D3" w:rsidP="00897C0C">
      <w:pPr>
        <w:jc w:val="both"/>
      </w:pPr>
      <w:r>
        <w:lastRenderedPageBreak/>
        <w:t>Portfolio Part 2: Document Analysis</w:t>
      </w:r>
    </w:p>
    <w:p w14:paraId="7F3A6EBA" w14:textId="77777777" w:rsidR="00A363D3" w:rsidRDefault="00A363D3" w:rsidP="00897C0C">
      <w:pPr>
        <w:jc w:val="both"/>
      </w:pPr>
    </w:p>
    <w:p w14:paraId="561AD7E4" w14:textId="29172EA5" w:rsidR="00B80E66" w:rsidRDefault="00897C0C" w:rsidP="00897C0C">
      <w:pPr>
        <w:jc w:val="both"/>
      </w:pPr>
      <w:r w:rsidRPr="00AC4C29">
        <w:rPr>
          <w:i/>
          <w:iCs/>
        </w:rPr>
        <w:t>Dead Man’s Dump</w:t>
      </w:r>
      <w:r>
        <w:t xml:space="preserve"> is a poem written by British soldier Isaac Rosenberg in 1917 during his deployment with the Fortieth Division Works Battalion, while delivering barbed wire to the front lines in France</w:t>
      </w:r>
      <w:r w:rsidR="00F922AB">
        <w:t>, one year before his death at the age of twenty</w:t>
      </w:r>
      <w:r w:rsidR="0061480C">
        <w:t>-seven</w:t>
      </w:r>
      <w:r w:rsidR="00F922AB">
        <w:t xml:space="preserve"> in 1918.</w:t>
      </w:r>
      <w:r w:rsidR="00944A16">
        <w:rPr>
          <w:rStyle w:val="FootnoteReference"/>
        </w:rPr>
        <w:footnoteReference w:id="12"/>
      </w:r>
      <w:r>
        <w:t xml:space="preserve"> The poem gives us an eyewitness account of Rosenberg’s experiences </w:t>
      </w:r>
      <w:r w:rsidR="00B80E66">
        <w:t xml:space="preserve">of the trenches, No Man’s Land and the coexistence of life and death that was found there. It recounts in painful detail the bodies of men from both sides of the war, and shows clearly how opposed Rosenberg was to the conflict: </w:t>
      </w:r>
    </w:p>
    <w:p w14:paraId="5DC74809" w14:textId="3395D4F0" w:rsidR="00B80E66" w:rsidRDefault="00B80E66" w:rsidP="00B80E66">
      <w:pPr>
        <w:jc w:val="both"/>
      </w:pPr>
      <w:r>
        <w:t>“They lie there huddled, friend and foeman,</w:t>
      </w:r>
    </w:p>
    <w:p w14:paraId="412359AF" w14:textId="77777777" w:rsidR="00B80E66" w:rsidRDefault="00B80E66" w:rsidP="00B80E66">
      <w:pPr>
        <w:jc w:val="both"/>
      </w:pPr>
      <w:r>
        <w:t>Man born of man, and born of woman,</w:t>
      </w:r>
    </w:p>
    <w:p w14:paraId="0434754E" w14:textId="77777777" w:rsidR="00B80E66" w:rsidRDefault="00B80E66" w:rsidP="00B80E66">
      <w:pPr>
        <w:jc w:val="both"/>
      </w:pPr>
      <w:r>
        <w:t>And shells go crying over them</w:t>
      </w:r>
    </w:p>
    <w:p w14:paraId="51407892" w14:textId="7BEFA3D1" w:rsidR="00B80E66" w:rsidRDefault="00B80E66" w:rsidP="00B80E66">
      <w:pPr>
        <w:jc w:val="both"/>
      </w:pPr>
      <w:r>
        <w:t>From night till night and now.”</w:t>
      </w:r>
      <w:r w:rsidR="00A86445">
        <w:rPr>
          <w:rStyle w:val="FootnoteReference"/>
        </w:rPr>
        <w:footnoteReference w:id="13"/>
      </w:r>
    </w:p>
    <w:p w14:paraId="0097EAEA" w14:textId="77777777" w:rsidR="00D47E1A" w:rsidRDefault="00A11251" w:rsidP="00D47E1A">
      <w:pPr>
        <w:jc w:val="both"/>
      </w:pPr>
      <w:r>
        <w:t xml:space="preserve"> </w:t>
      </w:r>
      <w:r w:rsidR="00A86445">
        <w:t>This stanza depicts soldiers from both sides of the war equally, intended to show the reader that when at war there is no difference between any of us- and that neither side can escape the horror that they have been subjected to.</w:t>
      </w:r>
      <w:r w:rsidR="006B67CC">
        <w:t xml:space="preserve"> It also </w:t>
      </w:r>
      <w:r w:rsidR="006A749E">
        <w:t xml:space="preserve">victimises both the British soldiers and the German ones, and places them at the mercy of the shells being fired by both sides. This </w:t>
      </w:r>
      <w:r w:rsidR="00C34357">
        <w:t xml:space="preserve">places the blame upon Rosenberg’s superiors, and the </w:t>
      </w:r>
      <w:r w:rsidR="009B7D16">
        <w:t>enemies’</w:t>
      </w:r>
      <w:r w:rsidR="00C34357">
        <w:t xml:space="preserve"> commanders as well</w:t>
      </w:r>
      <w:r w:rsidR="009B7D16">
        <w:t>. He views them as being responsible for the conditions of the trenches,</w:t>
      </w:r>
      <w:r w:rsidR="006E6CB3">
        <w:t xml:space="preserve"> </w:t>
      </w:r>
      <w:r w:rsidR="00504043">
        <w:t xml:space="preserve">and </w:t>
      </w:r>
      <w:r w:rsidR="00DD5475">
        <w:t>his resentment is felt in the pain of each dying soldier that is encountered throughout the poem.</w:t>
      </w:r>
      <w:r w:rsidR="00D47E1A">
        <w:t xml:space="preserve"> In the line:</w:t>
      </w:r>
    </w:p>
    <w:p w14:paraId="1B8AD106" w14:textId="0BC78722" w:rsidR="00D47E1A" w:rsidRDefault="00D47E1A" w:rsidP="00D47E1A">
      <w:pPr>
        <w:jc w:val="both"/>
      </w:pPr>
      <w:r>
        <w:t>“What of us who, flung on the shrieking pyre,</w:t>
      </w:r>
    </w:p>
    <w:p w14:paraId="3781A155" w14:textId="77777777" w:rsidR="00D47E1A" w:rsidRDefault="00D47E1A" w:rsidP="00D47E1A">
      <w:pPr>
        <w:jc w:val="both"/>
      </w:pPr>
      <w:r>
        <w:t>Walk, our usual thoughts untouched,</w:t>
      </w:r>
    </w:p>
    <w:p w14:paraId="0316FEAB" w14:textId="77777777" w:rsidR="00D47E1A" w:rsidRDefault="00D47E1A" w:rsidP="00D47E1A">
      <w:pPr>
        <w:jc w:val="both"/>
      </w:pPr>
      <w:r>
        <w:t>Our lucky limbs as on ichor fed,</w:t>
      </w:r>
    </w:p>
    <w:p w14:paraId="07F11687" w14:textId="01E2E830" w:rsidR="00897C0C" w:rsidRDefault="00D47E1A" w:rsidP="00D47E1A">
      <w:pPr>
        <w:jc w:val="both"/>
      </w:pPr>
      <w:r>
        <w:t>Immortal seeming ever?”</w:t>
      </w:r>
      <w:r w:rsidR="000875EB">
        <w:rPr>
          <w:rStyle w:val="FootnoteReference"/>
        </w:rPr>
        <w:footnoteReference w:id="14"/>
      </w:r>
    </w:p>
    <w:p w14:paraId="2A39F7CC" w14:textId="44F0B4AC" w:rsidR="00D47E1A" w:rsidRDefault="00D47E1A" w:rsidP="00D47E1A">
      <w:pPr>
        <w:jc w:val="both"/>
      </w:pPr>
      <w:r>
        <w:t xml:space="preserve">Rosenberg asks the reader </w:t>
      </w:r>
      <w:r w:rsidR="003C5CEF">
        <w:t xml:space="preserve">of the fate of those who don’t die on the battlefield, and wonders if those “lucky” soldiers that survive are </w:t>
      </w:r>
      <w:r w:rsidR="009260DA">
        <w:t xml:space="preserve">“immortal” like the Gods who drank </w:t>
      </w:r>
      <w:r w:rsidR="000875EB">
        <w:t xml:space="preserve">a magical liquid </w:t>
      </w:r>
      <w:r w:rsidR="00F03369">
        <w:t>- “</w:t>
      </w:r>
      <w:r w:rsidR="000875EB">
        <w:t>ichor”</w:t>
      </w:r>
      <w:r w:rsidR="00F03369">
        <w:t xml:space="preserve"> </w:t>
      </w:r>
      <w:r w:rsidR="000875EB">
        <w:t xml:space="preserve">- </w:t>
      </w:r>
      <w:r w:rsidR="00574C92">
        <w:t xml:space="preserve">to achieve immortal life. He does this to again highlight the depravity of the war as he experienced it, stating that those that didn’t die would have had to have been immortal in order to survive the brutality </w:t>
      </w:r>
      <w:r w:rsidR="00F03369">
        <w:t>they faced.</w:t>
      </w:r>
    </w:p>
    <w:p w14:paraId="118F76D3" w14:textId="5977EE05" w:rsidR="00357241" w:rsidRDefault="00A11251" w:rsidP="00A826A8">
      <w:pPr>
        <w:jc w:val="both"/>
      </w:pPr>
      <w:r>
        <w:t xml:space="preserve"> </w:t>
      </w:r>
      <w:r w:rsidR="005B34F6">
        <w:t xml:space="preserve">Isaac Rosenberg was </w:t>
      </w:r>
      <w:r w:rsidR="004D530C">
        <w:t xml:space="preserve">the son of Lithuanian Jewish </w:t>
      </w:r>
      <w:r w:rsidR="00172850">
        <w:t>immigrants and</w:t>
      </w:r>
      <w:r w:rsidR="004D530C">
        <w:t xml:space="preserve"> was born in Bristol in</w:t>
      </w:r>
      <w:r w:rsidR="00172850">
        <w:t xml:space="preserve"> 1890. </w:t>
      </w:r>
      <w:r w:rsidR="0011492A">
        <w:t xml:space="preserve">Prior to the war Rosenberg studied poetry under renowned poets of the time, </w:t>
      </w:r>
      <w:r w:rsidR="009B043F">
        <w:t xml:space="preserve">until 1914, when </w:t>
      </w:r>
      <w:r w:rsidR="001359EA">
        <w:t>he moved to South Africa, due to his health. He continued to write until the outbreak of the war, even writing pieces critical of the growing</w:t>
      </w:r>
      <w:r w:rsidR="00132A9B">
        <w:t xml:space="preserve"> political</w:t>
      </w:r>
      <w:r w:rsidR="001359EA">
        <w:t xml:space="preserve"> tensions</w:t>
      </w:r>
      <w:r w:rsidR="00132A9B">
        <w:t xml:space="preserve"> at the time.</w:t>
      </w:r>
      <w:r w:rsidR="00E030F0">
        <w:t xml:space="preserve"> He eventually returned home in 1915 to gain employment, which </w:t>
      </w:r>
      <w:r w:rsidR="000A7971">
        <w:t>lead him to join the British Army. Before the war, Rosenberg’s</w:t>
      </w:r>
      <w:r w:rsidR="00AC264C">
        <w:t xml:space="preserve"> writing </w:t>
      </w:r>
      <w:r w:rsidR="000A7971">
        <w:t xml:space="preserve">was </w:t>
      </w:r>
      <w:r w:rsidR="00AC264C">
        <w:t xml:space="preserve">of </w:t>
      </w:r>
      <w:r w:rsidR="00AC264C">
        <w:lastRenderedPageBreak/>
        <w:t xml:space="preserve">a more poetic nature, inspired by Keats and </w:t>
      </w:r>
      <w:r>
        <w:t>Percy Shelley- until his experiences during the First World War drove him to write poetry that accurately and hauntingly depicted the day-to-day horror of the trenches.</w:t>
      </w:r>
      <w:r w:rsidR="00B04594">
        <w:t xml:space="preserve"> In the first stanza of </w:t>
      </w:r>
      <w:r w:rsidR="00B04594" w:rsidRPr="00AC4C29">
        <w:rPr>
          <w:i/>
          <w:iCs/>
        </w:rPr>
        <w:t>Dead Man’s Dump</w:t>
      </w:r>
      <w:r w:rsidR="00B04594">
        <w:t xml:space="preserve">, Rosenberg </w:t>
      </w:r>
      <w:r w:rsidR="00491ADD">
        <w:t xml:space="preserve">speaks of </w:t>
      </w:r>
      <w:r w:rsidR="009E3922">
        <w:t xml:space="preserve">the wheels of a cart as they roll over the dead bodies around </w:t>
      </w:r>
      <w:r w:rsidR="00491ADD">
        <w:t xml:space="preserve">the </w:t>
      </w:r>
      <w:r w:rsidR="00494698">
        <w:t>trenches and</w:t>
      </w:r>
      <w:r w:rsidR="00491ADD">
        <w:t xml:space="preserve"> describes the barbed wire and defences as “like many crowns of thorns, And the rusty stakes like sceptres old”</w:t>
      </w:r>
      <w:r w:rsidR="00F90CB5">
        <w:rPr>
          <w:rStyle w:val="FootnoteReference"/>
        </w:rPr>
        <w:footnoteReference w:id="15"/>
      </w:r>
      <w:r w:rsidR="00491ADD">
        <w:t>, using the similes of ‘crowns’ and ‘sceptres’ to show that these men have been sent to their deaths by monarchs</w:t>
      </w:r>
      <w:r w:rsidR="00F90CB5">
        <w:t>, whom the battles are really between.</w:t>
      </w:r>
      <w:r w:rsidR="00FF4C0F">
        <w:t xml:space="preserve"> It is clear that Rosenberg wishes to show the reality of </w:t>
      </w:r>
      <w:r w:rsidR="00441397">
        <w:t>war and</w:t>
      </w:r>
      <w:r w:rsidR="00FF4C0F">
        <w:t xml:space="preserve"> makes no attempt to glorify it.</w:t>
      </w:r>
      <w:r w:rsidR="004C597F">
        <w:t xml:space="preserve"> </w:t>
      </w:r>
      <w:r w:rsidR="00357241">
        <w:t>Rosenberg was quoted as saying “</w:t>
      </w:r>
      <w:r w:rsidR="002513D2">
        <w:t>I never joined the army from patriotic reasons. Nothing can justify war</w:t>
      </w:r>
      <w:r w:rsidR="007452D2">
        <w:t>. I suppose we must all fight to get the trouble over.”</w:t>
      </w:r>
      <w:r w:rsidR="00EA3189">
        <w:rPr>
          <w:rStyle w:val="FootnoteReference"/>
        </w:rPr>
        <w:footnoteReference w:id="16"/>
      </w:r>
      <w:r w:rsidR="00216AEA">
        <w:t xml:space="preserve"> </w:t>
      </w:r>
      <w:r w:rsidR="009615A0">
        <w:t>in</w:t>
      </w:r>
      <w:r w:rsidR="00A14552">
        <w:t xml:space="preserve"> a letter to his friend </w:t>
      </w:r>
      <w:r w:rsidR="00834ED6">
        <w:t>Edward Marsh</w:t>
      </w:r>
      <w:r w:rsidR="009615A0">
        <w:t xml:space="preserve">. </w:t>
      </w:r>
      <w:r w:rsidR="00EF2108">
        <w:t>From this we can understand that Rosenberg sees war as futile, but like many others around him</w:t>
      </w:r>
      <w:r w:rsidR="001F1C61">
        <w:t xml:space="preserve">, he still fought, in the belief that it would end. </w:t>
      </w:r>
      <w:r w:rsidR="001B5F7E">
        <w:t xml:space="preserve">Through Rosenberg’s other poems while written in the trenches we can see that in Rosenberg’s eyes it would end one way or another. This fatalistic point of view is captured in the poem </w:t>
      </w:r>
      <w:r w:rsidR="00FF4374">
        <w:rPr>
          <w:i/>
          <w:iCs/>
        </w:rPr>
        <w:t>Through these Pale Cold Days</w:t>
      </w:r>
      <w:r w:rsidR="00FF4374">
        <w:t xml:space="preserve">, in which the final two lines of the poem </w:t>
      </w:r>
      <w:r w:rsidR="00A826A8">
        <w:t>“They see with living eyes, How long they have been dead.</w:t>
      </w:r>
      <w:r w:rsidR="006914F8">
        <w:t>”</w:t>
      </w:r>
      <w:r w:rsidR="006914F8">
        <w:rPr>
          <w:rStyle w:val="FootnoteReference"/>
        </w:rPr>
        <w:footnoteReference w:id="17"/>
      </w:r>
      <w:r w:rsidR="000B0133">
        <w:t xml:space="preserve"> </w:t>
      </w:r>
      <w:r w:rsidR="00034B2C">
        <w:t>c</w:t>
      </w:r>
      <w:r w:rsidR="000B0133">
        <w:t>onvey Rosenberg</w:t>
      </w:r>
      <w:r w:rsidR="00034B2C">
        <w:t>’s belief that war will only end in death, for everyone.</w:t>
      </w:r>
      <w:r w:rsidR="00B52B4A">
        <w:t xml:space="preserve"> The fact that he wrote these poems and sent them home for others to read shows his </w:t>
      </w:r>
      <w:r w:rsidR="00B052B5">
        <w:t xml:space="preserve">need to share the horrors he has </w:t>
      </w:r>
      <w:r w:rsidR="00ED3B94">
        <w:t>experienced and</w:t>
      </w:r>
      <w:r w:rsidR="00B052B5">
        <w:t xml:space="preserve"> provide a cautionary tale </w:t>
      </w:r>
      <w:r w:rsidR="00C3440C">
        <w:t xml:space="preserve">for the population back home, part of whom are responsible for </w:t>
      </w:r>
      <w:r w:rsidR="00F06E20">
        <w:t>Rosenberg’s being on the front line in the first place.</w:t>
      </w:r>
      <w:r w:rsidR="00034B2C">
        <w:t xml:space="preserve"> </w:t>
      </w:r>
      <w:r w:rsidR="000B0133">
        <w:t xml:space="preserve"> </w:t>
      </w:r>
    </w:p>
    <w:p w14:paraId="016BBD6D" w14:textId="689B7757" w:rsidR="005D7C53" w:rsidRDefault="00DD5475" w:rsidP="00BB0DBF">
      <w:pPr>
        <w:jc w:val="both"/>
      </w:pPr>
      <w:r>
        <w:t xml:space="preserve"> </w:t>
      </w:r>
      <w:r w:rsidR="005D7C53">
        <w:t xml:space="preserve">The poem </w:t>
      </w:r>
      <w:r w:rsidR="005D7C53">
        <w:rPr>
          <w:i/>
          <w:iCs/>
        </w:rPr>
        <w:t xml:space="preserve">Dead Man’s Dump </w:t>
      </w:r>
      <w:r w:rsidR="005D7C53">
        <w:t xml:space="preserve">was written soon after Rosenberg’s transfer to the </w:t>
      </w:r>
      <w:r w:rsidR="009B0344">
        <w:t xml:space="preserve">Fortieth Division Works Battalion, and it was the events witnessed after this transfer </w:t>
      </w:r>
      <w:r w:rsidR="00FE1272">
        <w:t xml:space="preserve">that conceived </w:t>
      </w:r>
      <w:r w:rsidR="00FE1272">
        <w:rPr>
          <w:i/>
          <w:iCs/>
        </w:rPr>
        <w:t>Dead Man’s Dump</w:t>
      </w:r>
      <w:r w:rsidR="00FD66CE">
        <w:rPr>
          <w:i/>
          <w:iCs/>
        </w:rPr>
        <w:t xml:space="preserve">- </w:t>
      </w:r>
      <w:r w:rsidR="00FD66CE">
        <w:t xml:space="preserve">the reality of war and its </w:t>
      </w:r>
      <w:r w:rsidR="00CC5601">
        <w:t>waste of human life inspired Rosenberg to write this poem</w:t>
      </w:r>
      <w:r w:rsidR="00D10607">
        <w:t xml:space="preserve"> in 1917,</w:t>
      </w:r>
      <w:r w:rsidR="004804E0">
        <w:t xml:space="preserve"> one year before his death. </w:t>
      </w:r>
      <w:r w:rsidR="00ED3B94">
        <w:t xml:space="preserve">That it was written during the midst of the war, rather than at the start of it affirms what Rosenberg had always suspected about war and its pointlessness- </w:t>
      </w:r>
      <w:r w:rsidR="00AE2C3D">
        <w:t>the poem itself reflects this in the lines “</w:t>
      </w:r>
      <w:r w:rsidR="00BB0DBF">
        <w:t>Those dead strode time with vigorous life, Till the shrapnel called ‘An end!’</w:t>
      </w:r>
      <w:r w:rsidR="00C728C0">
        <w:t>”</w:t>
      </w:r>
      <w:r w:rsidR="008D6E6C">
        <w:rPr>
          <w:rStyle w:val="FootnoteReference"/>
        </w:rPr>
        <w:footnoteReference w:id="18"/>
      </w:r>
      <w:r w:rsidR="005E0C37">
        <w:t xml:space="preserve"> in which Rosenberg gives command over life and death to shrapnel, rather than any enemy he may face on the battlefield. </w:t>
      </w:r>
      <w:r w:rsidR="00CF4B96">
        <w:t xml:space="preserve">This </w:t>
      </w:r>
      <w:r w:rsidR="00314747">
        <w:t>reinforces the idea that</w:t>
      </w:r>
      <w:r w:rsidR="00CF4B96">
        <w:t xml:space="preserve"> Rosenberg views the war as a mess of bureaucracy and bloodlust</w:t>
      </w:r>
      <w:r w:rsidR="0060017E">
        <w:t>, rather than as a fight against the German’s, such as the British media were portraying the war as at the time.</w:t>
      </w:r>
    </w:p>
    <w:p w14:paraId="00FCC411" w14:textId="25136A00" w:rsidR="00937B3E" w:rsidRDefault="00C5429D" w:rsidP="00937B3E">
      <w:pPr>
        <w:jc w:val="both"/>
      </w:pPr>
      <w:r>
        <w:t>Isaac Rosenberg was killed</w:t>
      </w:r>
      <w:r w:rsidR="00D9182C">
        <w:t xml:space="preserve"> on April 1</w:t>
      </w:r>
      <w:r w:rsidR="00D9182C" w:rsidRPr="00D9182C">
        <w:rPr>
          <w:vertAlign w:val="superscript"/>
        </w:rPr>
        <w:t>st</w:t>
      </w:r>
      <w:r w:rsidR="00237B5F">
        <w:t>, 1918,</w:t>
      </w:r>
      <w:r w:rsidR="00D9182C">
        <w:t xml:space="preserve"> while on a night patrol</w:t>
      </w:r>
      <w:r w:rsidR="00237B5F">
        <w:t xml:space="preserve"> in the town of Fampas, France. A week </w:t>
      </w:r>
      <w:r w:rsidR="002A308A">
        <w:t>after the German Spring Offensive in March</w:t>
      </w:r>
      <w:r w:rsidR="00C87316">
        <w:t>,</w:t>
      </w:r>
      <w:r w:rsidR="00237B5F">
        <w:t xml:space="preserve"> he sent his last poem </w:t>
      </w:r>
      <w:r w:rsidR="00237B5F">
        <w:rPr>
          <w:i/>
          <w:iCs/>
        </w:rPr>
        <w:t>Through These Pale Cold Days</w:t>
      </w:r>
      <w:r w:rsidR="00237B5F">
        <w:t xml:space="preserve"> back home</w:t>
      </w:r>
      <w:r w:rsidR="00F735CB">
        <w:t xml:space="preserve">- </w:t>
      </w:r>
      <w:r w:rsidR="00323B3D">
        <w:t xml:space="preserve">fitting, as </w:t>
      </w:r>
      <w:r w:rsidR="008C26D9">
        <w:t>the poem portrays Rosenberg’s belief in the inevitable death of himself and his fellow soldiers.</w:t>
      </w:r>
      <w:r w:rsidR="00937B3E">
        <w:t xml:space="preserve"> It begins with the lines:</w:t>
      </w:r>
    </w:p>
    <w:p w14:paraId="1A2D749B" w14:textId="086AB70B" w:rsidR="00937B3E" w:rsidRDefault="00937B3E" w:rsidP="00937B3E">
      <w:pPr>
        <w:jc w:val="both"/>
      </w:pPr>
      <w:r>
        <w:t>“Through these pale cold days</w:t>
      </w:r>
    </w:p>
    <w:p w14:paraId="5CDF24E4" w14:textId="77777777" w:rsidR="00937B3E" w:rsidRDefault="00937B3E" w:rsidP="00937B3E">
      <w:pPr>
        <w:jc w:val="both"/>
      </w:pPr>
      <w:r>
        <w:t>What dark faces burn</w:t>
      </w:r>
    </w:p>
    <w:p w14:paraId="6E05CD6A" w14:textId="2CB02DD0" w:rsidR="00C5429D" w:rsidRDefault="00937B3E" w:rsidP="00937B3E">
      <w:pPr>
        <w:jc w:val="both"/>
      </w:pPr>
      <w:r>
        <w:lastRenderedPageBreak/>
        <w:t>Out of three thousand years,”</w:t>
      </w:r>
      <w:r w:rsidR="004C597F">
        <w:rPr>
          <w:rStyle w:val="FootnoteReference"/>
        </w:rPr>
        <w:footnoteReference w:id="19"/>
      </w:r>
    </w:p>
    <w:p w14:paraId="640E96AD" w14:textId="3435569D" w:rsidR="00937B3E" w:rsidRDefault="00210E0F" w:rsidP="00937B3E">
      <w:pPr>
        <w:jc w:val="both"/>
      </w:pPr>
      <w:r>
        <w:t xml:space="preserve">And </w:t>
      </w:r>
      <w:r w:rsidR="00F10D34">
        <w:t>compares the struggles of his Jewish ancestors to the current war</w:t>
      </w:r>
      <w:r w:rsidR="004C597F">
        <w:t xml:space="preserve">, commenting on the repetitive human nature of war, and how it has continued for the last 3000 years. </w:t>
      </w:r>
      <w:r w:rsidR="001A3C5E">
        <w:t>It was written four days before Rosenberg’s death</w:t>
      </w:r>
      <w:r w:rsidR="009553CA">
        <w:t xml:space="preserve">, </w:t>
      </w:r>
      <w:r w:rsidR="003D5C7B">
        <w:t xml:space="preserve">and since his collection of </w:t>
      </w:r>
      <w:r w:rsidR="003D5C7B">
        <w:rPr>
          <w:i/>
          <w:iCs/>
        </w:rPr>
        <w:t>Poems From the Trenches</w:t>
      </w:r>
      <w:r w:rsidR="003D5C7B">
        <w:t xml:space="preserve"> has become known as one of </w:t>
      </w:r>
      <w:r w:rsidR="00A20D86">
        <w:t>the best examples of First World War poetry.</w:t>
      </w:r>
    </w:p>
    <w:p w14:paraId="15EF0D14" w14:textId="77777777" w:rsidR="006D550C" w:rsidRDefault="006D550C" w:rsidP="00937B3E">
      <w:pPr>
        <w:jc w:val="both"/>
      </w:pPr>
    </w:p>
    <w:p w14:paraId="2E539586" w14:textId="77777777" w:rsidR="006D550C" w:rsidRDefault="006D550C" w:rsidP="00937B3E">
      <w:pPr>
        <w:jc w:val="both"/>
      </w:pPr>
    </w:p>
    <w:p w14:paraId="149FA5F2" w14:textId="77777777" w:rsidR="006D550C" w:rsidRDefault="006D550C" w:rsidP="00937B3E">
      <w:pPr>
        <w:jc w:val="both"/>
      </w:pPr>
    </w:p>
    <w:p w14:paraId="6B85014E" w14:textId="77777777" w:rsidR="006D550C" w:rsidRDefault="006D550C" w:rsidP="00937B3E">
      <w:pPr>
        <w:jc w:val="both"/>
      </w:pPr>
    </w:p>
    <w:p w14:paraId="783F0611" w14:textId="77777777" w:rsidR="006D550C" w:rsidRDefault="006D550C" w:rsidP="00937B3E">
      <w:pPr>
        <w:jc w:val="both"/>
      </w:pPr>
    </w:p>
    <w:p w14:paraId="2A2DC481" w14:textId="77777777" w:rsidR="006D550C" w:rsidRDefault="006D550C" w:rsidP="00937B3E">
      <w:pPr>
        <w:jc w:val="both"/>
      </w:pPr>
    </w:p>
    <w:p w14:paraId="605804AC" w14:textId="77777777" w:rsidR="006D550C" w:rsidRDefault="006D550C" w:rsidP="00937B3E">
      <w:pPr>
        <w:jc w:val="both"/>
      </w:pPr>
    </w:p>
    <w:p w14:paraId="53C4B9B9" w14:textId="77777777" w:rsidR="006D550C" w:rsidRDefault="006D550C" w:rsidP="00937B3E">
      <w:pPr>
        <w:jc w:val="both"/>
      </w:pPr>
    </w:p>
    <w:p w14:paraId="09B64E5E" w14:textId="77777777" w:rsidR="006D550C" w:rsidRDefault="006D550C" w:rsidP="00937B3E">
      <w:pPr>
        <w:jc w:val="both"/>
      </w:pPr>
    </w:p>
    <w:p w14:paraId="5954D8F1" w14:textId="77777777" w:rsidR="006D550C" w:rsidRDefault="006D550C" w:rsidP="00937B3E">
      <w:pPr>
        <w:jc w:val="both"/>
      </w:pPr>
    </w:p>
    <w:p w14:paraId="2EB0CBFE" w14:textId="77777777" w:rsidR="006D550C" w:rsidRDefault="006D550C" w:rsidP="00937B3E">
      <w:pPr>
        <w:jc w:val="both"/>
      </w:pPr>
    </w:p>
    <w:p w14:paraId="2FA9E752" w14:textId="77777777" w:rsidR="006D550C" w:rsidRDefault="006D550C" w:rsidP="00937B3E">
      <w:pPr>
        <w:jc w:val="both"/>
      </w:pPr>
    </w:p>
    <w:p w14:paraId="602B4D89" w14:textId="77777777" w:rsidR="006D550C" w:rsidRDefault="006D550C" w:rsidP="00937B3E">
      <w:pPr>
        <w:jc w:val="both"/>
      </w:pPr>
    </w:p>
    <w:p w14:paraId="57B3C225" w14:textId="77777777" w:rsidR="006D550C" w:rsidRDefault="006D550C" w:rsidP="00937B3E">
      <w:pPr>
        <w:jc w:val="both"/>
      </w:pPr>
    </w:p>
    <w:p w14:paraId="50DB0A99" w14:textId="77777777" w:rsidR="00AB2695" w:rsidRDefault="00AB2695" w:rsidP="00937B3E">
      <w:pPr>
        <w:jc w:val="both"/>
      </w:pPr>
    </w:p>
    <w:p w14:paraId="71AF4720" w14:textId="77777777" w:rsidR="00AB2695" w:rsidRDefault="00AB2695" w:rsidP="00937B3E">
      <w:pPr>
        <w:jc w:val="both"/>
      </w:pPr>
    </w:p>
    <w:p w14:paraId="347C3B0B" w14:textId="77777777" w:rsidR="00AB2695" w:rsidRDefault="00AB2695" w:rsidP="00937B3E">
      <w:pPr>
        <w:jc w:val="both"/>
      </w:pPr>
    </w:p>
    <w:p w14:paraId="08365B7D" w14:textId="77777777" w:rsidR="00AB2695" w:rsidRDefault="00AB2695" w:rsidP="00937B3E">
      <w:pPr>
        <w:jc w:val="both"/>
      </w:pPr>
    </w:p>
    <w:p w14:paraId="171B128A" w14:textId="77777777" w:rsidR="00AB2695" w:rsidRDefault="00AB2695" w:rsidP="00937B3E">
      <w:pPr>
        <w:jc w:val="both"/>
      </w:pPr>
    </w:p>
    <w:p w14:paraId="79CB0A9E" w14:textId="77777777" w:rsidR="00AB2695" w:rsidRDefault="00AB2695" w:rsidP="00937B3E">
      <w:pPr>
        <w:jc w:val="both"/>
      </w:pPr>
    </w:p>
    <w:p w14:paraId="62820044" w14:textId="77777777" w:rsidR="00AB2695" w:rsidRDefault="00AB2695" w:rsidP="00937B3E">
      <w:pPr>
        <w:jc w:val="both"/>
      </w:pPr>
    </w:p>
    <w:p w14:paraId="304D8553" w14:textId="77777777" w:rsidR="00AB2695" w:rsidRDefault="00AB2695" w:rsidP="00937B3E">
      <w:pPr>
        <w:jc w:val="both"/>
      </w:pPr>
    </w:p>
    <w:p w14:paraId="151EECC7" w14:textId="77777777" w:rsidR="00AB2695" w:rsidRDefault="00AB2695" w:rsidP="00937B3E">
      <w:pPr>
        <w:jc w:val="both"/>
      </w:pPr>
    </w:p>
    <w:p w14:paraId="7D1313F6" w14:textId="29008C9B" w:rsidR="006D550C" w:rsidRDefault="006D550C" w:rsidP="00937B3E">
      <w:pPr>
        <w:jc w:val="both"/>
      </w:pPr>
      <w:r>
        <w:t>Bibliography:</w:t>
      </w:r>
    </w:p>
    <w:p w14:paraId="63BCD12F" w14:textId="306692B2" w:rsidR="008171F3" w:rsidRDefault="008171F3" w:rsidP="00937B3E">
      <w:pPr>
        <w:jc w:val="both"/>
      </w:pPr>
      <w:r w:rsidRPr="008171F3">
        <w:lastRenderedPageBreak/>
        <w:t xml:space="preserve">Fara, </w:t>
      </w:r>
      <w:r>
        <w:t xml:space="preserve">Patricia, </w:t>
      </w:r>
      <w:r w:rsidRPr="008171F3">
        <w:t>Women, Science and Suffrage in World War 1, Notes and Records of the Royal Society of London, Vol. 69, No. 1, Special issue: Women and science (20 March 2015), pp. 11-24 &lt; https://www-jstor-org.ezproxy.uwtsd.ac.uk/stable/26312890?Search=yes&amp;resultItemClick=true&amp;searchText=british+women+in+world+war+one&amp;searchUri=%2Faction%2FdoBasicSearch%3FQuery%3Dbritish%2Bwomen%2Bin%2Bworld%2Bwar%2Bone%26so%3&gt; [date accessed 06/02/22] p.2</w:t>
      </w:r>
    </w:p>
    <w:p w14:paraId="5F6A1977" w14:textId="67CDF855" w:rsidR="00B9197E" w:rsidRDefault="00B9197E" w:rsidP="00937B3E">
      <w:pPr>
        <w:jc w:val="both"/>
      </w:pPr>
      <w:r w:rsidRPr="00B9197E">
        <w:t>Pyecrof</w:t>
      </w:r>
      <w:r>
        <w:t>t</w:t>
      </w:r>
      <w:r w:rsidRPr="00B9197E">
        <w:t>,</w:t>
      </w:r>
      <w:r>
        <w:t xml:space="preserve"> Susan,</w:t>
      </w:r>
      <w:r w:rsidRPr="00B9197E">
        <w:t xml:space="preserve"> ‘British Working Women in the First World War’, </w:t>
      </w:r>
      <w:r w:rsidRPr="00B9197E">
        <w:rPr>
          <w:i/>
          <w:iCs/>
        </w:rPr>
        <w:t>The Historian</w:t>
      </w:r>
      <w:r w:rsidRPr="00B9197E">
        <w:t xml:space="preserve">, Wiley Online Library, </w:t>
      </w:r>
      <w:r w:rsidRPr="00C5079A">
        <w:t>Vol.</w:t>
      </w:r>
      <w:r>
        <w:t xml:space="preserve"> </w:t>
      </w:r>
      <w:r w:rsidRPr="00C5079A">
        <w:t>56, No. 4 (SUMMER 1994</w:t>
      </w:r>
      <w:r w:rsidRPr="00B9197E">
        <w:t xml:space="preserve">, &lt;https://onlinelibrary.wiley.com/doi/abs/10.1111/j.1540-6563.1994.tb00928.x&gt; [date accessed 06/02/2022] </w:t>
      </w:r>
    </w:p>
    <w:p w14:paraId="27FBB091" w14:textId="386D97EC" w:rsidR="00582050" w:rsidRDefault="00582050" w:rsidP="00937B3E">
      <w:pPr>
        <w:jc w:val="both"/>
      </w:pPr>
      <w:r>
        <w:t xml:space="preserve">Roberts, David, </w:t>
      </w:r>
      <w:r>
        <w:rPr>
          <w:i/>
          <w:iCs/>
        </w:rPr>
        <w:t>Out in the Dark – Poetry of the First World War In Context and With Basic Notes, (Ipswich, Saxon Books, 1998) p. 140</w:t>
      </w:r>
    </w:p>
    <w:p w14:paraId="6B182F24" w14:textId="1389C949" w:rsidR="006D550C" w:rsidRDefault="00EA030D" w:rsidP="00937B3E">
      <w:pPr>
        <w:jc w:val="both"/>
      </w:pPr>
      <w:r>
        <w:t>Rosenberg,</w:t>
      </w:r>
      <w:r w:rsidR="00582050">
        <w:t xml:space="preserve"> Isaac</w:t>
      </w:r>
      <w:r>
        <w:t xml:space="preserve">, Dead Man’s Dump, </w:t>
      </w:r>
      <w:r w:rsidRPr="00D514C0">
        <w:rPr>
          <w:i/>
          <w:iCs/>
        </w:rPr>
        <w:t>The Collected Works of Isaac Rosenberg: Poetry, Prose, Letters, Paintings and Drawings / with a Foreword by Siegfried Sassoon; Edited with an Introduction and Notes by Ian Parson</w:t>
      </w:r>
      <w:r>
        <w:rPr>
          <w:i/>
          <w:iCs/>
        </w:rPr>
        <w:t xml:space="preserve">, </w:t>
      </w:r>
      <w:r w:rsidRPr="00D514C0">
        <w:t xml:space="preserve">ed. by </w:t>
      </w:r>
      <w:r>
        <w:t>Ian Parsons, (Oxford, Oxford University Press, 1979)</w:t>
      </w:r>
    </w:p>
    <w:p w14:paraId="2E15FD38" w14:textId="520F1FE4" w:rsidR="00582050" w:rsidRPr="006D550C" w:rsidRDefault="00582050" w:rsidP="00937B3E">
      <w:pPr>
        <w:jc w:val="both"/>
      </w:pPr>
      <w:r>
        <w:t xml:space="preserve">Rosenberg, Isaac, Through These Pale Cold Days, </w:t>
      </w:r>
      <w:r w:rsidRPr="00D514C0">
        <w:rPr>
          <w:i/>
          <w:iCs/>
        </w:rPr>
        <w:t>The Collected Works of Isaac Rosenberg: Poetry, Prose, Letters, Paintings and Drawings / with a Foreword by Siegfried Sassoon; Edited with an Introduction and Notes by Ian Parson</w:t>
      </w:r>
      <w:r>
        <w:rPr>
          <w:i/>
          <w:iCs/>
        </w:rPr>
        <w:t xml:space="preserve">, </w:t>
      </w:r>
      <w:r w:rsidRPr="00D514C0">
        <w:t xml:space="preserve">ed. by </w:t>
      </w:r>
      <w:r>
        <w:t>Ian Parsons, (Oxford, Oxford University Press, 1979)</w:t>
      </w:r>
    </w:p>
    <w:sectPr w:rsidR="00582050" w:rsidRPr="006D55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3FFAB" w14:textId="77777777" w:rsidR="00A86445" w:rsidRDefault="00A86445" w:rsidP="00A86445">
      <w:pPr>
        <w:spacing w:after="0" w:line="240" w:lineRule="auto"/>
      </w:pPr>
      <w:r>
        <w:separator/>
      </w:r>
    </w:p>
  </w:endnote>
  <w:endnote w:type="continuationSeparator" w:id="0">
    <w:p w14:paraId="2D412A61" w14:textId="77777777" w:rsidR="00A86445" w:rsidRDefault="00A86445" w:rsidP="00A86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710F0" w14:textId="77777777" w:rsidR="00A86445" w:rsidRDefault="00A86445" w:rsidP="00A86445">
      <w:pPr>
        <w:spacing w:after="0" w:line="240" w:lineRule="auto"/>
      </w:pPr>
      <w:r>
        <w:separator/>
      </w:r>
    </w:p>
  </w:footnote>
  <w:footnote w:type="continuationSeparator" w:id="0">
    <w:p w14:paraId="5B488475" w14:textId="77777777" w:rsidR="00A86445" w:rsidRDefault="00A86445" w:rsidP="00A86445">
      <w:pPr>
        <w:spacing w:after="0" w:line="240" w:lineRule="auto"/>
      </w:pPr>
      <w:r>
        <w:continuationSeparator/>
      </w:r>
    </w:p>
  </w:footnote>
  <w:footnote w:id="1">
    <w:p w14:paraId="1B2F60B8" w14:textId="6B8D8135" w:rsidR="003E447C" w:rsidRPr="00B474B5" w:rsidRDefault="003E447C">
      <w:pPr>
        <w:pStyle w:val="FootnoteText"/>
      </w:pPr>
      <w:r>
        <w:rPr>
          <w:rStyle w:val="FootnoteReference"/>
        </w:rPr>
        <w:footnoteRef/>
      </w:r>
      <w:r>
        <w:t xml:space="preserve"> </w:t>
      </w:r>
      <w:r w:rsidR="00647A9F">
        <w:t>Susan Py</w:t>
      </w:r>
      <w:r w:rsidR="00363465">
        <w:t>e</w:t>
      </w:r>
      <w:r w:rsidR="00647A9F">
        <w:t>c</w:t>
      </w:r>
      <w:r w:rsidR="00363465">
        <w:t xml:space="preserve">roft, </w:t>
      </w:r>
      <w:r w:rsidR="00FD67DF">
        <w:t>‘</w:t>
      </w:r>
      <w:r w:rsidR="00363465" w:rsidRPr="00FD67DF">
        <w:t>British Working Women in the First World War</w:t>
      </w:r>
      <w:r w:rsidR="00FD67DF">
        <w:t>’</w:t>
      </w:r>
      <w:r w:rsidR="00AC647A">
        <w:rPr>
          <w:i/>
          <w:iCs/>
        </w:rPr>
        <w:t xml:space="preserve">, </w:t>
      </w:r>
      <w:r w:rsidR="00B474B5">
        <w:rPr>
          <w:i/>
          <w:iCs/>
        </w:rPr>
        <w:t xml:space="preserve">The Historian, </w:t>
      </w:r>
      <w:r w:rsidR="00B474B5">
        <w:t xml:space="preserve">Wiley Online Library, </w:t>
      </w:r>
      <w:r w:rsidR="00C5079A" w:rsidRPr="00C5079A">
        <w:t>Vol. 56, No. 4 (SUMMER 1994), pp. 699-710</w:t>
      </w:r>
      <w:r w:rsidR="00C5079A">
        <w:t xml:space="preserve">, </w:t>
      </w:r>
      <w:r w:rsidR="00160C1D">
        <w:t>&lt;</w:t>
      </w:r>
      <w:hyperlink r:id="rId1" w:history="1">
        <w:r w:rsidR="00160C1D" w:rsidRPr="00615476">
          <w:rPr>
            <w:rStyle w:val="Hyperlink"/>
          </w:rPr>
          <w:t>https://onlinelibrary.wiley.com/doi/abs/10.1111/j.1540-6563.1994.tb00928.x</w:t>
        </w:r>
      </w:hyperlink>
      <w:r w:rsidR="00160C1D">
        <w:t>&gt; [date accessed 06/02/2022</w:t>
      </w:r>
      <w:r w:rsidR="00F45361">
        <w:t>]</w:t>
      </w:r>
    </w:p>
  </w:footnote>
  <w:footnote w:id="2">
    <w:p w14:paraId="6555D19D" w14:textId="370B5AB0" w:rsidR="00EF61EF" w:rsidRDefault="00EF61EF">
      <w:pPr>
        <w:pStyle w:val="FootnoteText"/>
      </w:pPr>
      <w:r>
        <w:rPr>
          <w:rStyle w:val="FootnoteReference"/>
        </w:rPr>
        <w:footnoteRef/>
      </w:r>
      <w:r>
        <w:t xml:space="preserve"> </w:t>
      </w:r>
      <w:bookmarkStart w:id="0" w:name="_Hlk95070357"/>
      <w:r>
        <w:t>Susan Pyecroft, ‘</w:t>
      </w:r>
      <w:r w:rsidRPr="00FD67DF">
        <w:t>British Working Women in the First World War</w:t>
      </w:r>
      <w:r>
        <w:t>’</w:t>
      </w:r>
      <w:r>
        <w:rPr>
          <w:i/>
          <w:iCs/>
        </w:rPr>
        <w:t xml:space="preserve">, The Historian, </w:t>
      </w:r>
      <w:r>
        <w:t xml:space="preserve">Wiley Online Library, </w:t>
      </w:r>
      <w:r w:rsidRPr="00C5079A">
        <w:t>Vol. 56, No. 4 (SUMMER 1994), pp. 699-710</w:t>
      </w:r>
      <w:r>
        <w:t>, &lt;</w:t>
      </w:r>
      <w:hyperlink r:id="rId2" w:history="1">
        <w:r w:rsidRPr="00615476">
          <w:rPr>
            <w:rStyle w:val="Hyperlink"/>
          </w:rPr>
          <w:t>https://onlinelibrary.wiley.com/doi/abs/10.1111/j.1540-6563.1994.tb00928.x</w:t>
        </w:r>
      </w:hyperlink>
      <w:r>
        <w:t>&gt; [date accessed 06/02/2022]</w:t>
      </w:r>
      <w:r>
        <w:t xml:space="preserve"> p. </w:t>
      </w:r>
      <w:r w:rsidR="00090B54">
        <w:t>5</w:t>
      </w:r>
      <w:bookmarkEnd w:id="0"/>
    </w:p>
  </w:footnote>
  <w:footnote w:id="3">
    <w:p w14:paraId="3670D292" w14:textId="22362976" w:rsidR="00EF6B26" w:rsidRDefault="00EF6B26">
      <w:pPr>
        <w:pStyle w:val="FootnoteText"/>
      </w:pPr>
      <w:r>
        <w:rPr>
          <w:rStyle w:val="FootnoteReference"/>
        </w:rPr>
        <w:footnoteRef/>
      </w:r>
      <w:r>
        <w:t xml:space="preserve"> </w:t>
      </w:r>
      <w:r>
        <w:t>Susan Pyecroft, ‘</w:t>
      </w:r>
      <w:r w:rsidRPr="00FD67DF">
        <w:t>British Working Women in the First World War</w:t>
      </w:r>
      <w:r>
        <w:t>’</w:t>
      </w:r>
      <w:r>
        <w:rPr>
          <w:i/>
          <w:iCs/>
        </w:rPr>
        <w:t xml:space="preserve">, The Historian, </w:t>
      </w:r>
      <w:r>
        <w:t xml:space="preserve">Wiley Online Library, </w:t>
      </w:r>
      <w:r w:rsidRPr="00C5079A">
        <w:t>Vol. 56, No. 4 (SUMMER 1994), pp. 699-710</w:t>
      </w:r>
      <w:r>
        <w:t>, &lt;</w:t>
      </w:r>
      <w:hyperlink r:id="rId3" w:history="1">
        <w:r w:rsidRPr="00615476">
          <w:rPr>
            <w:rStyle w:val="Hyperlink"/>
          </w:rPr>
          <w:t>https://onlinelibrary.wiley.com/doi/abs/10.1111/j.1540-6563.1994.tb00928.x</w:t>
        </w:r>
      </w:hyperlink>
      <w:r>
        <w:t xml:space="preserve">&gt; [date accessed 06/02/2022] p. </w:t>
      </w:r>
      <w:r>
        <w:t>9</w:t>
      </w:r>
    </w:p>
  </w:footnote>
  <w:footnote w:id="4">
    <w:p w14:paraId="22166DC1" w14:textId="1D1136BC" w:rsidR="0029625C" w:rsidRDefault="0029625C">
      <w:pPr>
        <w:pStyle w:val="FootnoteText"/>
      </w:pPr>
      <w:r>
        <w:rPr>
          <w:rStyle w:val="FootnoteReference"/>
        </w:rPr>
        <w:footnoteRef/>
      </w:r>
      <w:r>
        <w:t xml:space="preserve"> </w:t>
      </w:r>
      <w:r>
        <w:t>Susan Pyecroft, ‘</w:t>
      </w:r>
      <w:r w:rsidRPr="00FD67DF">
        <w:t>British Working Women in the First World War</w:t>
      </w:r>
      <w:r>
        <w:t>’</w:t>
      </w:r>
      <w:r>
        <w:rPr>
          <w:i/>
          <w:iCs/>
        </w:rPr>
        <w:t xml:space="preserve">, The Historian, </w:t>
      </w:r>
      <w:r>
        <w:t xml:space="preserve">Wiley Online Library, </w:t>
      </w:r>
      <w:r w:rsidRPr="00C5079A">
        <w:t>Vol. 56, No. 4 (SUMMER 1994), pp. 699-710</w:t>
      </w:r>
      <w:r>
        <w:t>, &lt;</w:t>
      </w:r>
      <w:hyperlink r:id="rId4" w:history="1">
        <w:r w:rsidRPr="00615476">
          <w:rPr>
            <w:rStyle w:val="Hyperlink"/>
          </w:rPr>
          <w:t>https://onlinelibrary.wiley.com/doi/abs/10.1111/j.1540-6563.1994.tb00928.x</w:t>
        </w:r>
      </w:hyperlink>
      <w:r>
        <w:t xml:space="preserve">&gt; [date accessed 06/02/2022] p. </w:t>
      </w:r>
      <w:r w:rsidR="00B9197E">
        <w:t>10</w:t>
      </w:r>
    </w:p>
  </w:footnote>
  <w:footnote w:id="5">
    <w:p w14:paraId="6E45EE96" w14:textId="60FF500C" w:rsidR="00551C42" w:rsidRDefault="00551C42">
      <w:pPr>
        <w:pStyle w:val="FootnoteText"/>
      </w:pPr>
      <w:r>
        <w:rPr>
          <w:rStyle w:val="FootnoteReference"/>
        </w:rPr>
        <w:footnoteRef/>
      </w:r>
      <w:r>
        <w:t xml:space="preserve"> </w:t>
      </w:r>
      <w:r>
        <w:t>Susan Pyecroft, ‘</w:t>
      </w:r>
      <w:r w:rsidRPr="00FD67DF">
        <w:t>British Working Women in the First World War</w:t>
      </w:r>
      <w:r>
        <w:t>’</w:t>
      </w:r>
      <w:r>
        <w:rPr>
          <w:i/>
          <w:iCs/>
        </w:rPr>
        <w:t xml:space="preserve">, The Historian, </w:t>
      </w:r>
      <w:r>
        <w:t xml:space="preserve">Wiley Online Library, </w:t>
      </w:r>
      <w:r w:rsidRPr="00C5079A">
        <w:t>Vol. 56, No. 4 (SUMMER 1994), pp. 699-710</w:t>
      </w:r>
      <w:r>
        <w:t>, &lt;</w:t>
      </w:r>
      <w:hyperlink r:id="rId5" w:history="1">
        <w:r w:rsidRPr="00615476">
          <w:rPr>
            <w:rStyle w:val="Hyperlink"/>
          </w:rPr>
          <w:t>https://onlinelibrary.wiley.com/doi/abs/10.1111/j.1540-6563.1994.tb00928.x</w:t>
        </w:r>
      </w:hyperlink>
      <w:r>
        <w:t>&gt; [date accessed 06/02/2022] p. 1</w:t>
      </w:r>
      <w:r>
        <w:t>1</w:t>
      </w:r>
    </w:p>
  </w:footnote>
  <w:footnote w:id="6">
    <w:p w14:paraId="030CDCD0" w14:textId="4B6EAE55" w:rsidR="00CA3103" w:rsidRDefault="00CA3103" w:rsidP="00CA3103">
      <w:pPr>
        <w:pStyle w:val="FootnoteText"/>
      </w:pPr>
      <w:r>
        <w:rPr>
          <w:rStyle w:val="FootnoteReference"/>
        </w:rPr>
        <w:footnoteRef/>
      </w:r>
      <w:r>
        <w:t xml:space="preserve"> </w:t>
      </w:r>
      <w:r>
        <w:t>Susan Pyecroft, ‘</w:t>
      </w:r>
      <w:r w:rsidRPr="00FD67DF">
        <w:t>British Working Women in the First World War</w:t>
      </w:r>
      <w:r>
        <w:t>’</w:t>
      </w:r>
      <w:r>
        <w:rPr>
          <w:i/>
          <w:iCs/>
        </w:rPr>
        <w:t xml:space="preserve">, The Historian, </w:t>
      </w:r>
      <w:r>
        <w:t xml:space="preserve">Wiley Online Library, </w:t>
      </w:r>
      <w:r w:rsidRPr="00C5079A">
        <w:t>Vol. 56, No. 4 (SUMMER 1994), pp. 699-710</w:t>
      </w:r>
      <w:r>
        <w:t>, &lt;</w:t>
      </w:r>
      <w:hyperlink r:id="rId6" w:history="1">
        <w:r w:rsidRPr="00615476">
          <w:rPr>
            <w:rStyle w:val="Hyperlink"/>
          </w:rPr>
          <w:t>https://onlinelibrary.wiley.com/doi/abs/10.1111/j.1540-6563.1994.tb00928.x</w:t>
        </w:r>
      </w:hyperlink>
      <w:r>
        <w:t>&gt; [date accessed 06/02/2022] p. 11</w:t>
      </w:r>
    </w:p>
  </w:footnote>
  <w:footnote w:id="7">
    <w:p w14:paraId="106CD371" w14:textId="51B589BA" w:rsidR="00AD39DC" w:rsidRDefault="00AD39DC">
      <w:pPr>
        <w:pStyle w:val="FootnoteText"/>
      </w:pPr>
      <w:r>
        <w:rPr>
          <w:rStyle w:val="FootnoteReference"/>
        </w:rPr>
        <w:footnoteRef/>
      </w:r>
      <w:r>
        <w:t xml:space="preserve"> </w:t>
      </w:r>
      <w:r>
        <w:t>Susan Pyecroft, ‘</w:t>
      </w:r>
      <w:r w:rsidRPr="00FD67DF">
        <w:t>British Working Women in the First World War</w:t>
      </w:r>
      <w:r>
        <w:t>’</w:t>
      </w:r>
      <w:r>
        <w:rPr>
          <w:i/>
          <w:iCs/>
        </w:rPr>
        <w:t xml:space="preserve">, The Historian, </w:t>
      </w:r>
      <w:r>
        <w:t xml:space="preserve">Wiley Online Library, </w:t>
      </w:r>
      <w:r w:rsidRPr="00C5079A">
        <w:t>Vol. 56, No. 4 (SUMMER 1994), pp. 699-710</w:t>
      </w:r>
      <w:r>
        <w:t>, &lt;</w:t>
      </w:r>
      <w:hyperlink r:id="rId7" w:history="1">
        <w:r w:rsidRPr="00615476">
          <w:rPr>
            <w:rStyle w:val="Hyperlink"/>
          </w:rPr>
          <w:t>https://onlinelibrary.wiley.com/doi/abs/10.1111/j.1540-6563.1994.tb00928.x</w:t>
        </w:r>
      </w:hyperlink>
      <w:r>
        <w:t>&gt; [date accessed 06/02/2022] p. 11</w:t>
      </w:r>
    </w:p>
  </w:footnote>
  <w:footnote w:id="8">
    <w:p w14:paraId="1CEBBA40" w14:textId="18C08A91" w:rsidR="006F28FB" w:rsidRDefault="006F28FB" w:rsidP="006F28FB">
      <w:pPr>
        <w:pStyle w:val="FootnoteText"/>
      </w:pPr>
      <w:r>
        <w:rPr>
          <w:rStyle w:val="FootnoteReference"/>
        </w:rPr>
        <w:footnoteRef/>
      </w:r>
      <w:r>
        <w:t xml:space="preserve"> </w:t>
      </w:r>
      <w:r>
        <w:t>Susan Pyecroft, ‘</w:t>
      </w:r>
      <w:r w:rsidRPr="00FD67DF">
        <w:t>British Working Women in the First World War</w:t>
      </w:r>
      <w:r>
        <w:t>’</w:t>
      </w:r>
      <w:r>
        <w:rPr>
          <w:i/>
          <w:iCs/>
        </w:rPr>
        <w:t xml:space="preserve">, The Historian, </w:t>
      </w:r>
      <w:r>
        <w:t xml:space="preserve">Wiley Online Library, </w:t>
      </w:r>
      <w:r w:rsidRPr="00C5079A">
        <w:t>Vol. 56, No. 4 (SUMMER 1994), pp. 699-710</w:t>
      </w:r>
      <w:r>
        <w:t>, &lt;</w:t>
      </w:r>
      <w:hyperlink r:id="rId8" w:history="1">
        <w:r w:rsidRPr="00615476">
          <w:rPr>
            <w:rStyle w:val="Hyperlink"/>
          </w:rPr>
          <w:t>https://onlinelibrary.wiley.com/doi/abs/10.1111/j.1540-6563.1994.tb00928.x</w:t>
        </w:r>
      </w:hyperlink>
      <w:r>
        <w:t xml:space="preserve">&gt; [date accessed 06/02/2022] p. </w:t>
      </w:r>
      <w:r w:rsidR="00B23F8E">
        <w:t>12</w:t>
      </w:r>
    </w:p>
  </w:footnote>
  <w:footnote w:id="9">
    <w:p w14:paraId="36B5D2BB" w14:textId="70538E2D" w:rsidR="00517A2B" w:rsidRDefault="00517A2B" w:rsidP="00517A2B">
      <w:pPr>
        <w:pStyle w:val="FootnoteText"/>
      </w:pPr>
      <w:r>
        <w:rPr>
          <w:rStyle w:val="FootnoteReference"/>
        </w:rPr>
        <w:footnoteRef/>
      </w:r>
      <w:r>
        <w:t xml:space="preserve"> </w:t>
      </w:r>
      <w:r>
        <w:t>Susan Pyecroft, ‘</w:t>
      </w:r>
      <w:r w:rsidRPr="00FD67DF">
        <w:t>British Working Women in the First World War</w:t>
      </w:r>
      <w:r>
        <w:t>’</w:t>
      </w:r>
      <w:r>
        <w:rPr>
          <w:i/>
          <w:iCs/>
        </w:rPr>
        <w:t xml:space="preserve">, The Historian, </w:t>
      </w:r>
      <w:r>
        <w:t xml:space="preserve">Wiley Online Library, </w:t>
      </w:r>
      <w:r w:rsidRPr="00C5079A">
        <w:t>Vol. 56, No. 4 (SUMMER 1994), pp. 699-710</w:t>
      </w:r>
      <w:r>
        <w:t>, &lt;</w:t>
      </w:r>
      <w:hyperlink r:id="rId9" w:history="1">
        <w:r w:rsidRPr="00615476">
          <w:rPr>
            <w:rStyle w:val="Hyperlink"/>
          </w:rPr>
          <w:t>https://onlinelibrary.wiley.com/doi/abs/10.1111/j.1540-6563.1994.tb00928.x</w:t>
        </w:r>
      </w:hyperlink>
      <w:r>
        <w:t xml:space="preserve">&gt; [date accessed 06/02/2022] p. </w:t>
      </w:r>
      <w:r w:rsidR="00E40860">
        <w:t>8</w:t>
      </w:r>
    </w:p>
  </w:footnote>
  <w:footnote w:id="10">
    <w:p w14:paraId="0B2B8B0A" w14:textId="10748AD3" w:rsidR="00DF4A1A" w:rsidRDefault="00DF4A1A">
      <w:pPr>
        <w:pStyle w:val="FootnoteText"/>
      </w:pPr>
      <w:r>
        <w:rPr>
          <w:rStyle w:val="FootnoteReference"/>
        </w:rPr>
        <w:footnoteRef/>
      </w:r>
      <w:r>
        <w:t xml:space="preserve"> Patricia Fara, Women, Science and Suffrage in World War 1, </w:t>
      </w:r>
      <w:r w:rsidR="00A06A53" w:rsidRPr="00A06A53">
        <w:rPr>
          <w:i/>
          <w:iCs/>
        </w:rPr>
        <w:t>Notes and Records of the Royal Society of London</w:t>
      </w:r>
      <w:r w:rsidR="00A06A53" w:rsidRPr="00A06A53">
        <w:t>, Vol. 69, No. 1, Special issue: Women and science (20 March 2015), pp. 11-24</w:t>
      </w:r>
      <w:r w:rsidR="00A06A53">
        <w:t xml:space="preserve"> &lt;</w:t>
      </w:r>
      <w:r w:rsidR="00ED6A8E" w:rsidRPr="00ED6A8E">
        <w:t xml:space="preserve"> </w:t>
      </w:r>
      <w:hyperlink r:id="rId10" w:history="1">
        <w:r w:rsidR="00ED6A8E" w:rsidRPr="00615476">
          <w:rPr>
            <w:rStyle w:val="Hyperlink"/>
          </w:rPr>
          <w:t>https://www-jstor-org.ezproxy.uwtsd.ac.uk/stable/26312890?Search=yes&amp;resultItemClick=true&amp;searchText=british+women+in+world+war+one&amp;searchUri=%2Faction%2FdoBasicSearch%3FQuery%3Dbritish%2Bwomen%2Bin%2Bworld%2Bwar%2Bone%26so%3</w:t>
        </w:r>
      </w:hyperlink>
      <w:r w:rsidR="00ED6A8E">
        <w:t xml:space="preserve">&gt; [date accessed </w:t>
      </w:r>
      <w:r w:rsidR="00F06485">
        <w:t>06/02/22]</w:t>
      </w:r>
      <w:r w:rsidR="008171F3">
        <w:t xml:space="preserve"> p.2</w:t>
      </w:r>
    </w:p>
  </w:footnote>
  <w:footnote w:id="11">
    <w:p w14:paraId="67608510" w14:textId="093C2EE5" w:rsidR="00B34219" w:rsidRDefault="00B34219">
      <w:pPr>
        <w:pStyle w:val="FootnoteText"/>
      </w:pPr>
      <w:r>
        <w:rPr>
          <w:rStyle w:val="FootnoteReference"/>
        </w:rPr>
        <w:footnoteRef/>
      </w:r>
      <w:r>
        <w:t xml:space="preserve"> </w:t>
      </w:r>
      <w:bookmarkStart w:id="1" w:name="_Hlk95072671"/>
      <w:r>
        <w:t xml:space="preserve">Patricia Fara, Women, Science and Suffrage in World War 1, </w:t>
      </w:r>
      <w:r w:rsidRPr="00A06A53">
        <w:rPr>
          <w:i/>
          <w:iCs/>
        </w:rPr>
        <w:t>Notes and Records of the Royal Society of London</w:t>
      </w:r>
      <w:r w:rsidRPr="00A06A53">
        <w:t>, Vol. 69, No. 1, Special issue: Women and science (20 March 2015), pp. 11-24</w:t>
      </w:r>
      <w:r>
        <w:t xml:space="preserve"> &lt;</w:t>
      </w:r>
      <w:r w:rsidRPr="00ED6A8E">
        <w:t xml:space="preserve"> </w:t>
      </w:r>
      <w:hyperlink r:id="rId11" w:history="1">
        <w:r w:rsidRPr="00615476">
          <w:rPr>
            <w:rStyle w:val="Hyperlink"/>
          </w:rPr>
          <w:t>https://www-jstor-org.ezproxy.uwtsd.ac.uk/stable/26312890?Search=yes&amp;resultItemClick=true&amp;searchText=british+women+in+world+war+one&amp;searchUri=%2Faction%2FdoBasicSearch%3FQuery%3Dbritish%2Bwomen%2Bin%2Bworld%2Bwar%2Bone%26so%3</w:t>
        </w:r>
      </w:hyperlink>
      <w:r>
        <w:t>&gt; [date accessed 06/02/22]</w:t>
      </w:r>
      <w:r w:rsidR="008171F3">
        <w:t xml:space="preserve"> p.2</w:t>
      </w:r>
      <w:bookmarkEnd w:id="1"/>
    </w:p>
  </w:footnote>
  <w:footnote w:id="12">
    <w:p w14:paraId="4B596D0D" w14:textId="7283A43F" w:rsidR="00944A16" w:rsidRDefault="00944A16">
      <w:pPr>
        <w:pStyle w:val="FootnoteText"/>
      </w:pPr>
      <w:r>
        <w:rPr>
          <w:rStyle w:val="FootnoteReference"/>
        </w:rPr>
        <w:footnoteRef/>
      </w:r>
      <w:r>
        <w:t xml:space="preserve"> David Roberts, </w:t>
      </w:r>
      <w:r>
        <w:rPr>
          <w:i/>
          <w:iCs/>
        </w:rPr>
        <w:t>Out in the Dark – Poetry of the First World War In Context and With Basic Notes, (Ipswich, Saxon Books, 1998) p. 140</w:t>
      </w:r>
    </w:p>
  </w:footnote>
  <w:footnote w:id="13">
    <w:p w14:paraId="336C8E39" w14:textId="6E35C86C" w:rsidR="00A86445" w:rsidRPr="00D514C0" w:rsidRDefault="00A86445">
      <w:pPr>
        <w:pStyle w:val="FootnoteText"/>
      </w:pPr>
      <w:r>
        <w:rPr>
          <w:rStyle w:val="FootnoteReference"/>
        </w:rPr>
        <w:footnoteRef/>
      </w:r>
      <w:r>
        <w:t xml:space="preserve"> Isaac Rosenberg, </w:t>
      </w:r>
      <w:r w:rsidR="00D514C0">
        <w:t xml:space="preserve">Dead Man’s Dump, </w:t>
      </w:r>
      <w:r w:rsidR="00D514C0" w:rsidRPr="00D514C0">
        <w:rPr>
          <w:i/>
          <w:iCs/>
        </w:rPr>
        <w:t>The Collected Works of Isaac Rosenberg: Poetry, Prose, Letters, Paintings and Drawings / with a Foreword by Siegfried Sassoon; Edited with an Introduction and Notes by Ian Parson</w:t>
      </w:r>
      <w:r w:rsidR="00D514C0">
        <w:rPr>
          <w:i/>
          <w:iCs/>
        </w:rPr>
        <w:t xml:space="preserve">, </w:t>
      </w:r>
      <w:r w:rsidR="00D514C0" w:rsidRPr="00D514C0">
        <w:t xml:space="preserve">ed. by </w:t>
      </w:r>
      <w:r w:rsidR="00D514C0">
        <w:t>Ian Parsons, (Oxford, Oxford University Press, 1979)</w:t>
      </w:r>
    </w:p>
  </w:footnote>
  <w:footnote w:id="14">
    <w:p w14:paraId="78F23C0C" w14:textId="38015678" w:rsidR="000875EB" w:rsidRDefault="000875EB">
      <w:pPr>
        <w:pStyle w:val="FootnoteText"/>
      </w:pPr>
      <w:r>
        <w:rPr>
          <w:rStyle w:val="FootnoteReference"/>
        </w:rPr>
        <w:footnoteRef/>
      </w:r>
      <w:r>
        <w:t xml:space="preserve"> Isaac Rosenberg, Dead Man’s Dump, </w:t>
      </w:r>
      <w:r w:rsidRPr="00D514C0">
        <w:rPr>
          <w:i/>
          <w:iCs/>
        </w:rPr>
        <w:t>The Collected Works of Isaac Rosenberg: Poetry, Prose, Letters, Paintings and Drawings / with a Foreword by Siegfried Sassoon; Edited with an Introduction and Notes by Ian Parson</w:t>
      </w:r>
      <w:r>
        <w:rPr>
          <w:i/>
          <w:iCs/>
        </w:rPr>
        <w:t xml:space="preserve">, </w:t>
      </w:r>
      <w:r w:rsidRPr="00D514C0">
        <w:t xml:space="preserve">ed. by </w:t>
      </w:r>
      <w:r>
        <w:t>Ian Parsons, (Oxford, Oxford University Press, 1979)</w:t>
      </w:r>
    </w:p>
  </w:footnote>
  <w:footnote w:id="15">
    <w:p w14:paraId="4FA35118" w14:textId="47DE82D0" w:rsidR="00F90CB5" w:rsidRDefault="00F90CB5">
      <w:pPr>
        <w:pStyle w:val="FootnoteText"/>
      </w:pPr>
      <w:r>
        <w:rPr>
          <w:rStyle w:val="FootnoteReference"/>
        </w:rPr>
        <w:footnoteRef/>
      </w:r>
      <w:r>
        <w:t xml:space="preserve"> Isaac Rosenberg, Dead Man’s Dump, </w:t>
      </w:r>
      <w:r w:rsidRPr="00D514C0">
        <w:rPr>
          <w:i/>
          <w:iCs/>
        </w:rPr>
        <w:t>The Collected Works of Isaac Rosenberg: Poetry, Prose, Letters, Paintings and Drawings / with a Foreword by Siegfried Sassoon; Edited with an Introduction and Notes by Ian Parson</w:t>
      </w:r>
      <w:r>
        <w:rPr>
          <w:i/>
          <w:iCs/>
        </w:rPr>
        <w:t xml:space="preserve">, </w:t>
      </w:r>
      <w:r w:rsidRPr="00D514C0">
        <w:t xml:space="preserve">ed. by </w:t>
      </w:r>
      <w:r>
        <w:t>Ian Parsons, (Oxford, Oxford University Press, 1979)</w:t>
      </w:r>
    </w:p>
  </w:footnote>
  <w:footnote w:id="16">
    <w:p w14:paraId="15B7C37A" w14:textId="52154023" w:rsidR="00EA3189" w:rsidRPr="00A15E57" w:rsidRDefault="00EA3189">
      <w:pPr>
        <w:pStyle w:val="FootnoteText"/>
        <w:rPr>
          <w:i/>
          <w:iCs/>
        </w:rPr>
      </w:pPr>
      <w:r>
        <w:rPr>
          <w:rStyle w:val="FootnoteReference"/>
        </w:rPr>
        <w:footnoteRef/>
      </w:r>
      <w:r>
        <w:t xml:space="preserve"> </w:t>
      </w:r>
      <w:r w:rsidR="00A15E57">
        <w:t xml:space="preserve">David Roberts, </w:t>
      </w:r>
      <w:r w:rsidR="002B5AAA">
        <w:rPr>
          <w:i/>
          <w:iCs/>
        </w:rPr>
        <w:t xml:space="preserve">Out </w:t>
      </w:r>
      <w:r w:rsidR="00216AEA">
        <w:rPr>
          <w:i/>
          <w:iCs/>
        </w:rPr>
        <w:t>in</w:t>
      </w:r>
      <w:r w:rsidR="002B5AAA">
        <w:rPr>
          <w:i/>
          <w:iCs/>
        </w:rPr>
        <w:t xml:space="preserve"> the Dark – Poetry of the First World War In Context and With Basic Notes</w:t>
      </w:r>
      <w:r w:rsidR="00760496">
        <w:rPr>
          <w:i/>
          <w:iCs/>
        </w:rPr>
        <w:t>, (Ipswich, Saxon Books, 1998)</w:t>
      </w:r>
      <w:r w:rsidR="00216AEA">
        <w:rPr>
          <w:i/>
          <w:iCs/>
        </w:rPr>
        <w:t xml:space="preserve"> p. 140</w:t>
      </w:r>
    </w:p>
  </w:footnote>
  <w:footnote w:id="17">
    <w:p w14:paraId="16793AC3" w14:textId="50CFBFB1" w:rsidR="006914F8" w:rsidRDefault="006914F8">
      <w:pPr>
        <w:pStyle w:val="FootnoteText"/>
      </w:pPr>
      <w:r>
        <w:rPr>
          <w:rStyle w:val="FootnoteReference"/>
        </w:rPr>
        <w:footnoteRef/>
      </w:r>
      <w:r>
        <w:t xml:space="preserve"> Isaac Rosenberg, </w:t>
      </w:r>
      <w:r w:rsidR="00937B3E">
        <w:t>Through These Pale Cold Days</w:t>
      </w:r>
      <w:r>
        <w:t xml:space="preserve">, </w:t>
      </w:r>
      <w:r w:rsidRPr="00D514C0">
        <w:rPr>
          <w:i/>
          <w:iCs/>
        </w:rPr>
        <w:t>The Collected Works of Isaac Rosenberg: Poetry, Prose, Letters, Paintings and Drawings / with a Foreword by Siegfried Sassoon; Edited with an Introduction and Notes by Ian Parson</w:t>
      </w:r>
      <w:r>
        <w:rPr>
          <w:i/>
          <w:iCs/>
        </w:rPr>
        <w:t xml:space="preserve">, </w:t>
      </w:r>
      <w:r w:rsidRPr="00D514C0">
        <w:t xml:space="preserve">ed. by </w:t>
      </w:r>
      <w:r>
        <w:t>Ian Parsons, (Oxford, Oxford University Press, 1979)</w:t>
      </w:r>
    </w:p>
  </w:footnote>
  <w:footnote w:id="18">
    <w:p w14:paraId="3A6D153B" w14:textId="2F2272BF" w:rsidR="008D6E6C" w:rsidRDefault="008D6E6C">
      <w:pPr>
        <w:pStyle w:val="FootnoteText"/>
      </w:pPr>
      <w:r>
        <w:rPr>
          <w:rStyle w:val="FootnoteReference"/>
        </w:rPr>
        <w:footnoteRef/>
      </w:r>
      <w:r>
        <w:t xml:space="preserve"> Isaac Rosenberg, Dead Man’s Dump, </w:t>
      </w:r>
      <w:r w:rsidRPr="00D514C0">
        <w:rPr>
          <w:i/>
          <w:iCs/>
        </w:rPr>
        <w:t>The Collected Works of Isaac Rosenberg: Poetry, Prose, Letters, Paintings and Drawings / with a Foreword by Siegfried Sassoon; Edited with an Introduction and Notes by Ian Parson</w:t>
      </w:r>
      <w:r>
        <w:rPr>
          <w:i/>
          <w:iCs/>
        </w:rPr>
        <w:t xml:space="preserve">, </w:t>
      </w:r>
      <w:r w:rsidRPr="00D514C0">
        <w:t xml:space="preserve">ed. by </w:t>
      </w:r>
      <w:r>
        <w:t>Ian Parsons, (Oxford, Oxford University Press, 1979)</w:t>
      </w:r>
    </w:p>
  </w:footnote>
  <w:footnote w:id="19">
    <w:p w14:paraId="7DDA402A" w14:textId="16DCFB63" w:rsidR="004C597F" w:rsidRDefault="004C597F">
      <w:pPr>
        <w:pStyle w:val="FootnoteText"/>
      </w:pPr>
      <w:r>
        <w:rPr>
          <w:rStyle w:val="FootnoteReference"/>
        </w:rPr>
        <w:footnoteRef/>
      </w:r>
      <w:r>
        <w:t xml:space="preserve"> Isaac Rosenberg, Through These Pale Cold Days, </w:t>
      </w:r>
      <w:r w:rsidRPr="00D514C0">
        <w:rPr>
          <w:i/>
          <w:iCs/>
        </w:rPr>
        <w:t>The Collected Works of Isaac Rosenberg: Poetry, Prose, Letters, Paintings and Drawings / with a Foreword by Siegfried Sassoon; Edited with an Introduction and Notes by Ian Parson</w:t>
      </w:r>
      <w:r>
        <w:rPr>
          <w:i/>
          <w:iCs/>
        </w:rPr>
        <w:t xml:space="preserve">, </w:t>
      </w:r>
      <w:r w:rsidRPr="00D514C0">
        <w:t xml:space="preserve">ed. by </w:t>
      </w:r>
      <w:r>
        <w:t>Ian Parsons, (Oxford, Oxford University Press, 1979)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19A"/>
    <w:rsid w:val="00005CCE"/>
    <w:rsid w:val="00024F85"/>
    <w:rsid w:val="00034B2C"/>
    <w:rsid w:val="0006216E"/>
    <w:rsid w:val="00070639"/>
    <w:rsid w:val="00075294"/>
    <w:rsid w:val="000875EB"/>
    <w:rsid w:val="00090B54"/>
    <w:rsid w:val="000A7971"/>
    <w:rsid w:val="000B0133"/>
    <w:rsid w:val="000D75C1"/>
    <w:rsid w:val="000F4FB1"/>
    <w:rsid w:val="000F7FC2"/>
    <w:rsid w:val="00113F4D"/>
    <w:rsid w:val="0011492A"/>
    <w:rsid w:val="00121CFC"/>
    <w:rsid w:val="001310E6"/>
    <w:rsid w:val="00132A9B"/>
    <w:rsid w:val="001359EA"/>
    <w:rsid w:val="001471A5"/>
    <w:rsid w:val="0015163D"/>
    <w:rsid w:val="00152C7B"/>
    <w:rsid w:val="00160C1D"/>
    <w:rsid w:val="00170161"/>
    <w:rsid w:val="00171CD2"/>
    <w:rsid w:val="00172850"/>
    <w:rsid w:val="00183DBF"/>
    <w:rsid w:val="001A3C5E"/>
    <w:rsid w:val="001B4D17"/>
    <w:rsid w:val="001B5F7E"/>
    <w:rsid w:val="001C4F41"/>
    <w:rsid w:val="001C7608"/>
    <w:rsid w:val="001E3CDA"/>
    <w:rsid w:val="001F1C61"/>
    <w:rsid w:val="00210E0F"/>
    <w:rsid w:val="002110A0"/>
    <w:rsid w:val="00216AEA"/>
    <w:rsid w:val="00237B5F"/>
    <w:rsid w:val="002513D2"/>
    <w:rsid w:val="00254A6D"/>
    <w:rsid w:val="00260062"/>
    <w:rsid w:val="00265D97"/>
    <w:rsid w:val="00277879"/>
    <w:rsid w:val="00281DD9"/>
    <w:rsid w:val="00284816"/>
    <w:rsid w:val="0029625C"/>
    <w:rsid w:val="002A308A"/>
    <w:rsid w:val="002B5AAA"/>
    <w:rsid w:val="002C65F2"/>
    <w:rsid w:val="002C7C7F"/>
    <w:rsid w:val="002D0E91"/>
    <w:rsid w:val="002E0362"/>
    <w:rsid w:val="002E772F"/>
    <w:rsid w:val="002E7D89"/>
    <w:rsid w:val="002F638D"/>
    <w:rsid w:val="00314747"/>
    <w:rsid w:val="00314CCE"/>
    <w:rsid w:val="00323B3D"/>
    <w:rsid w:val="0032519A"/>
    <w:rsid w:val="00357241"/>
    <w:rsid w:val="00363465"/>
    <w:rsid w:val="00365108"/>
    <w:rsid w:val="0037609B"/>
    <w:rsid w:val="00377798"/>
    <w:rsid w:val="00380B93"/>
    <w:rsid w:val="003C14FA"/>
    <w:rsid w:val="003C5CEF"/>
    <w:rsid w:val="003C65B6"/>
    <w:rsid w:val="003D5C7B"/>
    <w:rsid w:val="003E447C"/>
    <w:rsid w:val="004269FE"/>
    <w:rsid w:val="00426B11"/>
    <w:rsid w:val="004314CB"/>
    <w:rsid w:val="00441397"/>
    <w:rsid w:val="00445FEC"/>
    <w:rsid w:val="0046064A"/>
    <w:rsid w:val="0046086D"/>
    <w:rsid w:val="00463CCE"/>
    <w:rsid w:val="004804E0"/>
    <w:rsid w:val="00491ADD"/>
    <w:rsid w:val="00494698"/>
    <w:rsid w:val="00494F2B"/>
    <w:rsid w:val="004B7660"/>
    <w:rsid w:val="004C597F"/>
    <w:rsid w:val="004D530C"/>
    <w:rsid w:val="00504043"/>
    <w:rsid w:val="00504873"/>
    <w:rsid w:val="00517A2B"/>
    <w:rsid w:val="005304A8"/>
    <w:rsid w:val="00541D3B"/>
    <w:rsid w:val="00551C42"/>
    <w:rsid w:val="00574C92"/>
    <w:rsid w:val="00582050"/>
    <w:rsid w:val="005B34F6"/>
    <w:rsid w:val="005B45C0"/>
    <w:rsid w:val="005C5B73"/>
    <w:rsid w:val="005D7C53"/>
    <w:rsid w:val="005E0C37"/>
    <w:rsid w:val="0060017E"/>
    <w:rsid w:val="0061480C"/>
    <w:rsid w:val="00614E8A"/>
    <w:rsid w:val="00626D3E"/>
    <w:rsid w:val="00647A9F"/>
    <w:rsid w:val="0067065C"/>
    <w:rsid w:val="00673282"/>
    <w:rsid w:val="00675CE2"/>
    <w:rsid w:val="0067718F"/>
    <w:rsid w:val="00682BCB"/>
    <w:rsid w:val="006914F8"/>
    <w:rsid w:val="006A749E"/>
    <w:rsid w:val="006B0DE3"/>
    <w:rsid w:val="006B67CC"/>
    <w:rsid w:val="006D550C"/>
    <w:rsid w:val="006E6CB3"/>
    <w:rsid w:val="006F28FB"/>
    <w:rsid w:val="006F5DA6"/>
    <w:rsid w:val="00722FCD"/>
    <w:rsid w:val="007452D2"/>
    <w:rsid w:val="00747646"/>
    <w:rsid w:val="00760496"/>
    <w:rsid w:val="00761C61"/>
    <w:rsid w:val="00774F1B"/>
    <w:rsid w:val="007A0876"/>
    <w:rsid w:val="007A0B3A"/>
    <w:rsid w:val="007F3526"/>
    <w:rsid w:val="0080043F"/>
    <w:rsid w:val="008171F3"/>
    <w:rsid w:val="00834ED6"/>
    <w:rsid w:val="00853185"/>
    <w:rsid w:val="00853DBC"/>
    <w:rsid w:val="00875FAB"/>
    <w:rsid w:val="008811B2"/>
    <w:rsid w:val="0088737B"/>
    <w:rsid w:val="008979FB"/>
    <w:rsid w:val="00897C0C"/>
    <w:rsid w:val="008A3BEC"/>
    <w:rsid w:val="008B33DD"/>
    <w:rsid w:val="008C26D9"/>
    <w:rsid w:val="008C70DC"/>
    <w:rsid w:val="008D6E6C"/>
    <w:rsid w:val="008E4DDC"/>
    <w:rsid w:val="008F064E"/>
    <w:rsid w:val="0092110E"/>
    <w:rsid w:val="009260DA"/>
    <w:rsid w:val="009333A2"/>
    <w:rsid w:val="009377D5"/>
    <w:rsid w:val="00937B3E"/>
    <w:rsid w:val="00943745"/>
    <w:rsid w:val="00944A16"/>
    <w:rsid w:val="009553CA"/>
    <w:rsid w:val="009615A0"/>
    <w:rsid w:val="009771C6"/>
    <w:rsid w:val="00992CAF"/>
    <w:rsid w:val="009B0344"/>
    <w:rsid w:val="009B043F"/>
    <w:rsid w:val="009B7D16"/>
    <w:rsid w:val="009C5505"/>
    <w:rsid w:val="009E3922"/>
    <w:rsid w:val="00A06A53"/>
    <w:rsid w:val="00A11251"/>
    <w:rsid w:val="00A14552"/>
    <w:rsid w:val="00A15E57"/>
    <w:rsid w:val="00A20D86"/>
    <w:rsid w:val="00A3175B"/>
    <w:rsid w:val="00A363D3"/>
    <w:rsid w:val="00A40056"/>
    <w:rsid w:val="00A670D2"/>
    <w:rsid w:val="00A74FD2"/>
    <w:rsid w:val="00A826A8"/>
    <w:rsid w:val="00A86445"/>
    <w:rsid w:val="00AB2695"/>
    <w:rsid w:val="00AB5481"/>
    <w:rsid w:val="00AC264C"/>
    <w:rsid w:val="00AC4C29"/>
    <w:rsid w:val="00AC647A"/>
    <w:rsid w:val="00AD39DC"/>
    <w:rsid w:val="00AE2C3D"/>
    <w:rsid w:val="00B04594"/>
    <w:rsid w:val="00B052B5"/>
    <w:rsid w:val="00B23F8E"/>
    <w:rsid w:val="00B3240B"/>
    <w:rsid w:val="00B34219"/>
    <w:rsid w:val="00B36D3F"/>
    <w:rsid w:val="00B474B5"/>
    <w:rsid w:val="00B52B4A"/>
    <w:rsid w:val="00B80E66"/>
    <w:rsid w:val="00B9197E"/>
    <w:rsid w:val="00BB0DBF"/>
    <w:rsid w:val="00C34357"/>
    <w:rsid w:val="00C3440C"/>
    <w:rsid w:val="00C50030"/>
    <w:rsid w:val="00C5079A"/>
    <w:rsid w:val="00C5429D"/>
    <w:rsid w:val="00C728C0"/>
    <w:rsid w:val="00C7555A"/>
    <w:rsid w:val="00C7571F"/>
    <w:rsid w:val="00C822DC"/>
    <w:rsid w:val="00C86DAB"/>
    <w:rsid w:val="00C87316"/>
    <w:rsid w:val="00C931E5"/>
    <w:rsid w:val="00CA1576"/>
    <w:rsid w:val="00CA3103"/>
    <w:rsid w:val="00CC5601"/>
    <w:rsid w:val="00CD4EE1"/>
    <w:rsid w:val="00CF025F"/>
    <w:rsid w:val="00CF1DC2"/>
    <w:rsid w:val="00CF4B96"/>
    <w:rsid w:val="00D10607"/>
    <w:rsid w:val="00D10D8B"/>
    <w:rsid w:val="00D241DE"/>
    <w:rsid w:val="00D246C3"/>
    <w:rsid w:val="00D25C0A"/>
    <w:rsid w:val="00D460A2"/>
    <w:rsid w:val="00D47E1A"/>
    <w:rsid w:val="00D514C0"/>
    <w:rsid w:val="00D51726"/>
    <w:rsid w:val="00D55BD1"/>
    <w:rsid w:val="00D67CC9"/>
    <w:rsid w:val="00D7601D"/>
    <w:rsid w:val="00D90AB9"/>
    <w:rsid w:val="00D9182C"/>
    <w:rsid w:val="00D93448"/>
    <w:rsid w:val="00DB1C65"/>
    <w:rsid w:val="00DD49D6"/>
    <w:rsid w:val="00DD4D45"/>
    <w:rsid w:val="00DD5475"/>
    <w:rsid w:val="00DF4A1A"/>
    <w:rsid w:val="00E030F0"/>
    <w:rsid w:val="00E37161"/>
    <w:rsid w:val="00E40860"/>
    <w:rsid w:val="00E57D1B"/>
    <w:rsid w:val="00E906F9"/>
    <w:rsid w:val="00EA030D"/>
    <w:rsid w:val="00EA3189"/>
    <w:rsid w:val="00EB290D"/>
    <w:rsid w:val="00EB6F8B"/>
    <w:rsid w:val="00ED3B94"/>
    <w:rsid w:val="00ED6A8E"/>
    <w:rsid w:val="00EE63CA"/>
    <w:rsid w:val="00EF2108"/>
    <w:rsid w:val="00EF61EF"/>
    <w:rsid w:val="00EF6B26"/>
    <w:rsid w:val="00F00562"/>
    <w:rsid w:val="00F01F36"/>
    <w:rsid w:val="00F03369"/>
    <w:rsid w:val="00F06485"/>
    <w:rsid w:val="00F06E20"/>
    <w:rsid w:val="00F10D34"/>
    <w:rsid w:val="00F45361"/>
    <w:rsid w:val="00F735CB"/>
    <w:rsid w:val="00F90CB5"/>
    <w:rsid w:val="00F922AB"/>
    <w:rsid w:val="00FD0144"/>
    <w:rsid w:val="00FD66CE"/>
    <w:rsid w:val="00FD67DF"/>
    <w:rsid w:val="00FE1272"/>
    <w:rsid w:val="00FF4374"/>
    <w:rsid w:val="00FF4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85B58F"/>
  <w15:chartTrackingRefBased/>
  <w15:docId w15:val="{7498B360-BD58-409D-B17D-CEAA2F06E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864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86445"/>
    <w:rPr>
      <w:sz w:val="20"/>
      <w:szCs w:val="20"/>
    </w:rPr>
  </w:style>
  <w:style w:type="character" w:styleId="FootnoteReference">
    <w:name w:val="footnote reference"/>
    <w:basedOn w:val="DefaultParagraphFont"/>
    <w:uiPriority w:val="99"/>
    <w:semiHidden/>
    <w:unhideWhenUsed/>
    <w:rsid w:val="00A86445"/>
    <w:rPr>
      <w:vertAlign w:val="superscript"/>
    </w:rPr>
  </w:style>
  <w:style w:type="character" w:styleId="Hyperlink">
    <w:name w:val="Hyperlink"/>
    <w:basedOn w:val="DefaultParagraphFont"/>
    <w:uiPriority w:val="99"/>
    <w:unhideWhenUsed/>
    <w:rsid w:val="00160C1D"/>
    <w:rPr>
      <w:color w:val="0563C1" w:themeColor="hyperlink"/>
      <w:u w:val="single"/>
    </w:rPr>
  </w:style>
  <w:style w:type="character" w:styleId="UnresolvedMention">
    <w:name w:val="Unresolved Mention"/>
    <w:basedOn w:val="DefaultParagraphFont"/>
    <w:uiPriority w:val="99"/>
    <w:semiHidden/>
    <w:unhideWhenUsed/>
    <w:rsid w:val="00160C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953532">
      <w:bodyDiv w:val="1"/>
      <w:marLeft w:val="0"/>
      <w:marRight w:val="0"/>
      <w:marTop w:val="0"/>
      <w:marBottom w:val="0"/>
      <w:divBdr>
        <w:top w:val="none" w:sz="0" w:space="0" w:color="auto"/>
        <w:left w:val="none" w:sz="0" w:space="0" w:color="auto"/>
        <w:bottom w:val="none" w:sz="0" w:space="0" w:color="auto"/>
        <w:right w:val="none" w:sz="0" w:space="0" w:color="auto"/>
      </w:divBdr>
      <w:divsChild>
        <w:div w:id="2126195322">
          <w:marLeft w:val="0"/>
          <w:marRight w:val="0"/>
          <w:marTop w:val="0"/>
          <w:marBottom w:val="0"/>
          <w:divBdr>
            <w:top w:val="none" w:sz="0" w:space="0" w:color="auto"/>
            <w:left w:val="none" w:sz="0" w:space="0" w:color="auto"/>
            <w:bottom w:val="none" w:sz="0" w:space="0" w:color="auto"/>
            <w:right w:val="none" w:sz="0" w:space="0" w:color="auto"/>
          </w:divBdr>
        </w:div>
        <w:div w:id="260339349">
          <w:marLeft w:val="0"/>
          <w:marRight w:val="0"/>
          <w:marTop w:val="0"/>
          <w:marBottom w:val="0"/>
          <w:divBdr>
            <w:top w:val="none" w:sz="0" w:space="0" w:color="auto"/>
            <w:left w:val="none" w:sz="0" w:space="0" w:color="auto"/>
            <w:bottom w:val="none" w:sz="0" w:space="0" w:color="auto"/>
            <w:right w:val="none" w:sz="0" w:space="0" w:color="auto"/>
          </w:divBdr>
        </w:div>
        <w:div w:id="1675105204">
          <w:marLeft w:val="0"/>
          <w:marRight w:val="0"/>
          <w:marTop w:val="0"/>
          <w:marBottom w:val="0"/>
          <w:divBdr>
            <w:top w:val="none" w:sz="0" w:space="0" w:color="auto"/>
            <w:left w:val="none" w:sz="0" w:space="0" w:color="auto"/>
            <w:bottom w:val="none" w:sz="0" w:space="0" w:color="auto"/>
            <w:right w:val="none" w:sz="0" w:space="0" w:color="auto"/>
          </w:divBdr>
        </w:div>
        <w:div w:id="2106607476">
          <w:marLeft w:val="0"/>
          <w:marRight w:val="0"/>
          <w:marTop w:val="0"/>
          <w:marBottom w:val="0"/>
          <w:divBdr>
            <w:top w:val="none" w:sz="0" w:space="0" w:color="auto"/>
            <w:left w:val="none" w:sz="0" w:space="0" w:color="auto"/>
            <w:bottom w:val="none" w:sz="0" w:space="0" w:color="auto"/>
            <w:right w:val="none" w:sz="0" w:space="0" w:color="auto"/>
          </w:divBdr>
        </w:div>
      </w:divsChild>
    </w:div>
    <w:div w:id="825055863">
      <w:bodyDiv w:val="1"/>
      <w:marLeft w:val="0"/>
      <w:marRight w:val="0"/>
      <w:marTop w:val="0"/>
      <w:marBottom w:val="0"/>
      <w:divBdr>
        <w:top w:val="none" w:sz="0" w:space="0" w:color="auto"/>
        <w:left w:val="none" w:sz="0" w:space="0" w:color="auto"/>
        <w:bottom w:val="none" w:sz="0" w:space="0" w:color="auto"/>
        <w:right w:val="none" w:sz="0" w:space="0" w:color="auto"/>
      </w:divBdr>
      <w:divsChild>
        <w:div w:id="778990991">
          <w:marLeft w:val="0"/>
          <w:marRight w:val="0"/>
          <w:marTop w:val="0"/>
          <w:marBottom w:val="0"/>
          <w:divBdr>
            <w:top w:val="none" w:sz="0" w:space="0" w:color="auto"/>
            <w:left w:val="none" w:sz="0" w:space="0" w:color="auto"/>
            <w:bottom w:val="none" w:sz="0" w:space="0" w:color="auto"/>
            <w:right w:val="none" w:sz="0" w:space="0" w:color="auto"/>
          </w:divBdr>
        </w:div>
        <w:div w:id="565802557">
          <w:marLeft w:val="0"/>
          <w:marRight w:val="0"/>
          <w:marTop w:val="0"/>
          <w:marBottom w:val="0"/>
          <w:divBdr>
            <w:top w:val="none" w:sz="0" w:space="0" w:color="auto"/>
            <w:left w:val="none" w:sz="0" w:space="0" w:color="auto"/>
            <w:bottom w:val="none" w:sz="0" w:space="0" w:color="auto"/>
            <w:right w:val="none" w:sz="0" w:space="0" w:color="auto"/>
          </w:divBdr>
        </w:div>
        <w:div w:id="1039938394">
          <w:marLeft w:val="0"/>
          <w:marRight w:val="0"/>
          <w:marTop w:val="0"/>
          <w:marBottom w:val="0"/>
          <w:divBdr>
            <w:top w:val="none" w:sz="0" w:space="0" w:color="auto"/>
            <w:left w:val="none" w:sz="0" w:space="0" w:color="auto"/>
            <w:bottom w:val="none" w:sz="0" w:space="0" w:color="auto"/>
            <w:right w:val="none" w:sz="0" w:space="0" w:color="auto"/>
          </w:divBdr>
        </w:div>
        <w:div w:id="624700976">
          <w:marLeft w:val="0"/>
          <w:marRight w:val="0"/>
          <w:marTop w:val="0"/>
          <w:marBottom w:val="0"/>
          <w:divBdr>
            <w:top w:val="none" w:sz="0" w:space="0" w:color="auto"/>
            <w:left w:val="none" w:sz="0" w:space="0" w:color="auto"/>
            <w:bottom w:val="none" w:sz="0" w:space="0" w:color="auto"/>
            <w:right w:val="none" w:sz="0" w:space="0" w:color="auto"/>
          </w:divBdr>
        </w:div>
        <w:div w:id="186333850">
          <w:marLeft w:val="0"/>
          <w:marRight w:val="0"/>
          <w:marTop w:val="0"/>
          <w:marBottom w:val="0"/>
          <w:divBdr>
            <w:top w:val="none" w:sz="0" w:space="0" w:color="auto"/>
            <w:left w:val="none" w:sz="0" w:space="0" w:color="auto"/>
            <w:bottom w:val="none" w:sz="0" w:space="0" w:color="auto"/>
            <w:right w:val="none" w:sz="0" w:space="0" w:color="auto"/>
          </w:divBdr>
        </w:div>
        <w:div w:id="1096243001">
          <w:marLeft w:val="0"/>
          <w:marRight w:val="0"/>
          <w:marTop w:val="0"/>
          <w:marBottom w:val="0"/>
          <w:divBdr>
            <w:top w:val="none" w:sz="0" w:space="0" w:color="auto"/>
            <w:left w:val="none" w:sz="0" w:space="0" w:color="auto"/>
            <w:bottom w:val="none" w:sz="0" w:space="0" w:color="auto"/>
            <w:right w:val="none" w:sz="0" w:space="0" w:color="auto"/>
          </w:divBdr>
        </w:div>
        <w:div w:id="1330912669">
          <w:marLeft w:val="0"/>
          <w:marRight w:val="0"/>
          <w:marTop w:val="0"/>
          <w:marBottom w:val="0"/>
          <w:divBdr>
            <w:top w:val="none" w:sz="0" w:space="0" w:color="auto"/>
            <w:left w:val="none" w:sz="0" w:space="0" w:color="auto"/>
            <w:bottom w:val="none" w:sz="0" w:space="0" w:color="auto"/>
            <w:right w:val="none" w:sz="0" w:space="0" w:color="auto"/>
          </w:divBdr>
        </w:div>
        <w:div w:id="374546600">
          <w:marLeft w:val="0"/>
          <w:marRight w:val="0"/>
          <w:marTop w:val="0"/>
          <w:marBottom w:val="0"/>
          <w:divBdr>
            <w:top w:val="none" w:sz="0" w:space="0" w:color="auto"/>
            <w:left w:val="none" w:sz="0" w:space="0" w:color="auto"/>
            <w:bottom w:val="none" w:sz="0" w:space="0" w:color="auto"/>
            <w:right w:val="none" w:sz="0" w:space="0" w:color="auto"/>
          </w:divBdr>
        </w:div>
        <w:div w:id="1326472842">
          <w:marLeft w:val="0"/>
          <w:marRight w:val="0"/>
          <w:marTop w:val="0"/>
          <w:marBottom w:val="0"/>
          <w:divBdr>
            <w:top w:val="none" w:sz="0" w:space="0" w:color="auto"/>
            <w:left w:val="none" w:sz="0" w:space="0" w:color="auto"/>
            <w:bottom w:val="none" w:sz="0" w:space="0" w:color="auto"/>
            <w:right w:val="none" w:sz="0" w:space="0" w:color="auto"/>
          </w:divBdr>
        </w:div>
        <w:div w:id="83302381">
          <w:marLeft w:val="0"/>
          <w:marRight w:val="0"/>
          <w:marTop w:val="0"/>
          <w:marBottom w:val="0"/>
          <w:divBdr>
            <w:top w:val="none" w:sz="0" w:space="0" w:color="auto"/>
            <w:left w:val="none" w:sz="0" w:space="0" w:color="auto"/>
            <w:bottom w:val="none" w:sz="0" w:space="0" w:color="auto"/>
            <w:right w:val="none" w:sz="0" w:space="0" w:color="auto"/>
          </w:divBdr>
        </w:div>
        <w:div w:id="1956907828">
          <w:marLeft w:val="0"/>
          <w:marRight w:val="0"/>
          <w:marTop w:val="0"/>
          <w:marBottom w:val="0"/>
          <w:divBdr>
            <w:top w:val="none" w:sz="0" w:space="0" w:color="auto"/>
            <w:left w:val="none" w:sz="0" w:space="0" w:color="auto"/>
            <w:bottom w:val="none" w:sz="0" w:space="0" w:color="auto"/>
            <w:right w:val="none" w:sz="0" w:space="0" w:color="auto"/>
          </w:divBdr>
        </w:div>
        <w:div w:id="1111705841">
          <w:marLeft w:val="0"/>
          <w:marRight w:val="0"/>
          <w:marTop w:val="0"/>
          <w:marBottom w:val="0"/>
          <w:divBdr>
            <w:top w:val="none" w:sz="0" w:space="0" w:color="auto"/>
            <w:left w:val="none" w:sz="0" w:space="0" w:color="auto"/>
            <w:bottom w:val="none" w:sz="0" w:space="0" w:color="auto"/>
            <w:right w:val="none" w:sz="0" w:space="0" w:color="auto"/>
          </w:divBdr>
        </w:div>
        <w:div w:id="1704212290">
          <w:marLeft w:val="0"/>
          <w:marRight w:val="0"/>
          <w:marTop w:val="0"/>
          <w:marBottom w:val="0"/>
          <w:divBdr>
            <w:top w:val="none" w:sz="0" w:space="0" w:color="auto"/>
            <w:left w:val="none" w:sz="0" w:space="0" w:color="auto"/>
            <w:bottom w:val="none" w:sz="0" w:space="0" w:color="auto"/>
            <w:right w:val="none" w:sz="0" w:space="0" w:color="auto"/>
          </w:divBdr>
        </w:div>
        <w:div w:id="1841655231">
          <w:marLeft w:val="0"/>
          <w:marRight w:val="0"/>
          <w:marTop w:val="0"/>
          <w:marBottom w:val="0"/>
          <w:divBdr>
            <w:top w:val="none" w:sz="0" w:space="0" w:color="auto"/>
            <w:left w:val="none" w:sz="0" w:space="0" w:color="auto"/>
            <w:bottom w:val="none" w:sz="0" w:space="0" w:color="auto"/>
            <w:right w:val="none" w:sz="0" w:space="0" w:color="auto"/>
          </w:divBdr>
        </w:div>
        <w:div w:id="1361709641">
          <w:marLeft w:val="0"/>
          <w:marRight w:val="0"/>
          <w:marTop w:val="0"/>
          <w:marBottom w:val="0"/>
          <w:divBdr>
            <w:top w:val="none" w:sz="0" w:space="0" w:color="auto"/>
            <w:left w:val="none" w:sz="0" w:space="0" w:color="auto"/>
            <w:bottom w:val="none" w:sz="0" w:space="0" w:color="auto"/>
            <w:right w:val="none" w:sz="0" w:space="0" w:color="auto"/>
          </w:divBdr>
        </w:div>
        <w:div w:id="551505260">
          <w:marLeft w:val="0"/>
          <w:marRight w:val="0"/>
          <w:marTop w:val="0"/>
          <w:marBottom w:val="0"/>
          <w:divBdr>
            <w:top w:val="none" w:sz="0" w:space="0" w:color="auto"/>
            <w:left w:val="none" w:sz="0" w:space="0" w:color="auto"/>
            <w:bottom w:val="none" w:sz="0" w:space="0" w:color="auto"/>
            <w:right w:val="none" w:sz="0" w:space="0" w:color="auto"/>
          </w:divBdr>
        </w:div>
        <w:div w:id="1243224383">
          <w:marLeft w:val="0"/>
          <w:marRight w:val="0"/>
          <w:marTop w:val="0"/>
          <w:marBottom w:val="0"/>
          <w:divBdr>
            <w:top w:val="none" w:sz="0" w:space="0" w:color="auto"/>
            <w:left w:val="none" w:sz="0" w:space="0" w:color="auto"/>
            <w:bottom w:val="none" w:sz="0" w:space="0" w:color="auto"/>
            <w:right w:val="none" w:sz="0" w:space="0" w:color="auto"/>
          </w:divBdr>
        </w:div>
        <w:div w:id="657344703">
          <w:marLeft w:val="0"/>
          <w:marRight w:val="0"/>
          <w:marTop w:val="0"/>
          <w:marBottom w:val="0"/>
          <w:divBdr>
            <w:top w:val="none" w:sz="0" w:space="0" w:color="auto"/>
            <w:left w:val="none" w:sz="0" w:space="0" w:color="auto"/>
            <w:bottom w:val="none" w:sz="0" w:space="0" w:color="auto"/>
            <w:right w:val="none" w:sz="0" w:space="0" w:color="auto"/>
          </w:divBdr>
        </w:div>
        <w:div w:id="1489515587">
          <w:marLeft w:val="0"/>
          <w:marRight w:val="0"/>
          <w:marTop w:val="0"/>
          <w:marBottom w:val="0"/>
          <w:divBdr>
            <w:top w:val="none" w:sz="0" w:space="0" w:color="auto"/>
            <w:left w:val="none" w:sz="0" w:space="0" w:color="auto"/>
            <w:bottom w:val="none" w:sz="0" w:space="0" w:color="auto"/>
            <w:right w:val="none" w:sz="0" w:space="0" w:color="auto"/>
          </w:divBdr>
        </w:div>
        <w:div w:id="44137131">
          <w:marLeft w:val="0"/>
          <w:marRight w:val="0"/>
          <w:marTop w:val="0"/>
          <w:marBottom w:val="0"/>
          <w:divBdr>
            <w:top w:val="none" w:sz="0" w:space="0" w:color="auto"/>
            <w:left w:val="none" w:sz="0" w:space="0" w:color="auto"/>
            <w:bottom w:val="none" w:sz="0" w:space="0" w:color="auto"/>
            <w:right w:val="none" w:sz="0" w:space="0" w:color="auto"/>
          </w:divBdr>
        </w:div>
        <w:div w:id="352919541">
          <w:marLeft w:val="0"/>
          <w:marRight w:val="0"/>
          <w:marTop w:val="0"/>
          <w:marBottom w:val="0"/>
          <w:divBdr>
            <w:top w:val="none" w:sz="0" w:space="0" w:color="auto"/>
            <w:left w:val="none" w:sz="0" w:space="0" w:color="auto"/>
            <w:bottom w:val="none" w:sz="0" w:space="0" w:color="auto"/>
            <w:right w:val="none" w:sz="0" w:space="0" w:color="auto"/>
          </w:divBdr>
        </w:div>
        <w:div w:id="141434248">
          <w:marLeft w:val="0"/>
          <w:marRight w:val="0"/>
          <w:marTop w:val="0"/>
          <w:marBottom w:val="0"/>
          <w:divBdr>
            <w:top w:val="none" w:sz="0" w:space="0" w:color="auto"/>
            <w:left w:val="none" w:sz="0" w:space="0" w:color="auto"/>
            <w:bottom w:val="none" w:sz="0" w:space="0" w:color="auto"/>
            <w:right w:val="none" w:sz="0" w:space="0" w:color="auto"/>
          </w:divBdr>
        </w:div>
        <w:div w:id="2098473766">
          <w:marLeft w:val="0"/>
          <w:marRight w:val="0"/>
          <w:marTop w:val="0"/>
          <w:marBottom w:val="0"/>
          <w:divBdr>
            <w:top w:val="none" w:sz="0" w:space="0" w:color="auto"/>
            <w:left w:val="none" w:sz="0" w:space="0" w:color="auto"/>
            <w:bottom w:val="none" w:sz="0" w:space="0" w:color="auto"/>
            <w:right w:val="none" w:sz="0" w:space="0" w:color="auto"/>
          </w:divBdr>
        </w:div>
        <w:div w:id="1780954886">
          <w:marLeft w:val="0"/>
          <w:marRight w:val="0"/>
          <w:marTop w:val="0"/>
          <w:marBottom w:val="0"/>
          <w:divBdr>
            <w:top w:val="none" w:sz="0" w:space="0" w:color="auto"/>
            <w:left w:val="none" w:sz="0" w:space="0" w:color="auto"/>
            <w:bottom w:val="none" w:sz="0" w:space="0" w:color="auto"/>
            <w:right w:val="none" w:sz="0" w:space="0" w:color="auto"/>
          </w:divBdr>
        </w:div>
        <w:div w:id="1882279792">
          <w:marLeft w:val="0"/>
          <w:marRight w:val="0"/>
          <w:marTop w:val="0"/>
          <w:marBottom w:val="0"/>
          <w:divBdr>
            <w:top w:val="none" w:sz="0" w:space="0" w:color="auto"/>
            <w:left w:val="none" w:sz="0" w:space="0" w:color="auto"/>
            <w:bottom w:val="none" w:sz="0" w:space="0" w:color="auto"/>
            <w:right w:val="none" w:sz="0" w:space="0" w:color="auto"/>
          </w:divBdr>
        </w:div>
        <w:div w:id="622493234">
          <w:marLeft w:val="0"/>
          <w:marRight w:val="0"/>
          <w:marTop w:val="0"/>
          <w:marBottom w:val="0"/>
          <w:divBdr>
            <w:top w:val="none" w:sz="0" w:space="0" w:color="auto"/>
            <w:left w:val="none" w:sz="0" w:space="0" w:color="auto"/>
            <w:bottom w:val="none" w:sz="0" w:space="0" w:color="auto"/>
            <w:right w:val="none" w:sz="0" w:space="0" w:color="auto"/>
          </w:divBdr>
        </w:div>
        <w:div w:id="1955668642">
          <w:marLeft w:val="0"/>
          <w:marRight w:val="0"/>
          <w:marTop w:val="0"/>
          <w:marBottom w:val="0"/>
          <w:divBdr>
            <w:top w:val="none" w:sz="0" w:space="0" w:color="auto"/>
            <w:left w:val="none" w:sz="0" w:space="0" w:color="auto"/>
            <w:bottom w:val="none" w:sz="0" w:space="0" w:color="auto"/>
            <w:right w:val="none" w:sz="0" w:space="0" w:color="auto"/>
          </w:divBdr>
        </w:div>
        <w:div w:id="1154489039">
          <w:marLeft w:val="0"/>
          <w:marRight w:val="0"/>
          <w:marTop w:val="0"/>
          <w:marBottom w:val="0"/>
          <w:divBdr>
            <w:top w:val="none" w:sz="0" w:space="0" w:color="auto"/>
            <w:left w:val="none" w:sz="0" w:space="0" w:color="auto"/>
            <w:bottom w:val="none" w:sz="0" w:space="0" w:color="auto"/>
            <w:right w:val="none" w:sz="0" w:space="0" w:color="auto"/>
          </w:divBdr>
        </w:div>
        <w:div w:id="254094255">
          <w:marLeft w:val="0"/>
          <w:marRight w:val="0"/>
          <w:marTop w:val="0"/>
          <w:marBottom w:val="0"/>
          <w:divBdr>
            <w:top w:val="none" w:sz="0" w:space="0" w:color="auto"/>
            <w:left w:val="none" w:sz="0" w:space="0" w:color="auto"/>
            <w:bottom w:val="none" w:sz="0" w:space="0" w:color="auto"/>
            <w:right w:val="none" w:sz="0" w:space="0" w:color="auto"/>
          </w:divBdr>
        </w:div>
        <w:div w:id="1592742761">
          <w:marLeft w:val="0"/>
          <w:marRight w:val="0"/>
          <w:marTop w:val="0"/>
          <w:marBottom w:val="0"/>
          <w:divBdr>
            <w:top w:val="none" w:sz="0" w:space="0" w:color="auto"/>
            <w:left w:val="none" w:sz="0" w:space="0" w:color="auto"/>
            <w:bottom w:val="none" w:sz="0" w:space="0" w:color="auto"/>
            <w:right w:val="none" w:sz="0" w:space="0" w:color="auto"/>
          </w:divBdr>
        </w:div>
        <w:div w:id="298922058">
          <w:marLeft w:val="0"/>
          <w:marRight w:val="0"/>
          <w:marTop w:val="0"/>
          <w:marBottom w:val="0"/>
          <w:divBdr>
            <w:top w:val="none" w:sz="0" w:space="0" w:color="auto"/>
            <w:left w:val="none" w:sz="0" w:space="0" w:color="auto"/>
            <w:bottom w:val="none" w:sz="0" w:space="0" w:color="auto"/>
            <w:right w:val="none" w:sz="0" w:space="0" w:color="auto"/>
          </w:divBdr>
        </w:div>
        <w:div w:id="527179558">
          <w:marLeft w:val="0"/>
          <w:marRight w:val="0"/>
          <w:marTop w:val="0"/>
          <w:marBottom w:val="0"/>
          <w:divBdr>
            <w:top w:val="none" w:sz="0" w:space="0" w:color="auto"/>
            <w:left w:val="none" w:sz="0" w:space="0" w:color="auto"/>
            <w:bottom w:val="none" w:sz="0" w:space="0" w:color="auto"/>
            <w:right w:val="none" w:sz="0" w:space="0" w:color="auto"/>
          </w:divBdr>
        </w:div>
        <w:div w:id="2010711232">
          <w:marLeft w:val="0"/>
          <w:marRight w:val="0"/>
          <w:marTop w:val="0"/>
          <w:marBottom w:val="0"/>
          <w:divBdr>
            <w:top w:val="none" w:sz="0" w:space="0" w:color="auto"/>
            <w:left w:val="none" w:sz="0" w:space="0" w:color="auto"/>
            <w:bottom w:val="none" w:sz="0" w:space="0" w:color="auto"/>
            <w:right w:val="none" w:sz="0" w:space="0" w:color="auto"/>
          </w:divBdr>
        </w:div>
        <w:div w:id="905606573">
          <w:marLeft w:val="0"/>
          <w:marRight w:val="0"/>
          <w:marTop w:val="0"/>
          <w:marBottom w:val="0"/>
          <w:divBdr>
            <w:top w:val="none" w:sz="0" w:space="0" w:color="auto"/>
            <w:left w:val="none" w:sz="0" w:space="0" w:color="auto"/>
            <w:bottom w:val="none" w:sz="0" w:space="0" w:color="auto"/>
            <w:right w:val="none" w:sz="0" w:space="0" w:color="auto"/>
          </w:divBdr>
        </w:div>
        <w:div w:id="712970161">
          <w:marLeft w:val="0"/>
          <w:marRight w:val="0"/>
          <w:marTop w:val="0"/>
          <w:marBottom w:val="0"/>
          <w:divBdr>
            <w:top w:val="none" w:sz="0" w:space="0" w:color="auto"/>
            <w:left w:val="none" w:sz="0" w:space="0" w:color="auto"/>
            <w:bottom w:val="none" w:sz="0" w:space="0" w:color="auto"/>
            <w:right w:val="none" w:sz="0" w:space="0" w:color="auto"/>
          </w:divBdr>
        </w:div>
        <w:div w:id="1951625800">
          <w:marLeft w:val="0"/>
          <w:marRight w:val="0"/>
          <w:marTop w:val="0"/>
          <w:marBottom w:val="0"/>
          <w:divBdr>
            <w:top w:val="none" w:sz="0" w:space="0" w:color="auto"/>
            <w:left w:val="none" w:sz="0" w:space="0" w:color="auto"/>
            <w:bottom w:val="none" w:sz="0" w:space="0" w:color="auto"/>
            <w:right w:val="none" w:sz="0" w:space="0" w:color="auto"/>
          </w:divBdr>
        </w:div>
        <w:div w:id="1268077555">
          <w:marLeft w:val="0"/>
          <w:marRight w:val="0"/>
          <w:marTop w:val="0"/>
          <w:marBottom w:val="0"/>
          <w:divBdr>
            <w:top w:val="none" w:sz="0" w:space="0" w:color="auto"/>
            <w:left w:val="none" w:sz="0" w:space="0" w:color="auto"/>
            <w:bottom w:val="none" w:sz="0" w:space="0" w:color="auto"/>
            <w:right w:val="none" w:sz="0" w:space="0" w:color="auto"/>
          </w:divBdr>
        </w:div>
        <w:div w:id="832182241">
          <w:marLeft w:val="0"/>
          <w:marRight w:val="0"/>
          <w:marTop w:val="0"/>
          <w:marBottom w:val="0"/>
          <w:divBdr>
            <w:top w:val="none" w:sz="0" w:space="0" w:color="auto"/>
            <w:left w:val="none" w:sz="0" w:space="0" w:color="auto"/>
            <w:bottom w:val="none" w:sz="0" w:space="0" w:color="auto"/>
            <w:right w:val="none" w:sz="0" w:space="0" w:color="auto"/>
          </w:divBdr>
        </w:div>
        <w:div w:id="697269578">
          <w:marLeft w:val="0"/>
          <w:marRight w:val="0"/>
          <w:marTop w:val="0"/>
          <w:marBottom w:val="0"/>
          <w:divBdr>
            <w:top w:val="none" w:sz="0" w:space="0" w:color="auto"/>
            <w:left w:val="none" w:sz="0" w:space="0" w:color="auto"/>
            <w:bottom w:val="none" w:sz="0" w:space="0" w:color="auto"/>
            <w:right w:val="none" w:sz="0" w:space="0" w:color="auto"/>
          </w:divBdr>
        </w:div>
        <w:div w:id="807667622">
          <w:marLeft w:val="0"/>
          <w:marRight w:val="0"/>
          <w:marTop w:val="0"/>
          <w:marBottom w:val="0"/>
          <w:divBdr>
            <w:top w:val="none" w:sz="0" w:space="0" w:color="auto"/>
            <w:left w:val="none" w:sz="0" w:space="0" w:color="auto"/>
            <w:bottom w:val="none" w:sz="0" w:space="0" w:color="auto"/>
            <w:right w:val="none" w:sz="0" w:space="0" w:color="auto"/>
          </w:divBdr>
        </w:div>
        <w:div w:id="1772511500">
          <w:marLeft w:val="0"/>
          <w:marRight w:val="0"/>
          <w:marTop w:val="0"/>
          <w:marBottom w:val="0"/>
          <w:divBdr>
            <w:top w:val="none" w:sz="0" w:space="0" w:color="auto"/>
            <w:left w:val="none" w:sz="0" w:space="0" w:color="auto"/>
            <w:bottom w:val="none" w:sz="0" w:space="0" w:color="auto"/>
            <w:right w:val="none" w:sz="0" w:space="0" w:color="auto"/>
          </w:divBdr>
        </w:div>
        <w:div w:id="1040012405">
          <w:marLeft w:val="0"/>
          <w:marRight w:val="0"/>
          <w:marTop w:val="0"/>
          <w:marBottom w:val="0"/>
          <w:divBdr>
            <w:top w:val="none" w:sz="0" w:space="0" w:color="auto"/>
            <w:left w:val="none" w:sz="0" w:space="0" w:color="auto"/>
            <w:bottom w:val="none" w:sz="0" w:space="0" w:color="auto"/>
            <w:right w:val="none" w:sz="0" w:space="0" w:color="auto"/>
          </w:divBdr>
        </w:div>
        <w:div w:id="945844150">
          <w:marLeft w:val="0"/>
          <w:marRight w:val="0"/>
          <w:marTop w:val="0"/>
          <w:marBottom w:val="0"/>
          <w:divBdr>
            <w:top w:val="none" w:sz="0" w:space="0" w:color="auto"/>
            <w:left w:val="none" w:sz="0" w:space="0" w:color="auto"/>
            <w:bottom w:val="none" w:sz="0" w:space="0" w:color="auto"/>
            <w:right w:val="none" w:sz="0" w:space="0" w:color="auto"/>
          </w:divBdr>
        </w:div>
        <w:div w:id="1159612886">
          <w:marLeft w:val="0"/>
          <w:marRight w:val="0"/>
          <w:marTop w:val="0"/>
          <w:marBottom w:val="0"/>
          <w:divBdr>
            <w:top w:val="none" w:sz="0" w:space="0" w:color="auto"/>
            <w:left w:val="none" w:sz="0" w:space="0" w:color="auto"/>
            <w:bottom w:val="none" w:sz="0" w:space="0" w:color="auto"/>
            <w:right w:val="none" w:sz="0" w:space="0" w:color="auto"/>
          </w:divBdr>
        </w:div>
        <w:div w:id="838277193">
          <w:marLeft w:val="0"/>
          <w:marRight w:val="0"/>
          <w:marTop w:val="0"/>
          <w:marBottom w:val="0"/>
          <w:divBdr>
            <w:top w:val="none" w:sz="0" w:space="0" w:color="auto"/>
            <w:left w:val="none" w:sz="0" w:space="0" w:color="auto"/>
            <w:bottom w:val="none" w:sz="0" w:space="0" w:color="auto"/>
            <w:right w:val="none" w:sz="0" w:space="0" w:color="auto"/>
          </w:divBdr>
        </w:div>
        <w:div w:id="677922079">
          <w:marLeft w:val="0"/>
          <w:marRight w:val="0"/>
          <w:marTop w:val="0"/>
          <w:marBottom w:val="0"/>
          <w:divBdr>
            <w:top w:val="none" w:sz="0" w:space="0" w:color="auto"/>
            <w:left w:val="none" w:sz="0" w:space="0" w:color="auto"/>
            <w:bottom w:val="none" w:sz="0" w:space="0" w:color="auto"/>
            <w:right w:val="none" w:sz="0" w:space="0" w:color="auto"/>
          </w:divBdr>
        </w:div>
        <w:div w:id="1368291999">
          <w:marLeft w:val="0"/>
          <w:marRight w:val="0"/>
          <w:marTop w:val="0"/>
          <w:marBottom w:val="0"/>
          <w:divBdr>
            <w:top w:val="none" w:sz="0" w:space="0" w:color="auto"/>
            <w:left w:val="none" w:sz="0" w:space="0" w:color="auto"/>
            <w:bottom w:val="none" w:sz="0" w:space="0" w:color="auto"/>
            <w:right w:val="none" w:sz="0" w:space="0" w:color="auto"/>
          </w:divBdr>
        </w:div>
        <w:div w:id="1597135681">
          <w:marLeft w:val="0"/>
          <w:marRight w:val="0"/>
          <w:marTop w:val="0"/>
          <w:marBottom w:val="0"/>
          <w:divBdr>
            <w:top w:val="none" w:sz="0" w:space="0" w:color="auto"/>
            <w:left w:val="none" w:sz="0" w:space="0" w:color="auto"/>
            <w:bottom w:val="none" w:sz="0" w:space="0" w:color="auto"/>
            <w:right w:val="none" w:sz="0" w:space="0" w:color="auto"/>
          </w:divBdr>
        </w:div>
        <w:div w:id="1649095967">
          <w:marLeft w:val="0"/>
          <w:marRight w:val="0"/>
          <w:marTop w:val="0"/>
          <w:marBottom w:val="0"/>
          <w:divBdr>
            <w:top w:val="none" w:sz="0" w:space="0" w:color="auto"/>
            <w:left w:val="none" w:sz="0" w:space="0" w:color="auto"/>
            <w:bottom w:val="none" w:sz="0" w:space="0" w:color="auto"/>
            <w:right w:val="none" w:sz="0" w:space="0" w:color="auto"/>
          </w:divBdr>
        </w:div>
        <w:div w:id="1831560608">
          <w:marLeft w:val="0"/>
          <w:marRight w:val="0"/>
          <w:marTop w:val="0"/>
          <w:marBottom w:val="0"/>
          <w:divBdr>
            <w:top w:val="none" w:sz="0" w:space="0" w:color="auto"/>
            <w:left w:val="none" w:sz="0" w:space="0" w:color="auto"/>
            <w:bottom w:val="none" w:sz="0" w:space="0" w:color="auto"/>
            <w:right w:val="none" w:sz="0" w:space="0" w:color="auto"/>
          </w:divBdr>
        </w:div>
        <w:div w:id="1221360515">
          <w:marLeft w:val="0"/>
          <w:marRight w:val="0"/>
          <w:marTop w:val="0"/>
          <w:marBottom w:val="0"/>
          <w:divBdr>
            <w:top w:val="none" w:sz="0" w:space="0" w:color="auto"/>
            <w:left w:val="none" w:sz="0" w:space="0" w:color="auto"/>
            <w:bottom w:val="none" w:sz="0" w:space="0" w:color="auto"/>
            <w:right w:val="none" w:sz="0" w:space="0" w:color="auto"/>
          </w:divBdr>
        </w:div>
        <w:div w:id="137571483">
          <w:marLeft w:val="0"/>
          <w:marRight w:val="0"/>
          <w:marTop w:val="0"/>
          <w:marBottom w:val="0"/>
          <w:divBdr>
            <w:top w:val="none" w:sz="0" w:space="0" w:color="auto"/>
            <w:left w:val="none" w:sz="0" w:space="0" w:color="auto"/>
            <w:bottom w:val="none" w:sz="0" w:space="0" w:color="auto"/>
            <w:right w:val="none" w:sz="0" w:space="0" w:color="auto"/>
          </w:divBdr>
        </w:div>
        <w:div w:id="969357344">
          <w:marLeft w:val="0"/>
          <w:marRight w:val="0"/>
          <w:marTop w:val="0"/>
          <w:marBottom w:val="0"/>
          <w:divBdr>
            <w:top w:val="none" w:sz="0" w:space="0" w:color="auto"/>
            <w:left w:val="none" w:sz="0" w:space="0" w:color="auto"/>
            <w:bottom w:val="none" w:sz="0" w:space="0" w:color="auto"/>
            <w:right w:val="none" w:sz="0" w:space="0" w:color="auto"/>
          </w:divBdr>
        </w:div>
        <w:div w:id="1271352794">
          <w:marLeft w:val="0"/>
          <w:marRight w:val="0"/>
          <w:marTop w:val="0"/>
          <w:marBottom w:val="0"/>
          <w:divBdr>
            <w:top w:val="none" w:sz="0" w:space="0" w:color="auto"/>
            <w:left w:val="none" w:sz="0" w:space="0" w:color="auto"/>
            <w:bottom w:val="none" w:sz="0" w:space="0" w:color="auto"/>
            <w:right w:val="none" w:sz="0" w:space="0" w:color="auto"/>
          </w:divBdr>
        </w:div>
        <w:div w:id="895050033">
          <w:marLeft w:val="0"/>
          <w:marRight w:val="0"/>
          <w:marTop w:val="0"/>
          <w:marBottom w:val="0"/>
          <w:divBdr>
            <w:top w:val="none" w:sz="0" w:space="0" w:color="auto"/>
            <w:left w:val="none" w:sz="0" w:space="0" w:color="auto"/>
            <w:bottom w:val="none" w:sz="0" w:space="0" w:color="auto"/>
            <w:right w:val="none" w:sz="0" w:space="0" w:color="auto"/>
          </w:divBdr>
        </w:div>
        <w:div w:id="1159341769">
          <w:marLeft w:val="0"/>
          <w:marRight w:val="0"/>
          <w:marTop w:val="0"/>
          <w:marBottom w:val="0"/>
          <w:divBdr>
            <w:top w:val="none" w:sz="0" w:space="0" w:color="auto"/>
            <w:left w:val="none" w:sz="0" w:space="0" w:color="auto"/>
            <w:bottom w:val="none" w:sz="0" w:space="0" w:color="auto"/>
            <w:right w:val="none" w:sz="0" w:space="0" w:color="auto"/>
          </w:divBdr>
        </w:div>
        <w:div w:id="1874535735">
          <w:marLeft w:val="0"/>
          <w:marRight w:val="0"/>
          <w:marTop w:val="0"/>
          <w:marBottom w:val="0"/>
          <w:divBdr>
            <w:top w:val="none" w:sz="0" w:space="0" w:color="auto"/>
            <w:left w:val="none" w:sz="0" w:space="0" w:color="auto"/>
            <w:bottom w:val="none" w:sz="0" w:space="0" w:color="auto"/>
            <w:right w:val="none" w:sz="0" w:space="0" w:color="auto"/>
          </w:divBdr>
        </w:div>
        <w:div w:id="1209683488">
          <w:marLeft w:val="0"/>
          <w:marRight w:val="0"/>
          <w:marTop w:val="0"/>
          <w:marBottom w:val="0"/>
          <w:divBdr>
            <w:top w:val="none" w:sz="0" w:space="0" w:color="auto"/>
            <w:left w:val="none" w:sz="0" w:space="0" w:color="auto"/>
            <w:bottom w:val="none" w:sz="0" w:space="0" w:color="auto"/>
            <w:right w:val="none" w:sz="0" w:space="0" w:color="auto"/>
          </w:divBdr>
        </w:div>
        <w:div w:id="1057555005">
          <w:marLeft w:val="0"/>
          <w:marRight w:val="0"/>
          <w:marTop w:val="0"/>
          <w:marBottom w:val="0"/>
          <w:divBdr>
            <w:top w:val="none" w:sz="0" w:space="0" w:color="auto"/>
            <w:left w:val="none" w:sz="0" w:space="0" w:color="auto"/>
            <w:bottom w:val="none" w:sz="0" w:space="0" w:color="auto"/>
            <w:right w:val="none" w:sz="0" w:space="0" w:color="auto"/>
          </w:divBdr>
        </w:div>
        <w:div w:id="1667242430">
          <w:marLeft w:val="0"/>
          <w:marRight w:val="0"/>
          <w:marTop w:val="0"/>
          <w:marBottom w:val="0"/>
          <w:divBdr>
            <w:top w:val="none" w:sz="0" w:space="0" w:color="auto"/>
            <w:left w:val="none" w:sz="0" w:space="0" w:color="auto"/>
            <w:bottom w:val="none" w:sz="0" w:space="0" w:color="auto"/>
            <w:right w:val="none" w:sz="0" w:space="0" w:color="auto"/>
          </w:divBdr>
        </w:div>
        <w:div w:id="219489064">
          <w:marLeft w:val="0"/>
          <w:marRight w:val="0"/>
          <w:marTop w:val="0"/>
          <w:marBottom w:val="0"/>
          <w:divBdr>
            <w:top w:val="none" w:sz="0" w:space="0" w:color="auto"/>
            <w:left w:val="none" w:sz="0" w:space="0" w:color="auto"/>
            <w:bottom w:val="none" w:sz="0" w:space="0" w:color="auto"/>
            <w:right w:val="none" w:sz="0" w:space="0" w:color="auto"/>
          </w:divBdr>
        </w:div>
        <w:div w:id="1097215560">
          <w:marLeft w:val="0"/>
          <w:marRight w:val="0"/>
          <w:marTop w:val="0"/>
          <w:marBottom w:val="0"/>
          <w:divBdr>
            <w:top w:val="none" w:sz="0" w:space="0" w:color="auto"/>
            <w:left w:val="none" w:sz="0" w:space="0" w:color="auto"/>
            <w:bottom w:val="none" w:sz="0" w:space="0" w:color="auto"/>
            <w:right w:val="none" w:sz="0" w:space="0" w:color="auto"/>
          </w:divBdr>
        </w:div>
        <w:div w:id="230696590">
          <w:marLeft w:val="0"/>
          <w:marRight w:val="0"/>
          <w:marTop w:val="0"/>
          <w:marBottom w:val="0"/>
          <w:divBdr>
            <w:top w:val="none" w:sz="0" w:space="0" w:color="auto"/>
            <w:left w:val="none" w:sz="0" w:space="0" w:color="auto"/>
            <w:bottom w:val="none" w:sz="0" w:space="0" w:color="auto"/>
            <w:right w:val="none" w:sz="0" w:space="0" w:color="auto"/>
          </w:divBdr>
        </w:div>
        <w:div w:id="795299607">
          <w:marLeft w:val="0"/>
          <w:marRight w:val="0"/>
          <w:marTop w:val="0"/>
          <w:marBottom w:val="0"/>
          <w:divBdr>
            <w:top w:val="none" w:sz="0" w:space="0" w:color="auto"/>
            <w:left w:val="none" w:sz="0" w:space="0" w:color="auto"/>
            <w:bottom w:val="none" w:sz="0" w:space="0" w:color="auto"/>
            <w:right w:val="none" w:sz="0" w:space="0" w:color="auto"/>
          </w:divBdr>
        </w:div>
        <w:div w:id="1350719720">
          <w:marLeft w:val="0"/>
          <w:marRight w:val="0"/>
          <w:marTop w:val="0"/>
          <w:marBottom w:val="0"/>
          <w:divBdr>
            <w:top w:val="none" w:sz="0" w:space="0" w:color="auto"/>
            <w:left w:val="none" w:sz="0" w:space="0" w:color="auto"/>
            <w:bottom w:val="none" w:sz="0" w:space="0" w:color="auto"/>
            <w:right w:val="none" w:sz="0" w:space="0" w:color="auto"/>
          </w:divBdr>
        </w:div>
        <w:div w:id="1566376573">
          <w:marLeft w:val="0"/>
          <w:marRight w:val="0"/>
          <w:marTop w:val="0"/>
          <w:marBottom w:val="0"/>
          <w:divBdr>
            <w:top w:val="none" w:sz="0" w:space="0" w:color="auto"/>
            <w:left w:val="none" w:sz="0" w:space="0" w:color="auto"/>
            <w:bottom w:val="none" w:sz="0" w:space="0" w:color="auto"/>
            <w:right w:val="none" w:sz="0" w:space="0" w:color="auto"/>
          </w:divBdr>
        </w:div>
        <w:div w:id="84501651">
          <w:marLeft w:val="0"/>
          <w:marRight w:val="0"/>
          <w:marTop w:val="0"/>
          <w:marBottom w:val="0"/>
          <w:divBdr>
            <w:top w:val="none" w:sz="0" w:space="0" w:color="auto"/>
            <w:left w:val="none" w:sz="0" w:space="0" w:color="auto"/>
            <w:bottom w:val="none" w:sz="0" w:space="0" w:color="auto"/>
            <w:right w:val="none" w:sz="0" w:space="0" w:color="auto"/>
          </w:divBdr>
        </w:div>
        <w:div w:id="237523951">
          <w:marLeft w:val="0"/>
          <w:marRight w:val="0"/>
          <w:marTop w:val="0"/>
          <w:marBottom w:val="0"/>
          <w:divBdr>
            <w:top w:val="none" w:sz="0" w:space="0" w:color="auto"/>
            <w:left w:val="none" w:sz="0" w:space="0" w:color="auto"/>
            <w:bottom w:val="none" w:sz="0" w:space="0" w:color="auto"/>
            <w:right w:val="none" w:sz="0" w:space="0" w:color="auto"/>
          </w:divBdr>
        </w:div>
        <w:div w:id="656615869">
          <w:marLeft w:val="0"/>
          <w:marRight w:val="0"/>
          <w:marTop w:val="0"/>
          <w:marBottom w:val="0"/>
          <w:divBdr>
            <w:top w:val="none" w:sz="0" w:space="0" w:color="auto"/>
            <w:left w:val="none" w:sz="0" w:space="0" w:color="auto"/>
            <w:bottom w:val="none" w:sz="0" w:space="0" w:color="auto"/>
            <w:right w:val="none" w:sz="0" w:space="0" w:color="auto"/>
          </w:divBdr>
        </w:div>
        <w:div w:id="1202128685">
          <w:marLeft w:val="0"/>
          <w:marRight w:val="0"/>
          <w:marTop w:val="0"/>
          <w:marBottom w:val="0"/>
          <w:divBdr>
            <w:top w:val="none" w:sz="0" w:space="0" w:color="auto"/>
            <w:left w:val="none" w:sz="0" w:space="0" w:color="auto"/>
            <w:bottom w:val="none" w:sz="0" w:space="0" w:color="auto"/>
            <w:right w:val="none" w:sz="0" w:space="0" w:color="auto"/>
          </w:divBdr>
        </w:div>
        <w:div w:id="1662004445">
          <w:marLeft w:val="0"/>
          <w:marRight w:val="0"/>
          <w:marTop w:val="0"/>
          <w:marBottom w:val="0"/>
          <w:divBdr>
            <w:top w:val="none" w:sz="0" w:space="0" w:color="auto"/>
            <w:left w:val="none" w:sz="0" w:space="0" w:color="auto"/>
            <w:bottom w:val="none" w:sz="0" w:space="0" w:color="auto"/>
            <w:right w:val="none" w:sz="0" w:space="0" w:color="auto"/>
          </w:divBdr>
        </w:div>
        <w:div w:id="585114555">
          <w:marLeft w:val="0"/>
          <w:marRight w:val="0"/>
          <w:marTop w:val="0"/>
          <w:marBottom w:val="0"/>
          <w:divBdr>
            <w:top w:val="none" w:sz="0" w:space="0" w:color="auto"/>
            <w:left w:val="none" w:sz="0" w:space="0" w:color="auto"/>
            <w:bottom w:val="none" w:sz="0" w:space="0" w:color="auto"/>
            <w:right w:val="none" w:sz="0" w:space="0" w:color="auto"/>
          </w:divBdr>
        </w:div>
        <w:div w:id="1539319184">
          <w:marLeft w:val="0"/>
          <w:marRight w:val="0"/>
          <w:marTop w:val="0"/>
          <w:marBottom w:val="0"/>
          <w:divBdr>
            <w:top w:val="none" w:sz="0" w:space="0" w:color="auto"/>
            <w:left w:val="none" w:sz="0" w:space="0" w:color="auto"/>
            <w:bottom w:val="none" w:sz="0" w:space="0" w:color="auto"/>
            <w:right w:val="none" w:sz="0" w:space="0" w:color="auto"/>
          </w:divBdr>
        </w:div>
        <w:div w:id="436490908">
          <w:marLeft w:val="0"/>
          <w:marRight w:val="0"/>
          <w:marTop w:val="0"/>
          <w:marBottom w:val="0"/>
          <w:divBdr>
            <w:top w:val="none" w:sz="0" w:space="0" w:color="auto"/>
            <w:left w:val="none" w:sz="0" w:space="0" w:color="auto"/>
            <w:bottom w:val="none" w:sz="0" w:space="0" w:color="auto"/>
            <w:right w:val="none" w:sz="0" w:space="0" w:color="auto"/>
          </w:divBdr>
        </w:div>
        <w:div w:id="1569266171">
          <w:marLeft w:val="0"/>
          <w:marRight w:val="0"/>
          <w:marTop w:val="0"/>
          <w:marBottom w:val="0"/>
          <w:divBdr>
            <w:top w:val="none" w:sz="0" w:space="0" w:color="auto"/>
            <w:left w:val="none" w:sz="0" w:space="0" w:color="auto"/>
            <w:bottom w:val="none" w:sz="0" w:space="0" w:color="auto"/>
            <w:right w:val="none" w:sz="0" w:space="0" w:color="auto"/>
          </w:divBdr>
        </w:div>
        <w:div w:id="1211191222">
          <w:marLeft w:val="0"/>
          <w:marRight w:val="0"/>
          <w:marTop w:val="0"/>
          <w:marBottom w:val="0"/>
          <w:divBdr>
            <w:top w:val="none" w:sz="0" w:space="0" w:color="auto"/>
            <w:left w:val="none" w:sz="0" w:space="0" w:color="auto"/>
            <w:bottom w:val="none" w:sz="0" w:space="0" w:color="auto"/>
            <w:right w:val="none" w:sz="0" w:space="0" w:color="auto"/>
          </w:divBdr>
        </w:div>
        <w:div w:id="495801473">
          <w:marLeft w:val="0"/>
          <w:marRight w:val="0"/>
          <w:marTop w:val="0"/>
          <w:marBottom w:val="0"/>
          <w:divBdr>
            <w:top w:val="none" w:sz="0" w:space="0" w:color="auto"/>
            <w:left w:val="none" w:sz="0" w:space="0" w:color="auto"/>
            <w:bottom w:val="none" w:sz="0" w:space="0" w:color="auto"/>
            <w:right w:val="none" w:sz="0" w:space="0" w:color="auto"/>
          </w:divBdr>
        </w:div>
        <w:div w:id="174855503">
          <w:marLeft w:val="0"/>
          <w:marRight w:val="0"/>
          <w:marTop w:val="0"/>
          <w:marBottom w:val="0"/>
          <w:divBdr>
            <w:top w:val="none" w:sz="0" w:space="0" w:color="auto"/>
            <w:left w:val="none" w:sz="0" w:space="0" w:color="auto"/>
            <w:bottom w:val="none" w:sz="0" w:space="0" w:color="auto"/>
            <w:right w:val="none" w:sz="0" w:space="0" w:color="auto"/>
          </w:divBdr>
        </w:div>
        <w:div w:id="206570109">
          <w:marLeft w:val="0"/>
          <w:marRight w:val="0"/>
          <w:marTop w:val="0"/>
          <w:marBottom w:val="0"/>
          <w:divBdr>
            <w:top w:val="none" w:sz="0" w:space="0" w:color="auto"/>
            <w:left w:val="none" w:sz="0" w:space="0" w:color="auto"/>
            <w:bottom w:val="none" w:sz="0" w:space="0" w:color="auto"/>
            <w:right w:val="none" w:sz="0" w:space="0" w:color="auto"/>
          </w:divBdr>
        </w:div>
        <w:div w:id="2041589081">
          <w:marLeft w:val="0"/>
          <w:marRight w:val="0"/>
          <w:marTop w:val="0"/>
          <w:marBottom w:val="0"/>
          <w:divBdr>
            <w:top w:val="none" w:sz="0" w:space="0" w:color="auto"/>
            <w:left w:val="none" w:sz="0" w:space="0" w:color="auto"/>
            <w:bottom w:val="none" w:sz="0" w:space="0" w:color="auto"/>
            <w:right w:val="none" w:sz="0" w:space="0" w:color="auto"/>
          </w:divBdr>
        </w:div>
        <w:div w:id="1347632337">
          <w:marLeft w:val="0"/>
          <w:marRight w:val="0"/>
          <w:marTop w:val="0"/>
          <w:marBottom w:val="0"/>
          <w:divBdr>
            <w:top w:val="none" w:sz="0" w:space="0" w:color="auto"/>
            <w:left w:val="none" w:sz="0" w:space="0" w:color="auto"/>
            <w:bottom w:val="none" w:sz="0" w:space="0" w:color="auto"/>
            <w:right w:val="none" w:sz="0" w:space="0" w:color="auto"/>
          </w:divBdr>
        </w:div>
        <w:div w:id="866874249">
          <w:marLeft w:val="0"/>
          <w:marRight w:val="0"/>
          <w:marTop w:val="0"/>
          <w:marBottom w:val="0"/>
          <w:divBdr>
            <w:top w:val="none" w:sz="0" w:space="0" w:color="auto"/>
            <w:left w:val="none" w:sz="0" w:space="0" w:color="auto"/>
            <w:bottom w:val="none" w:sz="0" w:space="0" w:color="auto"/>
            <w:right w:val="none" w:sz="0" w:space="0" w:color="auto"/>
          </w:divBdr>
        </w:div>
        <w:div w:id="123156867">
          <w:marLeft w:val="0"/>
          <w:marRight w:val="0"/>
          <w:marTop w:val="0"/>
          <w:marBottom w:val="0"/>
          <w:divBdr>
            <w:top w:val="none" w:sz="0" w:space="0" w:color="auto"/>
            <w:left w:val="none" w:sz="0" w:space="0" w:color="auto"/>
            <w:bottom w:val="none" w:sz="0" w:space="0" w:color="auto"/>
            <w:right w:val="none" w:sz="0" w:space="0" w:color="auto"/>
          </w:divBdr>
        </w:div>
        <w:div w:id="2114472058">
          <w:marLeft w:val="0"/>
          <w:marRight w:val="0"/>
          <w:marTop w:val="0"/>
          <w:marBottom w:val="0"/>
          <w:divBdr>
            <w:top w:val="none" w:sz="0" w:space="0" w:color="auto"/>
            <w:left w:val="none" w:sz="0" w:space="0" w:color="auto"/>
            <w:bottom w:val="none" w:sz="0" w:space="0" w:color="auto"/>
            <w:right w:val="none" w:sz="0" w:space="0" w:color="auto"/>
          </w:divBdr>
        </w:div>
        <w:div w:id="202251423">
          <w:marLeft w:val="0"/>
          <w:marRight w:val="0"/>
          <w:marTop w:val="0"/>
          <w:marBottom w:val="0"/>
          <w:divBdr>
            <w:top w:val="none" w:sz="0" w:space="0" w:color="auto"/>
            <w:left w:val="none" w:sz="0" w:space="0" w:color="auto"/>
            <w:bottom w:val="none" w:sz="0" w:space="0" w:color="auto"/>
            <w:right w:val="none" w:sz="0" w:space="0" w:color="auto"/>
          </w:divBdr>
        </w:div>
        <w:div w:id="2115901799">
          <w:marLeft w:val="0"/>
          <w:marRight w:val="0"/>
          <w:marTop w:val="0"/>
          <w:marBottom w:val="0"/>
          <w:divBdr>
            <w:top w:val="none" w:sz="0" w:space="0" w:color="auto"/>
            <w:left w:val="none" w:sz="0" w:space="0" w:color="auto"/>
            <w:bottom w:val="none" w:sz="0" w:space="0" w:color="auto"/>
            <w:right w:val="none" w:sz="0" w:space="0" w:color="auto"/>
          </w:divBdr>
        </w:div>
        <w:div w:id="649945345">
          <w:marLeft w:val="0"/>
          <w:marRight w:val="0"/>
          <w:marTop w:val="0"/>
          <w:marBottom w:val="0"/>
          <w:divBdr>
            <w:top w:val="none" w:sz="0" w:space="0" w:color="auto"/>
            <w:left w:val="none" w:sz="0" w:space="0" w:color="auto"/>
            <w:bottom w:val="none" w:sz="0" w:space="0" w:color="auto"/>
            <w:right w:val="none" w:sz="0" w:space="0" w:color="auto"/>
          </w:divBdr>
        </w:div>
        <w:div w:id="203569004">
          <w:marLeft w:val="0"/>
          <w:marRight w:val="0"/>
          <w:marTop w:val="0"/>
          <w:marBottom w:val="0"/>
          <w:divBdr>
            <w:top w:val="none" w:sz="0" w:space="0" w:color="auto"/>
            <w:left w:val="none" w:sz="0" w:space="0" w:color="auto"/>
            <w:bottom w:val="none" w:sz="0" w:space="0" w:color="auto"/>
            <w:right w:val="none" w:sz="0" w:space="0" w:color="auto"/>
          </w:divBdr>
        </w:div>
        <w:div w:id="1398433374">
          <w:marLeft w:val="0"/>
          <w:marRight w:val="0"/>
          <w:marTop w:val="0"/>
          <w:marBottom w:val="0"/>
          <w:divBdr>
            <w:top w:val="none" w:sz="0" w:space="0" w:color="auto"/>
            <w:left w:val="none" w:sz="0" w:space="0" w:color="auto"/>
            <w:bottom w:val="none" w:sz="0" w:space="0" w:color="auto"/>
            <w:right w:val="none" w:sz="0" w:space="0" w:color="auto"/>
          </w:divBdr>
        </w:div>
        <w:div w:id="1395591496">
          <w:marLeft w:val="0"/>
          <w:marRight w:val="0"/>
          <w:marTop w:val="0"/>
          <w:marBottom w:val="0"/>
          <w:divBdr>
            <w:top w:val="none" w:sz="0" w:space="0" w:color="auto"/>
            <w:left w:val="none" w:sz="0" w:space="0" w:color="auto"/>
            <w:bottom w:val="none" w:sz="0" w:space="0" w:color="auto"/>
            <w:right w:val="none" w:sz="0" w:space="0" w:color="auto"/>
          </w:divBdr>
        </w:div>
        <w:div w:id="363406813">
          <w:marLeft w:val="0"/>
          <w:marRight w:val="0"/>
          <w:marTop w:val="0"/>
          <w:marBottom w:val="0"/>
          <w:divBdr>
            <w:top w:val="none" w:sz="0" w:space="0" w:color="auto"/>
            <w:left w:val="none" w:sz="0" w:space="0" w:color="auto"/>
            <w:bottom w:val="none" w:sz="0" w:space="0" w:color="auto"/>
            <w:right w:val="none" w:sz="0" w:space="0" w:color="auto"/>
          </w:divBdr>
        </w:div>
        <w:div w:id="607080028">
          <w:marLeft w:val="0"/>
          <w:marRight w:val="0"/>
          <w:marTop w:val="0"/>
          <w:marBottom w:val="0"/>
          <w:divBdr>
            <w:top w:val="none" w:sz="0" w:space="0" w:color="auto"/>
            <w:left w:val="none" w:sz="0" w:space="0" w:color="auto"/>
            <w:bottom w:val="none" w:sz="0" w:space="0" w:color="auto"/>
            <w:right w:val="none" w:sz="0" w:space="0" w:color="auto"/>
          </w:divBdr>
        </w:div>
        <w:div w:id="1235240525">
          <w:marLeft w:val="0"/>
          <w:marRight w:val="0"/>
          <w:marTop w:val="0"/>
          <w:marBottom w:val="0"/>
          <w:divBdr>
            <w:top w:val="none" w:sz="0" w:space="0" w:color="auto"/>
            <w:left w:val="none" w:sz="0" w:space="0" w:color="auto"/>
            <w:bottom w:val="none" w:sz="0" w:space="0" w:color="auto"/>
            <w:right w:val="none" w:sz="0" w:space="0" w:color="auto"/>
          </w:divBdr>
        </w:div>
        <w:div w:id="635643255">
          <w:marLeft w:val="0"/>
          <w:marRight w:val="0"/>
          <w:marTop w:val="0"/>
          <w:marBottom w:val="0"/>
          <w:divBdr>
            <w:top w:val="none" w:sz="0" w:space="0" w:color="auto"/>
            <w:left w:val="none" w:sz="0" w:space="0" w:color="auto"/>
            <w:bottom w:val="none" w:sz="0" w:space="0" w:color="auto"/>
            <w:right w:val="none" w:sz="0" w:space="0" w:color="auto"/>
          </w:divBdr>
        </w:div>
        <w:div w:id="1367562003">
          <w:marLeft w:val="0"/>
          <w:marRight w:val="0"/>
          <w:marTop w:val="0"/>
          <w:marBottom w:val="0"/>
          <w:divBdr>
            <w:top w:val="none" w:sz="0" w:space="0" w:color="auto"/>
            <w:left w:val="none" w:sz="0" w:space="0" w:color="auto"/>
            <w:bottom w:val="none" w:sz="0" w:space="0" w:color="auto"/>
            <w:right w:val="none" w:sz="0" w:space="0" w:color="auto"/>
          </w:divBdr>
        </w:div>
        <w:div w:id="194124609">
          <w:marLeft w:val="0"/>
          <w:marRight w:val="0"/>
          <w:marTop w:val="0"/>
          <w:marBottom w:val="0"/>
          <w:divBdr>
            <w:top w:val="none" w:sz="0" w:space="0" w:color="auto"/>
            <w:left w:val="none" w:sz="0" w:space="0" w:color="auto"/>
            <w:bottom w:val="none" w:sz="0" w:space="0" w:color="auto"/>
            <w:right w:val="none" w:sz="0" w:space="0" w:color="auto"/>
          </w:divBdr>
        </w:div>
        <w:div w:id="747649934">
          <w:marLeft w:val="0"/>
          <w:marRight w:val="0"/>
          <w:marTop w:val="0"/>
          <w:marBottom w:val="0"/>
          <w:divBdr>
            <w:top w:val="none" w:sz="0" w:space="0" w:color="auto"/>
            <w:left w:val="none" w:sz="0" w:space="0" w:color="auto"/>
            <w:bottom w:val="none" w:sz="0" w:space="0" w:color="auto"/>
            <w:right w:val="none" w:sz="0" w:space="0" w:color="auto"/>
          </w:divBdr>
        </w:div>
        <w:div w:id="10390118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onlinelibrary.wiley.com/doi/abs/10.1111/j.1540-6563.1994.tb00928.x" TargetMode="External"/><Relationship Id="rId3" Type="http://schemas.openxmlformats.org/officeDocument/2006/relationships/hyperlink" Target="https://onlinelibrary.wiley.com/doi/abs/10.1111/j.1540-6563.1994.tb00928.x" TargetMode="External"/><Relationship Id="rId7" Type="http://schemas.openxmlformats.org/officeDocument/2006/relationships/hyperlink" Target="https://onlinelibrary.wiley.com/doi/abs/10.1111/j.1540-6563.1994.tb00928.x" TargetMode="External"/><Relationship Id="rId2" Type="http://schemas.openxmlformats.org/officeDocument/2006/relationships/hyperlink" Target="https://onlinelibrary.wiley.com/doi/abs/10.1111/j.1540-6563.1994.tb00928.x" TargetMode="External"/><Relationship Id="rId1" Type="http://schemas.openxmlformats.org/officeDocument/2006/relationships/hyperlink" Target="https://onlinelibrary.wiley.com/doi/abs/10.1111/j.1540-6563.1994.tb00928.x" TargetMode="External"/><Relationship Id="rId6" Type="http://schemas.openxmlformats.org/officeDocument/2006/relationships/hyperlink" Target="https://onlinelibrary.wiley.com/doi/abs/10.1111/j.1540-6563.1994.tb00928.x" TargetMode="External"/><Relationship Id="rId11" Type="http://schemas.openxmlformats.org/officeDocument/2006/relationships/hyperlink" Target="https://www-jstor-org.ezproxy.uwtsd.ac.uk/stable/26312890?Search=yes&amp;resultItemClick=true&amp;searchText=british+women+in+world+war+one&amp;searchUri=%2Faction%2FdoBasicSearch%3FQuery%3Dbritish%2Bwomen%2Bin%2Bworld%2Bwar%2Bone%26so%253" TargetMode="External"/><Relationship Id="rId5" Type="http://schemas.openxmlformats.org/officeDocument/2006/relationships/hyperlink" Target="https://onlinelibrary.wiley.com/doi/abs/10.1111/j.1540-6563.1994.tb00928.x" TargetMode="External"/><Relationship Id="rId10" Type="http://schemas.openxmlformats.org/officeDocument/2006/relationships/hyperlink" Target="https://www-jstor-org.ezproxy.uwtsd.ac.uk/stable/26312890?Search=yes&amp;resultItemClick=true&amp;searchText=british+women+in+world+war+one&amp;searchUri=%2Faction%2FdoBasicSearch%3FQuery%3Dbritish%2Bwomen%2Bin%2Bworld%2Bwar%2Bone%26so%253" TargetMode="External"/><Relationship Id="rId4" Type="http://schemas.openxmlformats.org/officeDocument/2006/relationships/hyperlink" Target="https://onlinelibrary.wiley.com/doi/abs/10.1111/j.1540-6563.1994.tb00928.x" TargetMode="External"/><Relationship Id="rId9" Type="http://schemas.openxmlformats.org/officeDocument/2006/relationships/hyperlink" Target="https://onlinelibrary.wiley.com/doi/abs/10.1111/j.1540-6563.1994.tb00928.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82D3C0-2462-4C91-9D46-8E535D098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2583</Words>
  <Characters>12723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Griffin</dc:creator>
  <cp:keywords/>
  <dc:description/>
  <cp:lastModifiedBy>Luke Griffin</cp:lastModifiedBy>
  <cp:revision>4</cp:revision>
  <dcterms:created xsi:type="dcterms:W3CDTF">2022-02-06T21:01:00Z</dcterms:created>
  <dcterms:modified xsi:type="dcterms:W3CDTF">2022-02-06T21:02:00Z</dcterms:modified>
</cp:coreProperties>
</file>