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1B69C8" w:rsidP="251F4333" w:rsidRDefault="001B69C8" w14:paraId="618BF57D" w14:textId="435DD4C5">
      <w:pPr>
        <w:pStyle w:val="Normal"/>
        <w:jc w:val="both"/>
        <w:rPr>
          <w:rFonts w:ascii="Times New Roman" w:hAnsi="Times New Roman" w:eastAsia="Times New Roman" w:cs="Times New Roman"/>
          <w:noProof w:val="0"/>
          <w:sz w:val="24"/>
          <w:szCs w:val="24"/>
          <w:lang w:val="en-GB"/>
        </w:rPr>
      </w:pPr>
      <w:r w:rsidR="1F15DBB0">
        <w:drawing>
          <wp:inline wp14:editId="3A10C5A6" wp14:anchorId="668E0947">
            <wp:extent cx="2305050" cy="771525"/>
            <wp:effectExtent l="0" t="0" r="0" b="0"/>
            <wp:docPr id="1846287045" name="" title=""/>
            <wp:cNvGraphicFramePr>
              <a:graphicFrameLocks noChangeAspect="1"/>
            </wp:cNvGraphicFramePr>
            <a:graphic>
              <a:graphicData uri="http://schemas.openxmlformats.org/drawingml/2006/picture">
                <pic:pic>
                  <pic:nvPicPr>
                    <pic:cNvPr id="0" name=""/>
                    <pic:cNvPicPr/>
                  </pic:nvPicPr>
                  <pic:blipFill>
                    <a:blip r:embed="R6edbb7363d7e4d2c">
                      <a:extLst>
                        <a:ext xmlns:a="http://schemas.openxmlformats.org/drawingml/2006/main" uri="{28A0092B-C50C-407E-A947-70E740481C1C}">
                          <a14:useLocalDpi val="0"/>
                        </a:ext>
                      </a:extLst>
                    </a:blip>
                    <a:stretch>
                      <a:fillRect/>
                    </a:stretch>
                  </pic:blipFill>
                  <pic:spPr>
                    <a:xfrm>
                      <a:off x="0" y="0"/>
                      <a:ext cx="2305050" cy="771525"/>
                    </a:xfrm>
                    <a:prstGeom prst="rect">
                      <a:avLst/>
                    </a:prstGeom>
                  </pic:spPr>
                </pic:pic>
              </a:graphicData>
            </a:graphic>
          </wp:inline>
        </w:drawing>
      </w:r>
      <w:r>
        <w:tab/>
      </w:r>
      <w:r>
        <w:tab/>
      </w:r>
      <w:r>
        <w:tab/>
      </w:r>
      <w:r>
        <w:tab/>
      </w:r>
      <w:r>
        <w:tab/>
      </w:r>
      <w:r w:rsidRPr="251F4333" w:rsidR="1F15DBB0">
        <w:rPr>
          <w:rFonts w:ascii="Calibri" w:hAnsi="Calibri" w:eastAsia="Calibri" w:cs="Calibri"/>
          <w:noProof w:val="0"/>
          <w:sz w:val="24"/>
          <w:szCs w:val="24"/>
          <w:lang w:val="en-GB"/>
        </w:rPr>
        <w:t xml:space="preserve">           International Hotel Management</w:t>
      </w:r>
    </w:p>
    <w:p w:rsidR="001B69C8" w:rsidP="00B945EA" w:rsidRDefault="001B69C8" w14:paraId="5E1B2845" w14:textId="77777777">
      <w:pPr>
        <w:jc w:val="both"/>
        <w:rPr>
          <w:rFonts w:ascii="Tahoma" w:hAnsi="Tahoma" w:cs="Tahoma"/>
          <w:b/>
          <w:u w:val="single"/>
        </w:rPr>
      </w:pPr>
    </w:p>
    <w:p w:rsidR="00301AD0" w:rsidP="00B945EA" w:rsidRDefault="001B6DB4" w14:paraId="3FBC8958" w14:textId="5155A802">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rsidRPr="003C3341" w:rsidR="00C50AE7" w:rsidP="00B945EA" w:rsidRDefault="00C50AE7" w14:paraId="3EEDD075" w14:textId="77777777">
      <w:pPr>
        <w:jc w:val="both"/>
        <w:rPr>
          <w:rFonts w:ascii="Tahoma" w:hAnsi="Tahoma" w:cs="Tahoma"/>
          <w:b/>
          <w:u w:val="single"/>
        </w:rPr>
      </w:pPr>
    </w:p>
    <w:p w:rsidR="00301AD0" w:rsidP="00B945EA" w:rsidRDefault="00B21F2E" w14:paraId="4462EA07" w14:textId="524C674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Pr="003C3341" w:rsidR="00301AD0">
        <w:rPr>
          <w:rFonts w:ascii="Tahoma" w:hAnsi="Tahoma" w:cs="Tahoma"/>
        </w:rPr>
        <w:t xml:space="preserve"> </w:t>
      </w:r>
      <w:r w:rsidR="003617CF">
        <w:rPr>
          <w:rFonts w:ascii="Tahoma" w:hAnsi="Tahoma" w:cs="Tahoma"/>
        </w:rPr>
        <w:t>You may choose from the following topics:</w:t>
      </w:r>
    </w:p>
    <w:p w:rsidR="0079230B" w:rsidP="0079230B" w:rsidRDefault="0079230B" w14:paraId="4E236024" w14:textId="77777777">
      <w:pPr>
        <w:pStyle w:val="NormalWeb"/>
        <w:numPr>
          <w:ilvl w:val="0"/>
          <w:numId w:val="28"/>
        </w:numPr>
        <w:rPr>
          <w:rFonts w:ascii="SymbolMT" w:hAnsi="SymbolMT"/>
        </w:rPr>
      </w:pPr>
      <w:r>
        <w:rPr>
          <w:rFonts w:ascii="Calibri" w:hAnsi="Calibri" w:cs="Calibri"/>
        </w:rPr>
        <w:t xml:space="preserve">Allergies and Intolerances and the importance within the industry </w:t>
      </w:r>
    </w:p>
    <w:p w:rsidR="0079230B" w:rsidP="0079230B" w:rsidRDefault="0079230B" w14:paraId="3E2C1866" w14:textId="77777777">
      <w:pPr>
        <w:pStyle w:val="NormalWeb"/>
        <w:numPr>
          <w:ilvl w:val="0"/>
          <w:numId w:val="28"/>
        </w:numPr>
        <w:rPr>
          <w:rFonts w:ascii="SymbolMT" w:hAnsi="SymbolMT"/>
        </w:rPr>
      </w:pPr>
      <w:r>
        <w:rPr>
          <w:rFonts w:ascii="Calibri" w:hAnsi="Calibri" w:cs="Calibri"/>
        </w:rPr>
        <w:t xml:space="preserve">Food Safety Fundamentals (The 4 C’s) </w:t>
      </w:r>
    </w:p>
    <w:p w:rsidR="0079230B" w:rsidP="0079230B" w:rsidRDefault="0079230B" w14:paraId="3CB0DA4B" w14:textId="77777777">
      <w:pPr>
        <w:pStyle w:val="NormalWeb"/>
        <w:numPr>
          <w:ilvl w:val="0"/>
          <w:numId w:val="28"/>
        </w:numPr>
        <w:rPr>
          <w:rFonts w:ascii="SymbolMT" w:hAnsi="SymbolMT"/>
        </w:rPr>
      </w:pPr>
      <w:r>
        <w:rPr>
          <w:rFonts w:ascii="Calibri" w:hAnsi="Calibri" w:cs="Calibri"/>
        </w:rPr>
        <w:t xml:space="preserve">Ratings, Inspections and Reporting Procedures </w:t>
      </w:r>
    </w:p>
    <w:p w:rsidR="00B945EA" w:rsidP="00B945EA" w:rsidRDefault="00B945EA" w14:paraId="1EB2ED0E" w14:textId="77777777">
      <w:pPr>
        <w:jc w:val="both"/>
        <w:rPr>
          <w:rFonts w:ascii="Tahoma" w:hAnsi="Tahoma" w:cs="Tahoma"/>
        </w:rPr>
      </w:pPr>
    </w:p>
    <w:p w:rsidRPr="003C3341" w:rsidR="00B21F2E" w:rsidP="00B945EA" w:rsidRDefault="00B21F2E" w14:paraId="7011E673" w14:textId="6E901B6D">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brief summary. </w:t>
      </w:r>
      <w:r>
        <w:rPr>
          <w:rFonts w:ascii="Tahoma" w:hAnsi="Tahoma" w:cs="Tahoma"/>
        </w:rPr>
        <w:t xml:space="preserve">What </w:t>
      </w:r>
      <w:r w:rsidR="00B945EA">
        <w:rPr>
          <w:rFonts w:ascii="Tahoma" w:hAnsi="Tahoma" w:cs="Tahoma"/>
        </w:rPr>
        <w:t>new skills</w:t>
      </w:r>
      <w:r w:rsidR="00C414B0">
        <w:rPr>
          <w:rFonts w:ascii="Tahoma" w:hAnsi="Tahoma" w:cs="Tahoma"/>
        </w:rPr>
        <w:t xml:space="preserve"> / knowledge</w:t>
      </w:r>
      <w:r w:rsidR="00B945EA">
        <w:rPr>
          <w:rFonts w:ascii="Tahoma" w:hAnsi="Tahoma" w:cs="Tahoma"/>
        </w:rPr>
        <w:t xml:space="preserve"> have you acquired? How will you apply your knowledge</w:t>
      </w:r>
      <w:r w:rsidR="00C414B0">
        <w:rPr>
          <w:rFonts w:ascii="Tahoma" w:hAnsi="Tahoma" w:cs="Tahoma"/>
        </w:rPr>
        <w:t xml:space="preserve"> in the future</w:t>
      </w:r>
      <w:r w:rsidR="00B945EA">
        <w:rPr>
          <w:rFonts w:ascii="Tahoma" w:hAnsi="Tahoma" w:cs="Tahoma"/>
        </w:rPr>
        <w:t xml:space="preserve">? </w:t>
      </w:r>
      <w:r w:rsidR="0066732A">
        <w:rPr>
          <w:rFonts w:ascii="Tahoma" w:hAnsi="Tahoma" w:cs="Tahoma"/>
        </w:rPr>
        <w:t>What are your personal reflections?</w:t>
      </w:r>
      <w:r w:rsidR="00B945EA">
        <w:rPr>
          <w:rFonts w:ascii="Tahoma" w:hAnsi="Tahoma" w:cs="Tahoma"/>
        </w:rPr>
        <w:t xml:space="preserve"> </w:t>
      </w:r>
    </w:p>
    <w:p w:rsidRPr="003C3341" w:rsidR="00301AD0" w:rsidRDefault="00301AD0" w14:paraId="21B8D9FF" w14:textId="77777777">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Pr="003C3341" w:rsidR="00B21F2E" w:rsidTr="00B21F2E" w14:paraId="0D3FB92D" w14:textId="77777777">
        <w:tc>
          <w:tcPr>
            <w:tcW w:w="3987" w:type="dxa"/>
            <w:shd w:val="clear" w:color="auto" w:fill="8DB3E2" w:themeFill="text2" w:themeFillTint="66"/>
          </w:tcPr>
          <w:p w:rsidR="00B21F2E" w:rsidRDefault="00B21F2E" w14:paraId="4B8FE21B" w14:textId="2E237C92">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2D483B">
              <w:rPr>
                <w:rFonts w:ascii="Tahoma" w:hAnsi="Tahoma" w:cs="Tahoma"/>
                <w:b/>
                <w:sz w:val="20"/>
                <w:szCs w:val="20"/>
              </w:rPr>
              <w:t>Abul Kashem</w:t>
            </w:r>
          </w:p>
          <w:p w:rsidRPr="003C3341" w:rsidR="001B69C8" w:rsidRDefault="001B69C8" w14:paraId="498F0B10" w14:textId="77777777">
            <w:pPr>
              <w:rPr>
                <w:rFonts w:ascii="Tahoma" w:hAnsi="Tahoma" w:cs="Tahoma"/>
                <w:b/>
                <w:sz w:val="20"/>
                <w:szCs w:val="20"/>
              </w:rPr>
            </w:pPr>
          </w:p>
          <w:p w:rsidRPr="003C3341" w:rsidR="00B21F2E" w:rsidRDefault="001B69C8" w14:paraId="69E1F0CF" w14:textId="21E7CFE2">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2D483B">
              <w:rPr>
                <w:rFonts w:ascii="Tahoma" w:hAnsi="Tahoma" w:cs="Tahoma"/>
                <w:b/>
                <w:sz w:val="20"/>
                <w:szCs w:val="20"/>
              </w:rPr>
              <w:t>2019843</w:t>
            </w:r>
          </w:p>
          <w:p w:rsidRPr="003C3341" w:rsidR="00B21F2E" w:rsidRDefault="00B21F2E" w14:paraId="1BE02E96" w14:textId="77777777">
            <w:pPr>
              <w:rPr>
                <w:rFonts w:ascii="Tahoma" w:hAnsi="Tahoma" w:cs="Tahoma"/>
                <w:b/>
                <w:sz w:val="20"/>
                <w:szCs w:val="20"/>
              </w:rPr>
            </w:pPr>
          </w:p>
        </w:tc>
        <w:tc>
          <w:tcPr>
            <w:tcW w:w="7195" w:type="dxa"/>
            <w:shd w:val="clear" w:color="auto" w:fill="8DB3E2" w:themeFill="text2" w:themeFillTint="66"/>
          </w:tcPr>
          <w:p w:rsidR="00B21F2E" w:rsidRDefault="001B69C8" w14:paraId="488BCD26" w14:textId="24621EC4">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2D483B">
              <w:rPr>
                <w:rFonts w:ascii="Tahoma" w:hAnsi="Tahoma" w:cs="Tahoma"/>
                <w:b/>
                <w:sz w:val="20"/>
                <w:szCs w:val="20"/>
              </w:rPr>
              <w:t>Food and Beverage Operations</w:t>
            </w:r>
          </w:p>
          <w:p w:rsidR="00B21F2E" w:rsidP="00B21F2E" w:rsidRDefault="00B21F2E" w14:paraId="2019D1B6" w14:textId="77777777">
            <w:pPr>
              <w:rPr>
                <w:rFonts w:ascii="Tahoma" w:hAnsi="Tahoma" w:cs="Tahoma"/>
                <w:b/>
                <w:sz w:val="20"/>
                <w:szCs w:val="20"/>
              </w:rPr>
            </w:pPr>
          </w:p>
          <w:p w:rsidRPr="003C3341" w:rsidR="001B69C8" w:rsidP="00B21F2E" w:rsidRDefault="001B69C8" w14:paraId="450FE136" w14:textId="09F30608">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2D483B">
              <w:rPr>
                <w:rFonts w:ascii="Tahoma" w:hAnsi="Tahoma" w:cs="Tahoma"/>
                <w:b/>
                <w:sz w:val="20"/>
                <w:szCs w:val="20"/>
              </w:rPr>
              <w:t>Mary Needham</w:t>
            </w:r>
          </w:p>
        </w:tc>
      </w:tr>
    </w:tbl>
    <w:p w:rsidRPr="003C3341" w:rsidR="0062012D" w:rsidRDefault="0062012D" w14:paraId="1F13C318" w14:textId="4D5FFF34">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Pr="003C3341" w:rsidR="00B21F2E" w:rsidTr="06F552EC" w14:paraId="19DFCE05" w14:textId="77777777">
        <w:tc>
          <w:tcPr>
            <w:tcW w:w="3983" w:type="dxa"/>
            <w:shd w:val="clear" w:color="auto" w:fill="FBD4B4" w:themeFill="accent6" w:themeFillTint="66"/>
            <w:tcMar/>
          </w:tcPr>
          <w:p w:rsidRPr="00946B23" w:rsidR="00B21F2E" w:rsidP="00B21F2E" w:rsidRDefault="008F0D83" w14:paraId="15299B24" w14:textId="569D8EF5">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2D483B">
              <w:rPr>
                <w:rFonts w:ascii="Tahoma" w:hAnsi="Tahoma" w:cs="Tahoma"/>
                <w:b/>
                <w:sz w:val="20"/>
                <w:szCs w:val="20"/>
              </w:rPr>
              <w:t>Food Safety Fundamentals (The 4 C’s)</w:t>
            </w:r>
          </w:p>
        </w:tc>
        <w:tc>
          <w:tcPr>
            <w:tcW w:w="7199" w:type="dxa"/>
            <w:shd w:val="clear" w:color="auto" w:fill="FBD4B4" w:themeFill="accent6" w:themeFillTint="66"/>
            <w:tcMar/>
          </w:tcPr>
          <w:p w:rsidR="00B21F2E" w:rsidP="06F552EC" w:rsidRDefault="00B945EA" w14:paraId="46D7ECC8" w14:textId="346503E5">
            <w:pPr>
              <w:rPr>
                <w:rFonts w:ascii="Tahoma" w:hAnsi="Tahoma" w:cs="Tahoma"/>
                <w:b w:val="1"/>
                <w:bCs w:val="1"/>
                <w:sz w:val="20"/>
                <w:szCs w:val="20"/>
              </w:rPr>
            </w:pPr>
            <w:r w:rsidRPr="06F552EC" w:rsidR="00B945EA">
              <w:rPr>
                <w:rFonts w:ascii="Tahoma" w:hAnsi="Tahoma" w:cs="Tahoma"/>
                <w:b w:val="1"/>
                <w:bCs w:val="1"/>
                <w:sz w:val="20"/>
                <w:szCs w:val="20"/>
              </w:rPr>
              <w:t>Date Completed</w:t>
            </w:r>
            <w:r w:rsidRPr="06F552EC" w:rsidR="001B69C8">
              <w:rPr>
                <w:rFonts w:ascii="Tahoma" w:hAnsi="Tahoma" w:cs="Tahoma"/>
                <w:b w:val="1"/>
                <w:bCs w:val="1"/>
                <w:sz w:val="20"/>
                <w:szCs w:val="20"/>
              </w:rPr>
              <w:t>:</w:t>
            </w:r>
            <w:r w:rsidRPr="06F552EC" w:rsidR="003478CE">
              <w:rPr>
                <w:rFonts w:ascii="Tahoma" w:hAnsi="Tahoma" w:cs="Tahoma"/>
                <w:b w:val="1"/>
                <w:bCs w:val="1"/>
                <w:sz w:val="20"/>
                <w:szCs w:val="20"/>
              </w:rPr>
              <w:t xml:space="preserve"> </w:t>
            </w:r>
            <w:r w:rsidRPr="06F552EC" w:rsidR="002D483B">
              <w:rPr>
                <w:rFonts w:ascii="Tahoma" w:hAnsi="Tahoma" w:cs="Tahoma"/>
                <w:b w:val="1"/>
                <w:bCs w:val="1"/>
                <w:sz w:val="20"/>
                <w:szCs w:val="20"/>
              </w:rPr>
              <w:t>1</w:t>
            </w:r>
            <w:r w:rsidRPr="06F552EC" w:rsidR="48CB28D4">
              <w:rPr>
                <w:rFonts w:ascii="Tahoma" w:hAnsi="Tahoma" w:cs="Tahoma"/>
                <w:b w:val="1"/>
                <w:bCs w:val="1"/>
                <w:sz w:val="20"/>
                <w:szCs w:val="20"/>
              </w:rPr>
              <w:t>9</w:t>
            </w:r>
            <w:r w:rsidRPr="06F552EC" w:rsidR="002D483B">
              <w:rPr>
                <w:rFonts w:ascii="Tahoma" w:hAnsi="Tahoma" w:cs="Tahoma"/>
                <w:b w:val="1"/>
                <w:bCs w:val="1"/>
                <w:sz w:val="20"/>
                <w:szCs w:val="20"/>
              </w:rPr>
              <w:t>.10.2021</w:t>
            </w:r>
          </w:p>
          <w:p w:rsidR="00B21F2E" w:rsidP="00B21F2E" w:rsidRDefault="00B21F2E" w14:paraId="36F1B310" w14:textId="77777777">
            <w:pPr>
              <w:jc w:val="center"/>
              <w:rPr>
                <w:rFonts w:ascii="Tahoma" w:hAnsi="Tahoma" w:cs="Tahoma"/>
                <w:b/>
                <w:sz w:val="20"/>
                <w:szCs w:val="20"/>
              </w:rPr>
            </w:pPr>
          </w:p>
          <w:p w:rsidRPr="003C3341" w:rsidR="00B21F2E" w:rsidP="00B21F2E" w:rsidRDefault="00B21F2E" w14:paraId="5A58C08D" w14:textId="0CB28053">
            <w:pPr>
              <w:jc w:val="center"/>
              <w:rPr>
                <w:rFonts w:ascii="Tahoma" w:hAnsi="Tahoma" w:cs="Tahoma"/>
                <w:b/>
                <w:sz w:val="20"/>
                <w:szCs w:val="20"/>
              </w:rPr>
            </w:pPr>
          </w:p>
        </w:tc>
      </w:tr>
      <w:tr w:rsidRPr="003C3341" w:rsidR="00B945EA" w:rsidTr="06F552EC" w14:paraId="60CC0225" w14:textId="77777777">
        <w:trPr>
          <w:trHeight w:val="2494"/>
        </w:trPr>
        <w:tc>
          <w:tcPr>
            <w:tcW w:w="11182" w:type="dxa"/>
            <w:gridSpan w:val="2"/>
            <w:tcMar/>
          </w:tcPr>
          <w:p w:rsidR="00B945EA" w:rsidP="00A65C1D" w:rsidRDefault="00B945EA" w14:paraId="0831D54A" w14:textId="77777777">
            <w:pPr>
              <w:rPr>
                <w:rFonts w:ascii="Tahoma" w:hAnsi="Tahoma" w:cs="Tahoma"/>
                <w:sz w:val="20"/>
                <w:szCs w:val="20"/>
              </w:rPr>
            </w:pPr>
          </w:p>
          <w:p w:rsidRPr="002A7407" w:rsidR="00917DB4" w:rsidP="00917DB4" w:rsidRDefault="00917DB4" w14:paraId="724A2EB9" w14:textId="77777777">
            <w:pPr>
              <w:spacing w:line="360" w:lineRule="auto"/>
              <w:jc w:val="both"/>
              <w:rPr>
                <w:rFonts w:ascii="Arial" w:hAnsi="Arial" w:cs="Arial"/>
                <w:color w:val="000000"/>
              </w:rPr>
            </w:pPr>
            <w:r w:rsidRPr="002A7407">
              <w:rPr>
                <w:rFonts w:ascii="Arial" w:hAnsi="Arial" w:cs="Arial"/>
                <w:color w:val="000000"/>
              </w:rPr>
              <w:t xml:space="preserve">Food and beverage service operations refer to the multitude activities which engage the employees from initial processes such as purchasing raw materials, preparing </w:t>
            </w:r>
            <w:proofErr w:type="gramStart"/>
            <w:r w:rsidRPr="002A7407">
              <w:rPr>
                <w:rFonts w:ascii="Arial" w:hAnsi="Arial" w:cs="Arial"/>
                <w:color w:val="000000"/>
              </w:rPr>
              <w:t>food</w:t>
            </w:r>
            <w:proofErr w:type="gramEnd"/>
            <w:r w:rsidRPr="002A7407">
              <w:rPr>
                <w:rFonts w:ascii="Arial" w:hAnsi="Arial" w:cs="Arial"/>
                <w:color w:val="000000"/>
              </w:rPr>
              <w:t xml:space="preserve"> and maintaining service quality consistently (Doyle, Diez-Gonzalez and Hill, 2020). Food safety fundamentals are the principles which ensure that the food practices are safe, reflecting positively on the organi</w:t>
            </w:r>
            <w:r>
              <w:rPr>
                <w:rFonts w:ascii="Arial" w:hAnsi="Arial" w:cs="Arial"/>
                <w:color w:val="000000"/>
              </w:rPr>
              <w:t>s</w:t>
            </w:r>
            <w:r w:rsidRPr="002A7407">
              <w:rPr>
                <w:rFonts w:ascii="Arial" w:hAnsi="Arial" w:cs="Arial"/>
                <w:color w:val="000000"/>
              </w:rPr>
              <w:t>ation.</w:t>
            </w:r>
          </w:p>
          <w:p w:rsidRPr="002A7407" w:rsidR="00917DB4" w:rsidP="00917DB4" w:rsidRDefault="00917DB4" w14:paraId="22EF6D04" w14:textId="77777777">
            <w:pPr>
              <w:spacing w:line="360" w:lineRule="auto"/>
              <w:jc w:val="both"/>
              <w:rPr>
                <w:rFonts w:ascii="Arial" w:hAnsi="Arial" w:cs="Arial"/>
                <w:color w:val="000000"/>
              </w:rPr>
            </w:pPr>
          </w:p>
          <w:p w:rsidRPr="002A7407" w:rsidR="00917DB4" w:rsidP="00917DB4" w:rsidRDefault="00917DB4" w14:paraId="5635E507" w14:textId="77777777">
            <w:pPr>
              <w:pStyle w:val="NormalWeb"/>
              <w:spacing w:line="360" w:lineRule="auto"/>
              <w:jc w:val="both"/>
              <w:rPr>
                <w:rFonts w:ascii="Arial" w:hAnsi="Arial" w:cs="Arial"/>
                <w:color w:val="000000"/>
              </w:rPr>
            </w:pPr>
            <w:r w:rsidRPr="251F4333" w:rsidR="010D116D">
              <w:rPr>
                <w:rFonts w:ascii="Arial" w:hAnsi="Arial" w:cs="Arial"/>
                <w:color w:val="000000" w:themeColor="text1" w:themeTint="FF" w:themeShade="FF"/>
              </w:rPr>
              <w:t>According to Doyle, Diez-</w:t>
            </w:r>
            <w:proofErr w:type="gramStart"/>
            <w:r w:rsidRPr="251F4333" w:rsidR="010D116D">
              <w:rPr>
                <w:rFonts w:ascii="Arial" w:hAnsi="Arial" w:cs="Arial"/>
                <w:color w:val="000000" w:themeColor="text1" w:themeTint="FF" w:themeShade="FF"/>
              </w:rPr>
              <w:t>Gonzalez</w:t>
            </w:r>
            <w:proofErr w:type="gramEnd"/>
            <w:r w:rsidRPr="251F4333" w:rsidR="010D116D">
              <w:rPr>
                <w:rFonts w:ascii="Arial" w:hAnsi="Arial" w:cs="Arial"/>
                <w:color w:val="000000" w:themeColor="text1" w:themeTint="FF" w:themeShade="FF"/>
              </w:rPr>
              <w:t xml:space="preserve"> and Hill (2020), food safety and hygiene fundamentals refer to the 4Cs which include cleaning, chilling, cooking and cross-contamination. These principles help to guide the food industry regarding handling serving and selling food items to the customers safely and hygienically. These principles can be explained as follows:</w:t>
            </w:r>
          </w:p>
          <w:p w:rsidR="251F4333" w:rsidP="251F4333" w:rsidRDefault="251F4333" w14:paraId="7DF4314E" w14:textId="4AC986E3">
            <w:pPr>
              <w:pStyle w:val="NormalWeb"/>
              <w:spacing w:line="360" w:lineRule="auto"/>
              <w:jc w:val="both"/>
              <w:rPr>
                <w:rFonts w:ascii="Arial" w:hAnsi="Arial" w:cs="Arial"/>
                <w:color w:val="000000" w:themeColor="text1" w:themeTint="FF" w:themeShade="FF"/>
              </w:rPr>
            </w:pPr>
          </w:p>
          <w:p w:rsidRPr="002A7407" w:rsidR="00917DB4" w:rsidP="00917DB4" w:rsidRDefault="00917DB4" w14:paraId="6CA02EAF" w14:textId="77777777">
            <w:pPr>
              <w:pStyle w:val="NormalWeb"/>
              <w:spacing w:line="360" w:lineRule="auto"/>
              <w:jc w:val="both"/>
              <w:rPr>
                <w:rFonts w:ascii="Arial" w:hAnsi="Arial" w:cs="Arial"/>
                <w:color w:val="000000"/>
              </w:rPr>
            </w:pPr>
            <w:r w:rsidRPr="251F4333" w:rsidR="010D116D">
              <w:rPr>
                <w:rFonts w:ascii="Arial" w:hAnsi="Arial" w:cs="Arial"/>
                <w:color w:val="000000" w:themeColor="text1" w:themeTint="FF" w:themeShade="FF"/>
              </w:rPr>
              <w:t>Cleaning: Cleaning principle ensure that it is necessary for the food service companies top clean an disinfect the equipment and area to be used properly. It needs to be done in between the cooking tasks before and after the day.</w:t>
            </w:r>
          </w:p>
          <w:p w:rsidR="251F4333" w:rsidP="251F4333" w:rsidRDefault="251F4333" w14:paraId="74EDF97C" w14:textId="2D1A221B">
            <w:pPr>
              <w:pStyle w:val="NormalWeb"/>
              <w:spacing w:line="360" w:lineRule="auto"/>
              <w:jc w:val="both"/>
              <w:rPr>
                <w:rFonts w:ascii="Arial" w:hAnsi="Arial" w:cs="Arial"/>
                <w:color w:val="000000" w:themeColor="text1" w:themeTint="FF" w:themeShade="FF"/>
              </w:rPr>
            </w:pPr>
          </w:p>
          <w:p w:rsidRPr="002A7407" w:rsidR="00917DB4" w:rsidP="00917DB4" w:rsidRDefault="00917DB4" w14:paraId="582BD40D" w14:textId="77777777">
            <w:pPr>
              <w:pStyle w:val="NormalWeb"/>
              <w:spacing w:line="360" w:lineRule="auto"/>
              <w:jc w:val="both"/>
              <w:rPr>
                <w:rFonts w:ascii="Arial" w:hAnsi="Arial" w:cs="Arial"/>
                <w:color w:val="000000"/>
              </w:rPr>
            </w:pPr>
            <w:r w:rsidRPr="251F4333" w:rsidR="010D116D">
              <w:rPr>
                <w:rFonts w:ascii="Arial" w:hAnsi="Arial" w:cs="Arial"/>
                <w:color w:val="000000" w:themeColor="text1" w:themeTint="FF" w:themeShade="FF"/>
              </w:rPr>
              <w:t xml:space="preserve">Cross-contamination: Cross-contamination can occur when pathogens transfer from one food item to other. The principle states that the food items should be kept separate, and all the food equipment, </w:t>
            </w:r>
            <w:r w:rsidRPr="251F4333" w:rsidR="010D116D">
              <w:rPr>
                <w:rFonts w:ascii="Arial" w:hAnsi="Arial" w:cs="Arial"/>
                <w:color w:val="000000" w:themeColor="text1" w:themeTint="FF" w:themeShade="FF"/>
              </w:rPr>
              <w:t>surfaces and hands should be clean and hygienic as they can spread pathogens in food items (</w:t>
            </w:r>
            <w:proofErr w:type="spellStart"/>
            <w:r w:rsidRPr="251F4333" w:rsidR="010D116D">
              <w:rPr>
                <w:rFonts w:ascii="Arial" w:hAnsi="Arial" w:cs="Arial"/>
                <w:color w:val="000000" w:themeColor="text1" w:themeTint="FF" w:themeShade="FF"/>
              </w:rPr>
              <w:t>Irtyshcheva</w:t>
            </w:r>
            <w:proofErr w:type="spellEnd"/>
            <w:r w:rsidRPr="251F4333" w:rsidR="010D116D">
              <w:rPr>
                <w:rFonts w:ascii="Arial" w:hAnsi="Arial" w:cs="Arial"/>
                <w:color w:val="000000" w:themeColor="text1" w:themeTint="FF" w:themeShade="FF"/>
              </w:rPr>
              <w:t xml:space="preserve">, </w:t>
            </w:r>
            <w:proofErr w:type="spellStart"/>
            <w:r w:rsidRPr="251F4333" w:rsidR="010D116D">
              <w:rPr>
                <w:rFonts w:ascii="Arial" w:hAnsi="Arial" w:cs="Arial"/>
                <w:color w:val="000000" w:themeColor="text1" w:themeTint="FF" w:themeShade="FF"/>
              </w:rPr>
              <w:t>Ponomarova</w:t>
            </w:r>
            <w:proofErr w:type="spellEnd"/>
            <w:r w:rsidRPr="251F4333" w:rsidR="010D116D">
              <w:rPr>
                <w:rFonts w:ascii="Arial" w:hAnsi="Arial" w:cs="Arial"/>
                <w:color w:val="000000" w:themeColor="text1" w:themeTint="FF" w:themeShade="FF"/>
              </w:rPr>
              <w:t xml:space="preserve"> and </w:t>
            </w:r>
            <w:proofErr w:type="spellStart"/>
            <w:r w:rsidRPr="251F4333" w:rsidR="010D116D">
              <w:rPr>
                <w:rFonts w:ascii="Arial" w:hAnsi="Arial" w:cs="Arial"/>
                <w:color w:val="000000" w:themeColor="text1" w:themeTint="FF" w:themeShade="FF"/>
              </w:rPr>
              <w:t>Dolzhykova</w:t>
            </w:r>
            <w:proofErr w:type="spellEnd"/>
            <w:r w:rsidRPr="251F4333" w:rsidR="010D116D">
              <w:rPr>
                <w:rFonts w:ascii="Arial" w:hAnsi="Arial" w:cs="Arial"/>
                <w:color w:val="000000" w:themeColor="text1" w:themeTint="FF" w:themeShade="FF"/>
              </w:rPr>
              <w:t>, 2019).</w:t>
            </w:r>
          </w:p>
          <w:p w:rsidR="251F4333" w:rsidP="251F4333" w:rsidRDefault="251F4333" w14:paraId="304929E5" w14:textId="61BDE8C8">
            <w:pPr>
              <w:pStyle w:val="NormalWeb"/>
              <w:spacing w:line="360" w:lineRule="auto"/>
              <w:jc w:val="both"/>
              <w:rPr>
                <w:rFonts w:ascii="Arial" w:hAnsi="Arial" w:cs="Arial"/>
                <w:color w:val="000000" w:themeColor="text1" w:themeTint="FF" w:themeShade="FF"/>
              </w:rPr>
            </w:pPr>
          </w:p>
          <w:p w:rsidRPr="002A7407" w:rsidR="00917DB4" w:rsidP="00917DB4" w:rsidRDefault="00917DB4" w14:paraId="2472E6E4" w14:textId="285D2305">
            <w:pPr>
              <w:pStyle w:val="NormalWeb"/>
              <w:spacing w:line="360" w:lineRule="auto"/>
              <w:jc w:val="both"/>
              <w:rPr>
                <w:rFonts w:ascii="Arial" w:hAnsi="Arial" w:cs="Arial"/>
                <w:color w:val="000000"/>
              </w:rPr>
            </w:pPr>
            <w:r w:rsidRPr="251F4333" w:rsidR="010D116D">
              <w:rPr>
                <w:rFonts w:ascii="Arial" w:hAnsi="Arial" w:cs="Arial"/>
                <w:color w:val="000000" w:themeColor="text1" w:themeTint="FF" w:themeShade="FF"/>
              </w:rPr>
              <w:t xml:space="preserve">Chilling: The principle states that if the food needs to be frozen it should be kept at a prescribed temperature such as between 0 degree C and </w:t>
            </w:r>
            <w:r w:rsidRPr="251F4333" w:rsidR="010D116D">
              <w:rPr>
                <w:rFonts w:ascii="Arial" w:hAnsi="Arial" w:cs="Arial"/>
                <w:color w:val="000000" w:themeColor="text1" w:themeTint="FF" w:themeShade="FF"/>
              </w:rPr>
              <w:t>5-degree</w:t>
            </w:r>
            <w:r w:rsidRPr="251F4333" w:rsidR="010D116D">
              <w:rPr>
                <w:rFonts w:ascii="Arial" w:hAnsi="Arial" w:cs="Arial"/>
                <w:color w:val="000000" w:themeColor="text1" w:themeTint="FF" w:themeShade="FF"/>
              </w:rPr>
              <w:t xml:space="preserve"> C.</w:t>
            </w:r>
          </w:p>
          <w:p w:rsidR="251F4333" w:rsidP="251F4333" w:rsidRDefault="251F4333" w14:paraId="356E11BD" w14:textId="6AE07955">
            <w:pPr>
              <w:pStyle w:val="NormalWeb"/>
              <w:spacing w:line="360" w:lineRule="auto"/>
              <w:jc w:val="both"/>
              <w:rPr>
                <w:rFonts w:ascii="Arial" w:hAnsi="Arial" w:cs="Arial"/>
                <w:color w:val="000000" w:themeColor="text1" w:themeTint="FF" w:themeShade="FF"/>
              </w:rPr>
            </w:pPr>
          </w:p>
          <w:p w:rsidRPr="002A7407" w:rsidR="00917DB4" w:rsidP="00917DB4" w:rsidRDefault="00917DB4" w14:paraId="67108F71" w14:textId="77777777">
            <w:pPr>
              <w:pStyle w:val="NormalWeb"/>
              <w:spacing w:line="360" w:lineRule="auto"/>
              <w:jc w:val="both"/>
              <w:rPr>
                <w:rFonts w:ascii="Arial" w:hAnsi="Arial" w:cs="Arial"/>
                <w:color w:val="000000"/>
              </w:rPr>
            </w:pPr>
            <w:r w:rsidRPr="002A7407">
              <w:rPr>
                <w:rFonts w:ascii="Arial" w:hAnsi="Arial" w:cs="Arial"/>
                <w:color w:val="000000"/>
              </w:rPr>
              <w:t>Cooking: This principle describes the required temperatures of food when cooking as per the requirements of food.</w:t>
            </w:r>
          </w:p>
          <w:p w:rsidRPr="002A7407" w:rsidR="00917DB4" w:rsidP="00917DB4" w:rsidRDefault="00917DB4" w14:paraId="015BE15C" w14:textId="77777777">
            <w:pPr>
              <w:spacing w:line="360" w:lineRule="auto"/>
              <w:jc w:val="both"/>
              <w:rPr>
                <w:rFonts w:ascii="Arial" w:hAnsi="Arial" w:cs="Arial"/>
              </w:rPr>
            </w:pPr>
          </w:p>
          <w:p w:rsidRPr="002A7407" w:rsidR="00917DB4" w:rsidP="00917DB4" w:rsidRDefault="00917DB4" w14:paraId="3CE12AD6" w14:textId="6A1A2FB7">
            <w:pPr>
              <w:pStyle w:val="NormalWeb"/>
              <w:spacing w:line="360" w:lineRule="auto"/>
              <w:jc w:val="both"/>
              <w:rPr>
                <w:rFonts w:ascii="Arial" w:hAnsi="Arial" w:cs="Arial"/>
                <w:color w:val="000000"/>
              </w:rPr>
            </w:pPr>
            <w:r w:rsidRPr="1551C3A8" w:rsidR="00917DB4">
              <w:rPr>
                <w:rFonts w:ascii="Arial" w:hAnsi="Arial" w:cs="Arial"/>
                <w:color w:val="000000" w:themeColor="text1" w:themeTint="FF" w:themeShade="FF"/>
              </w:rPr>
              <w:t>During my learning about fundamentals of food safety, I came across 4 Cs which are referred as the principles of food safety and hygiene management. As food safety is major concern for the customers in food and beverage industry, these principles ensure that the customers are being served safe and hygienic food items (</w:t>
            </w:r>
            <w:r w:rsidRPr="1551C3A8" w:rsidR="00917DB4">
              <w:rPr>
                <w:rFonts w:ascii="Arial" w:hAnsi="Arial" w:cs="Arial"/>
                <w:color w:val="000000" w:themeColor="text1" w:themeTint="FF" w:themeShade="FF"/>
              </w:rPr>
              <w:t>Socas</w:t>
            </w:r>
            <w:r w:rsidRPr="1551C3A8" w:rsidR="00917DB4">
              <w:rPr>
                <w:rFonts w:ascii="Arial" w:hAnsi="Arial" w:cs="Arial"/>
                <w:color w:val="000000" w:themeColor="text1" w:themeTint="FF" w:themeShade="FF"/>
              </w:rPr>
              <w:t>-Rodríguez and et.al., 2017). In my study, I learn that these are the simple rules which helps food</w:t>
            </w:r>
            <w:r w:rsidRPr="1551C3A8" w:rsidR="00917DB4">
              <w:rPr>
                <w:rFonts w:ascii="Arial" w:hAnsi="Arial" w:cs="Arial"/>
                <w:color w:val="000000" w:themeColor="text1" w:themeTint="FF" w:themeShade="FF"/>
              </w:rPr>
              <w:t xml:space="preserve"> </w:t>
            </w:r>
            <w:r w:rsidRPr="1551C3A8" w:rsidR="00917DB4">
              <w:rPr>
                <w:rFonts w:ascii="Arial" w:hAnsi="Arial" w:cs="Arial"/>
                <w:color w:val="000000" w:themeColor="text1" w:themeTint="FF" w:themeShade="FF"/>
              </w:rPr>
              <w:t xml:space="preserve">industry to stay safe from food-borne illnesses in the kitchen. Cleaning, Cooking, </w:t>
            </w:r>
            <w:r w:rsidRPr="1551C3A8" w:rsidR="00917DB4">
              <w:rPr>
                <w:rFonts w:ascii="Arial" w:hAnsi="Arial" w:cs="Arial"/>
                <w:color w:val="000000" w:themeColor="text1" w:themeTint="FF" w:themeShade="FF"/>
              </w:rPr>
              <w:t>chilling</w:t>
            </w:r>
            <w:r w:rsidRPr="1551C3A8" w:rsidR="00917DB4">
              <w:rPr>
                <w:rFonts w:ascii="Arial" w:hAnsi="Arial" w:cs="Arial"/>
                <w:color w:val="000000" w:themeColor="text1" w:themeTint="FF" w:themeShade="FF"/>
              </w:rPr>
              <w:t xml:space="preserve"> and Cross-contamination are important for food hygiene safety during the food handling processes. </w:t>
            </w:r>
            <w:r w:rsidRPr="1551C3A8" w:rsidR="0DEE4569">
              <w:rPr>
                <w:rFonts w:ascii="Arial" w:hAnsi="Arial" w:cs="Arial"/>
                <w:color w:val="000000" w:themeColor="text1" w:themeTint="FF" w:themeShade="FF"/>
              </w:rPr>
              <w:t>So,</w:t>
            </w:r>
            <w:r w:rsidRPr="1551C3A8" w:rsidR="00917DB4">
              <w:rPr>
                <w:rFonts w:ascii="Arial" w:hAnsi="Arial" w:cs="Arial"/>
                <w:color w:val="000000" w:themeColor="text1" w:themeTint="FF" w:themeShade="FF"/>
              </w:rPr>
              <w:t xml:space="preserve"> they must be implemented properly in every stage of food handling </w:t>
            </w:r>
            <w:r w:rsidRPr="1551C3A8" w:rsidR="334B2CEA">
              <w:rPr>
                <w:rFonts w:ascii="Arial" w:hAnsi="Arial" w:cs="Arial"/>
                <w:color w:val="000000" w:themeColor="text1" w:themeTint="FF" w:themeShade="FF"/>
              </w:rPr>
              <w:t>procedure</w:t>
            </w:r>
            <w:r w:rsidRPr="1551C3A8" w:rsidR="00917DB4">
              <w:rPr>
                <w:rFonts w:ascii="Arial" w:hAnsi="Arial" w:cs="Arial"/>
                <w:color w:val="000000" w:themeColor="text1" w:themeTint="FF" w:themeShade="FF"/>
              </w:rPr>
              <w:t>. I have analy</w:t>
            </w:r>
            <w:r w:rsidRPr="1551C3A8" w:rsidR="00917DB4">
              <w:rPr>
                <w:rFonts w:ascii="Arial" w:hAnsi="Arial" w:cs="Arial"/>
                <w:color w:val="000000" w:themeColor="text1" w:themeTint="FF" w:themeShade="FF"/>
              </w:rPr>
              <w:t>s</w:t>
            </w:r>
            <w:r w:rsidRPr="1551C3A8" w:rsidR="00917DB4">
              <w:rPr>
                <w:rFonts w:ascii="Arial" w:hAnsi="Arial" w:cs="Arial"/>
                <w:color w:val="000000" w:themeColor="text1" w:themeTint="FF" w:themeShade="FF"/>
              </w:rPr>
              <w:t>ed that through the practicing of these 4 Cs of food safety, when working with food items can help in eliminating food illness and food positioning etc.</w:t>
            </w:r>
          </w:p>
          <w:p w:rsidR="00917DB4" w:rsidP="00917DB4" w:rsidRDefault="00917DB4" w14:paraId="25353839" w14:textId="77777777">
            <w:pPr>
              <w:spacing w:line="360" w:lineRule="auto"/>
              <w:jc w:val="both"/>
              <w:rPr>
                <w:rFonts w:ascii="Arial" w:hAnsi="Arial" w:cs="Arial"/>
                <w:color w:val="000000"/>
              </w:rPr>
            </w:pPr>
          </w:p>
          <w:p w:rsidRPr="002A7407" w:rsidR="00917DB4" w:rsidP="00917DB4" w:rsidRDefault="00917DB4" w14:paraId="05BAB7E8" w14:textId="77777777">
            <w:pPr>
              <w:spacing w:line="360" w:lineRule="auto"/>
              <w:jc w:val="both"/>
              <w:rPr>
                <w:rFonts w:ascii="Arial" w:hAnsi="Arial" w:cs="Arial"/>
                <w:color w:val="000000"/>
              </w:rPr>
            </w:pPr>
            <w:r w:rsidRPr="002A7407">
              <w:rPr>
                <w:rFonts w:ascii="Arial" w:hAnsi="Arial" w:cs="Arial"/>
                <w:color w:val="000000"/>
              </w:rPr>
              <w:t>The fundamental principles of food safety and hygiene are the elements which describes the safe and hygiene food safety management practices in the food and beverage industry. In my learning, common food illness such and food sickness, food positioning and diarrhoea are more likely to be developed from the bacteria occurring from poor hygiene practices. As per Lange (2017), it is important to follow the food safety principles as they can help in avoiding the illnesses which might result from poor safety and hygiene during preparation and serving of the food items to the customers. These principles can be implemented in all the food handling and preparing processes by the staff of the company.</w:t>
            </w:r>
          </w:p>
          <w:p w:rsidRPr="002A7407" w:rsidR="00917DB4" w:rsidP="00917DB4" w:rsidRDefault="00917DB4" w14:paraId="672DE08C" w14:textId="77777777">
            <w:pPr>
              <w:spacing w:line="360" w:lineRule="auto"/>
              <w:jc w:val="both"/>
              <w:rPr>
                <w:rFonts w:ascii="Arial" w:hAnsi="Arial" w:cs="Arial"/>
                <w:color w:val="000000"/>
              </w:rPr>
            </w:pPr>
          </w:p>
          <w:p w:rsidRPr="002A7407" w:rsidR="00917DB4" w:rsidP="00917DB4" w:rsidRDefault="00917DB4" w14:paraId="660C4D93" w14:textId="77777777">
            <w:pPr>
              <w:pStyle w:val="NormalWeb"/>
              <w:spacing w:line="360" w:lineRule="auto"/>
              <w:jc w:val="both"/>
              <w:rPr>
                <w:rFonts w:ascii="Arial" w:hAnsi="Arial" w:cs="Arial"/>
                <w:color w:val="000000"/>
              </w:rPr>
            </w:pPr>
            <w:r w:rsidRPr="002A7407">
              <w:rPr>
                <w:rFonts w:ascii="Arial" w:hAnsi="Arial" w:cs="Arial"/>
                <w:color w:val="000000"/>
              </w:rPr>
              <w:t xml:space="preserve">I analysed all the principles or the fundamentals of food safety practices. I agree that these principles should be implemented in all the food and beverage industries to ensure safety of food to the customers. The first principle is do not cross-contaminate the food. It occurs when the raw materials and food times are mishandled which causes the bacteria to multiply and transfer to other food items. The second </w:t>
            </w:r>
            <w:r w:rsidRPr="002A7407">
              <w:rPr>
                <w:rFonts w:ascii="Arial" w:hAnsi="Arial" w:cs="Arial"/>
                <w:color w:val="000000"/>
              </w:rPr>
              <w:lastRenderedPageBreak/>
              <w:t>principle is cleaning which means that before handling food hands must be washed and saniti</w:t>
            </w:r>
            <w:r>
              <w:rPr>
                <w:rFonts w:ascii="Arial" w:hAnsi="Arial" w:cs="Arial"/>
                <w:color w:val="000000"/>
              </w:rPr>
              <w:t>s</w:t>
            </w:r>
            <w:r w:rsidRPr="002A7407">
              <w:rPr>
                <w:rFonts w:ascii="Arial" w:hAnsi="Arial" w:cs="Arial"/>
                <w:color w:val="000000"/>
              </w:rPr>
              <w:t>ed properly. It can help in removing the bacteria thriving in the food. Cooking is the third principle which ensures that the food is cooked properly to maintain a high standard of the food hygiene (</w:t>
            </w:r>
            <w:proofErr w:type="spellStart"/>
            <w:r w:rsidRPr="002A7407">
              <w:rPr>
                <w:rFonts w:ascii="Arial" w:hAnsi="Arial" w:cs="Arial"/>
                <w:color w:val="000000"/>
              </w:rPr>
              <w:t>Osaili</w:t>
            </w:r>
            <w:proofErr w:type="spellEnd"/>
            <w:r w:rsidRPr="002A7407">
              <w:rPr>
                <w:rFonts w:ascii="Arial" w:hAnsi="Arial" w:cs="Arial"/>
                <w:color w:val="000000"/>
              </w:rPr>
              <w:t xml:space="preserve">, Al-Nabulsi and </w:t>
            </w:r>
            <w:proofErr w:type="spellStart"/>
            <w:r w:rsidRPr="002A7407">
              <w:rPr>
                <w:rFonts w:ascii="Arial" w:hAnsi="Arial" w:cs="Arial"/>
                <w:color w:val="000000"/>
              </w:rPr>
              <w:t>Krasneh</w:t>
            </w:r>
            <w:proofErr w:type="spellEnd"/>
            <w:r w:rsidRPr="002A7407">
              <w:rPr>
                <w:rFonts w:ascii="Arial" w:hAnsi="Arial" w:cs="Arial"/>
                <w:color w:val="000000"/>
              </w:rPr>
              <w:t xml:space="preserve">, 2018). This can be done by the staff </w:t>
            </w:r>
            <w:proofErr w:type="gramStart"/>
            <w:r w:rsidRPr="002A7407">
              <w:rPr>
                <w:rFonts w:ascii="Arial" w:hAnsi="Arial" w:cs="Arial"/>
                <w:color w:val="000000"/>
              </w:rPr>
              <w:t>through the use of</w:t>
            </w:r>
            <w:proofErr w:type="gramEnd"/>
            <w:r w:rsidRPr="002A7407">
              <w:rPr>
                <w:rFonts w:ascii="Arial" w:hAnsi="Arial" w:cs="Arial"/>
                <w:color w:val="000000"/>
              </w:rPr>
              <w:t xml:space="preserve"> a clean food thermometer throughout the food item. The last principle is chilling. It describes the temperature on which the specific types of food should be stored.</w:t>
            </w:r>
          </w:p>
          <w:p w:rsidR="00917DB4" w:rsidP="00917DB4" w:rsidRDefault="00917DB4" w14:paraId="3D1F52E0" w14:textId="77777777">
            <w:pPr>
              <w:pStyle w:val="NormalWeb"/>
              <w:spacing w:line="360" w:lineRule="auto"/>
              <w:jc w:val="both"/>
              <w:rPr>
                <w:rFonts w:ascii="Arial" w:hAnsi="Arial" w:cs="Arial"/>
                <w:color w:val="000000"/>
              </w:rPr>
            </w:pPr>
          </w:p>
          <w:p w:rsidRPr="002A7407" w:rsidR="00917DB4" w:rsidP="00917DB4" w:rsidRDefault="00917DB4" w14:paraId="0108DDC4" w14:textId="51AB8BCF">
            <w:pPr>
              <w:pStyle w:val="NormalWeb"/>
              <w:spacing w:line="360" w:lineRule="auto"/>
              <w:jc w:val="both"/>
              <w:rPr>
                <w:rFonts w:ascii="Arial" w:hAnsi="Arial" w:cs="Arial"/>
                <w:color w:val="000000"/>
              </w:rPr>
            </w:pPr>
            <w:r w:rsidRPr="002A7407">
              <w:rPr>
                <w:rFonts w:ascii="Arial" w:hAnsi="Arial" w:cs="Arial"/>
                <w:color w:val="000000"/>
              </w:rPr>
              <w:t>In my opinion, bacteria transfers from one food item to other when it is not cooked or handled properly which causes the bacteria to transfer form kitchen surface to contaminate with other foods. To avoid these principles can be used. I have noted these principles as important because they can help me in ensuring my safe food practices to the customers (Okpala and Ifeoma, 2019).</w:t>
            </w:r>
          </w:p>
          <w:p w:rsidRPr="002A7407" w:rsidR="00917DB4" w:rsidP="00917DB4" w:rsidRDefault="00917DB4" w14:paraId="4C30681E" w14:textId="77777777">
            <w:pPr>
              <w:pStyle w:val="NormalWeb"/>
              <w:spacing w:line="360" w:lineRule="auto"/>
              <w:jc w:val="both"/>
              <w:rPr>
                <w:rFonts w:ascii="Arial" w:hAnsi="Arial" w:cs="Arial"/>
                <w:color w:val="000000"/>
              </w:rPr>
            </w:pPr>
          </w:p>
          <w:p w:rsidR="00375882" w:rsidP="00917DB4" w:rsidRDefault="00917DB4" w14:paraId="5532531A" w14:textId="77777777">
            <w:pPr>
              <w:pStyle w:val="NormalWeb"/>
              <w:spacing w:line="360" w:lineRule="auto"/>
              <w:jc w:val="both"/>
              <w:rPr>
                <w:rFonts w:ascii="Arial" w:hAnsi="Arial" w:cs="Arial"/>
                <w:color w:val="000000"/>
              </w:rPr>
            </w:pPr>
            <w:r w:rsidRPr="002A7407">
              <w:rPr>
                <w:rFonts w:ascii="Arial" w:hAnsi="Arial" w:cs="Arial"/>
                <w:color w:val="000000"/>
              </w:rPr>
              <w:t>In conclusion, implementation of food safety and hygiene fundamental is essential in food and beverage industry to ensure the food safety to its customers. The principles of cooking, cleaning, cross-contamination, and chilling are important to be implemented to avoid food sickness and other food related illness from being transferring from kitchen surface to the food. In my future in the food industry, I will practice these fundamentals to ensure food safety to the customers.</w:t>
            </w:r>
          </w:p>
          <w:p w:rsidRPr="00917DB4" w:rsidR="00917DB4" w:rsidP="00917DB4" w:rsidRDefault="00917DB4" w14:paraId="3B344F1E" w14:textId="20AE2E48">
            <w:pPr>
              <w:pStyle w:val="NormalWeb"/>
              <w:spacing w:line="360" w:lineRule="auto"/>
              <w:jc w:val="both"/>
              <w:rPr>
                <w:rFonts w:ascii="Arial" w:hAnsi="Arial" w:cs="Arial"/>
                <w:color w:val="000000"/>
              </w:rPr>
            </w:pPr>
          </w:p>
        </w:tc>
      </w:tr>
    </w:tbl>
    <w:p w:rsidR="00B00678" w:rsidP="00B945EA" w:rsidRDefault="00B00678" w14:paraId="7D9A52CF" w14:textId="77777777">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Pr="003C3341" w:rsidR="00375882" w:rsidTr="251F4333" w14:paraId="693FCD7B" w14:textId="77777777">
        <w:tc>
          <w:tcPr>
            <w:tcW w:w="10910" w:type="dxa"/>
            <w:shd w:val="clear" w:color="auto" w:fill="FBD4B4" w:themeFill="accent6" w:themeFillTint="66"/>
            <w:tcMar/>
          </w:tcPr>
          <w:p w:rsidRPr="00946B23" w:rsidR="00375882" w:rsidP="007F6692" w:rsidRDefault="00375882" w14:paraId="0731D9DE" w14:textId="3AF3D5E7">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Mar/>
          </w:tcPr>
          <w:p w:rsidR="00375882" w:rsidP="007F6692" w:rsidRDefault="00375882" w14:paraId="2A993785" w14:textId="77777777">
            <w:pPr>
              <w:jc w:val="center"/>
              <w:rPr>
                <w:rFonts w:ascii="Tahoma" w:hAnsi="Tahoma" w:cs="Tahoma"/>
                <w:b/>
                <w:sz w:val="20"/>
                <w:szCs w:val="20"/>
              </w:rPr>
            </w:pPr>
          </w:p>
          <w:p w:rsidRPr="003C3341" w:rsidR="00375882" w:rsidP="007F6692" w:rsidRDefault="00375882" w14:paraId="52F3ACFA" w14:textId="77777777">
            <w:pPr>
              <w:jc w:val="center"/>
              <w:rPr>
                <w:rFonts w:ascii="Tahoma" w:hAnsi="Tahoma" w:cs="Tahoma"/>
                <w:b/>
                <w:sz w:val="20"/>
                <w:szCs w:val="20"/>
              </w:rPr>
            </w:pPr>
          </w:p>
        </w:tc>
      </w:tr>
      <w:tr w:rsidRPr="003C3341" w:rsidR="00375882" w:rsidTr="251F4333" w14:paraId="130E5631" w14:textId="77777777">
        <w:trPr>
          <w:trHeight w:val="2494"/>
        </w:trPr>
        <w:tc>
          <w:tcPr>
            <w:tcW w:w="11182" w:type="dxa"/>
            <w:gridSpan w:val="2"/>
            <w:tcMar/>
          </w:tcPr>
          <w:p w:rsidR="00375882" w:rsidP="007F6692" w:rsidRDefault="00375882" w14:paraId="4FBADFA5" w14:textId="77777777">
            <w:pPr>
              <w:rPr>
                <w:rFonts w:ascii="Tahoma" w:hAnsi="Tahoma" w:cs="Tahoma"/>
                <w:sz w:val="20"/>
                <w:szCs w:val="20"/>
              </w:rPr>
            </w:pPr>
          </w:p>
          <w:p w:rsidRPr="002A7407" w:rsidR="00917DB4" w:rsidP="00917DB4" w:rsidRDefault="00917DB4" w14:paraId="345CCBA5" w14:textId="77777777">
            <w:pPr>
              <w:pStyle w:val="NormalWeb"/>
              <w:spacing w:line="360" w:lineRule="auto"/>
              <w:jc w:val="both"/>
              <w:rPr>
                <w:rFonts w:ascii="Arial" w:hAnsi="Arial" w:cs="Arial"/>
                <w:color w:val="000000"/>
              </w:rPr>
            </w:pPr>
            <w:r w:rsidRPr="251F4333" w:rsidR="010D116D">
              <w:rPr>
                <w:rFonts w:ascii="Arial" w:hAnsi="Arial" w:cs="Arial"/>
                <w:color w:val="000000" w:themeColor="text1" w:themeTint="FF" w:themeShade="FF"/>
              </w:rPr>
              <w:t>Doyle, M.P., Diez-Gonzalez, F. and Hill, C. eds., 2020. Food microbiology: fundamentals and frontiers. John Wiley &amp; Sons.</w:t>
            </w:r>
          </w:p>
          <w:p w:rsidR="251F4333" w:rsidP="251F4333" w:rsidRDefault="251F4333" w14:paraId="5B370EBD" w14:textId="303129D7">
            <w:pPr>
              <w:pStyle w:val="NormalWeb"/>
              <w:spacing w:line="360" w:lineRule="auto"/>
              <w:jc w:val="both"/>
              <w:rPr>
                <w:rFonts w:ascii="Arial" w:hAnsi="Arial" w:cs="Arial"/>
                <w:color w:val="000000" w:themeColor="text1" w:themeTint="FF" w:themeShade="FF"/>
                <w:sz w:val="24"/>
                <w:szCs w:val="24"/>
              </w:rPr>
            </w:pPr>
          </w:p>
          <w:p w:rsidRPr="002A7407" w:rsidR="00917DB4" w:rsidP="00917DB4" w:rsidRDefault="00917DB4" w14:paraId="66FD59E6" w14:textId="77777777">
            <w:pPr>
              <w:pStyle w:val="NormalWeb"/>
              <w:spacing w:line="360" w:lineRule="auto"/>
              <w:jc w:val="both"/>
              <w:rPr>
                <w:rFonts w:ascii="Arial" w:hAnsi="Arial" w:cs="Arial"/>
                <w:color w:val="000000"/>
              </w:rPr>
            </w:pPr>
            <w:proofErr w:type="spellStart"/>
            <w:r w:rsidRPr="251F4333" w:rsidR="010D116D">
              <w:rPr>
                <w:rFonts w:ascii="Arial" w:hAnsi="Arial" w:cs="Arial"/>
                <w:color w:val="000000" w:themeColor="text1" w:themeTint="FF" w:themeShade="FF"/>
              </w:rPr>
              <w:t>Irtyshcheva</w:t>
            </w:r>
            <w:proofErr w:type="spellEnd"/>
            <w:r w:rsidRPr="251F4333" w:rsidR="010D116D">
              <w:rPr>
                <w:rFonts w:ascii="Arial" w:hAnsi="Arial" w:cs="Arial"/>
                <w:color w:val="000000" w:themeColor="text1" w:themeTint="FF" w:themeShade="FF"/>
              </w:rPr>
              <w:t xml:space="preserve">, I., </w:t>
            </w:r>
            <w:proofErr w:type="spellStart"/>
            <w:r w:rsidRPr="251F4333" w:rsidR="010D116D">
              <w:rPr>
                <w:rFonts w:ascii="Arial" w:hAnsi="Arial" w:cs="Arial"/>
                <w:color w:val="000000" w:themeColor="text1" w:themeTint="FF" w:themeShade="FF"/>
              </w:rPr>
              <w:t>Ponomarova</w:t>
            </w:r>
            <w:proofErr w:type="spellEnd"/>
            <w:r w:rsidRPr="251F4333" w:rsidR="010D116D">
              <w:rPr>
                <w:rFonts w:ascii="Arial" w:hAnsi="Arial" w:cs="Arial"/>
                <w:color w:val="000000" w:themeColor="text1" w:themeTint="FF" w:themeShade="FF"/>
              </w:rPr>
              <w:t xml:space="preserve">, M. and </w:t>
            </w:r>
            <w:proofErr w:type="spellStart"/>
            <w:r w:rsidRPr="251F4333" w:rsidR="010D116D">
              <w:rPr>
                <w:rFonts w:ascii="Arial" w:hAnsi="Arial" w:cs="Arial"/>
                <w:color w:val="000000" w:themeColor="text1" w:themeTint="FF" w:themeShade="FF"/>
              </w:rPr>
              <w:t>Dolzhykova</w:t>
            </w:r>
            <w:proofErr w:type="spellEnd"/>
            <w:r w:rsidRPr="251F4333" w:rsidR="010D116D">
              <w:rPr>
                <w:rFonts w:ascii="Arial" w:hAnsi="Arial" w:cs="Arial"/>
                <w:color w:val="000000" w:themeColor="text1" w:themeTint="FF" w:themeShade="FF"/>
              </w:rPr>
              <w:t>, I., 2019. Conceptual fundamentals of development of the food security system. Baltic journal of economic studies. 5(2). pp.57-64.</w:t>
            </w:r>
          </w:p>
          <w:p w:rsidR="251F4333" w:rsidP="251F4333" w:rsidRDefault="251F4333" w14:paraId="28189A20" w14:textId="3ABC139B">
            <w:pPr>
              <w:pStyle w:val="NormalWeb"/>
              <w:spacing w:line="360" w:lineRule="auto"/>
              <w:jc w:val="both"/>
              <w:rPr>
                <w:rFonts w:ascii="Arial" w:hAnsi="Arial" w:cs="Arial"/>
                <w:color w:val="000000" w:themeColor="text1" w:themeTint="FF" w:themeShade="FF"/>
              </w:rPr>
            </w:pPr>
          </w:p>
          <w:p w:rsidRPr="002A7407" w:rsidR="00917DB4" w:rsidP="00917DB4" w:rsidRDefault="00917DB4" w14:paraId="206EA80B" w14:textId="77777777">
            <w:pPr>
              <w:pStyle w:val="NormalWeb"/>
              <w:spacing w:line="360" w:lineRule="auto"/>
              <w:jc w:val="both"/>
              <w:rPr>
                <w:rFonts w:ascii="Arial" w:hAnsi="Arial" w:cs="Arial"/>
                <w:color w:val="000000"/>
              </w:rPr>
            </w:pPr>
            <w:r w:rsidRPr="251F4333" w:rsidR="010D116D">
              <w:rPr>
                <w:rFonts w:ascii="Arial" w:hAnsi="Arial" w:cs="Arial"/>
                <w:color w:val="000000" w:themeColor="text1" w:themeTint="FF" w:themeShade="FF"/>
              </w:rPr>
              <w:t xml:space="preserve">Lange, M., 2017. Food safety learning in home and consumer studies: Teachers' and students' perspectives (Doctoral dissertation, Acta Universitatis </w:t>
            </w:r>
            <w:proofErr w:type="spellStart"/>
            <w:r w:rsidRPr="251F4333" w:rsidR="010D116D">
              <w:rPr>
                <w:rFonts w:ascii="Arial" w:hAnsi="Arial" w:cs="Arial"/>
                <w:color w:val="000000" w:themeColor="text1" w:themeTint="FF" w:themeShade="FF"/>
              </w:rPr>
              <w:t>Upsaliensis</w:t>
            </w:r>
            <w:proofErr w:type="spellEnd"/>
            <w:r w:rsidRPr="251F4333" w:rsidR="010D116D">
              <w:rPr>
                <w:rFonts w:ascii="Arial" w:hAnsi="Arial" w:cs="Arial"/>
                <w:color w:val="000000" w:themeColor="text1" w:themeTint="FF" w:themeShade="FF"/>
              </w:rPr>
              <w:t>).</w:t>
            </w:r>
          </w:p>
          <w:p w:rsidR="251F4333" w:rsidP="251F4333" w:rsidRDefault="251F4333" w14:paraId="08BB8972" w14:textId="2F5DE754">
            <w:pPr>
              <w:pStyle w:val="NormalWeb"/>
              <w:spacing w:line="360" w:lineRule="auto"/>
              <w:jc w:val="both"/>
              <w:rPr>
                <w:rFonts w:ascii="Arial" w:hAnsi="Arial" w:cs="Arial"/>
                <w:color w:val="000000" w:themeColor="text1" w:themeTint="FF" w:themeShade="FF"/>
              </w:rPr>
            </w:pPr>
          </w:p>
          <w:p w:rsidRPr="002A7407" w:rsidR="00917DB4" w:rsidP="00917DB4" w:rsidRDefault="00917DB4" w14:paraId="50317F84" w14:textId="77777777">
            <w:pPr>
              <w:pStyle w:val="NormalWeb"/>
              <w:spacing w:line="360" w:lineRule="auto"/>
              <w:jc w:val="both"/>
              <w:rPr>
                <w:rFonts w:ascii="Arial" w:hAnsi="Arial" w:cs="Arial"/>
                <w:color w:val="000000"/>
              </w:rPr>
            </w:pPr>
            <w:r w:rsidRPr="251F4333" w:rsidR="010D116D">
              <w:rPr>
                <w:rFonts w:ascii="Arial" w:hAnsi="Arial" w:cs="Arial"/>
                <w:color w:val="000000" w:themeColor="text1" w:themeTint="FF" w:themeShade="FF"/>
              </w:rPr>
              <w:t xml:space="preserve">Okpala, C.O.R. and Ifeoma, M.E., 2019. Food hygiene/microbiological safety in the typical household kitchen: some basic ‘Must </w:t>
            </w:r>
            <w:proofErr w:type="spellStart"/>
            <w:r w:rsidRPr="251F4333" w:rsidR="010D116D">
              <w:rPr>
                <w:rFonts w:ascii="Arial" w:hAnsi="Arial" w:cs="Arial"/>
                <w:color w:val="000000" w:themeColor="text1" w:themeTint="FF" w:themeShade="FF"/>
              </w:rPr>
              <w:t>Knows</w:t>
            </w:r>
            <w:proofErr w:type="spellEnd"/>
            <w:r w:rsidRPr="251F4333" w:rsidR="010D116D">
              <w:rPr>
                <w:rFonts w:ascii="Arial" w:hAnsi="Arial" w:cs="Arial"/>
                <w:color w:val="000000" w:themeColor="text1" w:themeTint="FF" w:themeShade="FF"/>
              </w:rPr>
              <w:t xml:space="preserve">’ for the </w:t>
            </w:r>
            <w:proofErr w:type="gramStart"/>
            <w:r w:rsidRPr="251F4333" w:rsidR="010D116D">
              <w:rPr>
                <w:rFonts w:ascii="Arial" w:hAnsi="Arial" w:cs="Arial"/>
                <w:color w:val="000000" w:themeColor="text1" w:themeTint="FF" w:themeShade="FF"/>
              </w:rPr>
              <w:t>general public</w:t>
            </w:r>
            <w:proofErr w:type="gramEnd"/>
            <w:r w:rsidRPr="251F4333" w:rsidR="010D116D">
              <w:rPr>
                <w:rFonts w:ascii="Arial" w:hAnsi="Arial" w:cs="Arial"/>
                <w:color w:val="000000" w:themeColor="text1" w:themeTint="FF" w:themeShade="FF"/>
              </w:rPr>
              <w:t>. Journal of Pure and Applied Microbiology. 13(2). pp.697-713.</w:t>
            </w:r>
          </w:p>
          <w:p w:rsidR="251F4333" w:rsidP="251F4333" w:rsidRDefault="251F4333" w14:paraId="24A41B8E" w14:textId="19274D1B">
            <w:pPr>
              <w:pStyle w:val="NormalWeb"/>
              <w:spacing w:line="360" w:lineRule="auto"/>
              <w:jc w:val="both"/>
              <w:rPr>
                <w:rFonts w:ascii="Arial" w:hAnsi="Arial" w:cs="Arial"/>
                <w:color w:val="000000" w:themeColor="text1" w:themeTint="FF" w:themeShade="FF"/>
              </w:rPr>
            </w:pPr>
          </w:p>
          <w:p w:rsidRPr="002A7407" w:rsidR="00917DB4" w:rsidP="00917DB4" w:rsidRDefault="00917DB4" w14:paraId="15F5DCC6" w14:textId="77777777">
            <w:pPr>
              <w:pStyle w:val="NormalWeb"/>
              <w:spacing w:line="360" w:lineRule="auto"/>
              <w:jc w:val="both"/>
              <w:rPr>
                <w:rFonts w:ascii="Arial" w:hAnsi="Arial" w:cs="Arial"/>
                <w:color w:val="000000"/>
              </w:rPr>
            </w:pPr>
            <w:proofErr w:type="spellStart"/>
            <w:r w:rsidRPr="251F4333" w:rsidR="010D116D">
              <w:rPr>
                <w:rFonts w:ascii="Arial" w:hAnsi="Arial" w:cs="Arial"/>
                <w:color w:val="000000" w:themeColor="text1" w:themeTint="FF" w:themeShade="FF"/>
              </w:rPr>
              <w:t>Osaili</w:t>
            </w:r>
            <w:proofErr w:type="spellEnd"/>
            <w:r w:rsidRPr="251F4333" w:rsidR="010D116D">
              <w:rPr>
                <w:rFonts w:ascii="Arial" w:hAnsi="Arial" w:cs="Arial"/>
                <w:color w:val="000000" w:themeColor="text1" w:themeTint="FF" w:themeShade="FF"/>
              </w:rPr>
              <w:t xml:space="preserve">, T.M., Al-Nabulsi, A.A. and </w:t>
            </w:r>
            <w:proofErr w:type="spellStart"/>
            <w:r w:rsidRPr="251F4333" w:rsidR="010D116D">
              <w:rPr>
                <w:rFonts w:ascii="Arial" w:hAnsi="Arial" w:cs="Arial"/>
                <w:color w:val="000000" w:themeColor="text1" w:themeTint="FF" w:themeShade="FF"/>
              </w:rPr>
              <w:t>Krasneh</w:t>
            </w:r>
            <w:proofErr w:type="spellEnd"/>
            <w:r w:rsidRPr="251F4333" w:rsidR="010D116D">
              <w:rPr>
                <w:rFonts w:ascii="Arial" w:hAnsi="Arial" w:cs="Arial"/>
                <w:color w:val="000000" w:themeColor="text1" w:themeTint="FF" w:themeShade="FF"/>
              </w:rPr>
              <w:t>, H.D.A., 2018. Food safety knowledge among foodservice staff at the universities in Jordan. Food control. 89. pp.167-176.</w:t>
            </w:r>
          </w:p>
          <w:p w:rsidR="251F4333" w:rsidP="251F4333" w:rsidRDefault="251F4333" w14:paraId="604CB346" w14:textId="6A0ECB3A">
            <w:pPr>
              <w:pStyle w:val="NormalWeb"/>
              <w:spacing w:line="360" w:lineRule="auto"/>
              <w:jc w:val="both"/>
              <w:rPr>
                <w:rFonts w:ascii="Arial" w:hAnsi="Arial" w:cs="Arial"/>
                <w:color w:val="000000" w:themeColor="text1" w:themeTint="FF" w:themeShade="FF"/>
              </w:rPr>
            </w:pPr>
          </w:p>
          <w:p w:rsidR="00375882" w:rsidP="00917DB4" w:rsidRDefault="00917DB4" w14:paraId="48666001" w14:textId="77777777">
            <w:pPr>
              <w:pStyle w:val="NormalWeb"/>
              <w:spacing w:line="360" w:lineRule="auto"/>
              <w:jc w:val="both"/>
              <w:rPr>
                <w:rFonts w:ascii="Arial" w:hAnsi="Arial" w:cs="Arial"/>
                <w:color w:val="000000"/>
              </w:rPr>
            </w:pPr>
            <w:proofErr w:type="spellStart"/>
            <w:r w:rsidRPr="002A7407">
              <w:rPr>
                <w:rFonts w:ascii="Arial" w:hAnsi="Arial" w:cs="Arial"/>
                <w:color w:val="000000"/>
              </w:rPr>
              <w:t>Socas</w:t>
            </w:r>
            <w:proofErr w:type="spellEnd"/>
            <w:r w:rsidRPr="002A7407">
              <w:rPr>
                <w:rFonts w:ascii="Arial" w:hAnsi="Arial" w:cs="Arial"/>
                <w:color w:val="000000"/>
              </w:rPr>
              <w:t xml:space="preserve">-Rodríguez, B. and et.al., 2017. Recent applications of nanomaterials in food safety. </w:t>
            </w:r>
            <w:proofErr w:type="spellStart"/>
            <w:r w:rsidRPr="002A7407">
              <w:rPr>
                <w:rFonts w:ascii="Arial" w:hAnsi="Arial" w:cs="Arial"/>
                <w:color w:val="000000"/>
              </w:rPr>
              <w:t>TrAC</w:t>
            </w:r>
            <w:proofErr w:type="spellEnd"/>
            <w:r w:rsidRPr="002A7407">
              <w:rPr>
                <w:rFonts w:ascii="Arial" w:hAnsi="Arial" w:cs="Arial"/>
                <w:color w:val="000000"/>
              </w:rPr>
              <w:t xml:space="preserve"> Trends in Analytical Chemistry. 96. pp.172-200.</w:t>
            </w:r>
          </w:p>
          <w:p w:rsidRPr="00917DB4" w:rsidR="00917DB4" w:rsidP="00917DB4" w:rsidRDefault="00917DB4" w14:paraId="47FB6995" w14:textId="260FD4E0">
            <w:pPr>
              <w:pStyle w:val="NormalWeb"/>
              <w:spacing w:line="360" w:lineRule="auto"/>
              <w:jc w:val="both"/>
              <w:rPr>
                <w:rFonts w:ascii="Arial" w:hAnsi="Arial" w:cs="Arial"/>
                <w:color w:val="000000"/>
              </w:rPr>
            </w:pPr>
          </w:p>
        </w:tc>
      </w:tr>
    </w:tbl>
    <w:p w:rsidR="00B00678" w:rsidP="00B945EA" w:rsidRDefault="00B00678" w14:paraId="3A480543" w14:textId="77777777">
      <w:pPr>
        <w:rPr>
          <w:rFonts w:ascii="Tahoma" w:hAnsi="Tahoma" w:cs="Tahoma"/>
          <w:b/>
        </w:rPr>
      </w:pPr>
    </w:p>
    <w:p w:rsidR="00B00678" w:rsidP="00B945EA" w:rsidRDefault="00B00678" w14:paraId="02BE48C6" w14:textId="77777777">
      <w:pPr>
        <w:rPr>
          <w:rFonts w:ascii="Tahoma" w:hAnsi="Tahoma" w:cs="Tahoma"/>
          <w:b/>
        </w:rPr>
      </w:pPr>
    </w:p>
    <w:p w:rsidR="00B00678" w:rsidP="00B945EA" w:rsidRDefault="00B00678" w14:paraId="1D4EFC49" w14:textId="77777777">
      <w:pPr>
        <w:rPr>
          <w:rFonts w:ascii="Tahoma" w:hAnsi="Tahoma" w:cs="Tahoma"/>
          <w:b/>
        </w:rPr>
      </w:pPr>
    </w:p>
    <w:p w:rsidR="00B00678" w:rsidP="00B945EA" w:rsidRDefault="00B00678" w14:paraId="505DC984" w14:textId="77777777">
      <w:pPr>
        <w:rPr>
          <w:rFonts w:ascii="Tahoma" w:hAnsi="Tahoma" w:cs="Tahoma"/>
          <w:b/>
        </w:rPr>
      </w:pPr>
    </w:p>
    <w:p w:rsidR="00B00678" w:rsidP="00B945EA" w:rsidRDefault="00B00678" w14:paraId="1F96E185" w14:textId="77777777">
      <w:pPr>
        <w:rPr>
          <w:rFonts w:ascii="Tahoma" w:hAnsi="Tahoma" w:cs="Tahoma"/>
          <w:b/>
        </w:rPr>
      </w:pPr>
    </w:p>
    <w:p w:rsidR="00B00678" w:rsidP="00B945EA" w:rsidRDefault="00B00678" w14:paraId="5F8D9742" w14:textId="77777777">
      <w:pPr>
        <w:rPr>
          <w:rFonts w:ascii="Tahoma" w:hAnsi="Tahoma" w:cs="Tahoma"/>
          <w:b/>
        </w:rPr>
      </w:pPr>
    </w:p>
    <w:p w:rsidR="00A45D42" w:rsidP="00B945EA" w:rsidRDefault="00A45D42" w14:paraId="25B9E4A6" w14:textId="77777777">
      <w:pPr>
        <w:rPr>
          <w:rFonts w:ascii="Tahoma" w:hAnsi="Tahoma" w:cs="Tahoma"/>
          <w:b/>
        </w:rPr>
      </w:pPr>
    </w:p>
    <w:sectPr w:rsidR="00A45D42" w:rsidSect="00C21568">
      <w:headerReference w:type="default" r:id="rId7"/>
      <w:footerReference w:type="default" r:id="rId8"/>
      <w:pgSz w:w="11906" w:h="16838" w:orient="portrait"/>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77A4E" w:rsidRDefault="00277A4E" w14:paraId="476EA019" w14:textId="77777777">
      <w:r>
        <w:separator/>
      </w:r>
    </w:p>
  </w:endnote>
  <w:endnote w:type="continuationSeparator" w:id="0">
    <w:p w:rsidR="00277A4E" w:rsidRDefault="00277A4E" w14:paraId="08168F2B"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rsidR="00B44B68" w:rsidRDefault="00B44B68" w14:paraId="68738646" w14:textId="623ADE8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rsidR="00112CE0" w:rsidRDefault="00112CE0" w14:paraId="32F3178D" w14:textId="0C9E4A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77A4E" w:rsidRDefault="00277A4E" w14:paraId="4BBB2687" w14:textId="77777777">
      <w:r>
        <w:separator/>
      </w:r>
    </w:p>
  </w:footnote>
  <w:footnote w:type="continuationSeparator" w:id="0">
    <w:p w:rsidR="00277A4E" w:rsidRDefault="00277A4E" w14:paraId="5A8005E4"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1B69C8" w:rsidR="00F34E01" w:rsidP="00112CE0" w:rsidRDefault="00B21F2E" w14:paraId="4BCC4992" w14:textId="5F66779D">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Pr="001B69C8" w:rsid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hint="default" w:ascii="Symbol" w:hAnsi="Symbol"/>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hint="default" w:ascii="Symbol" w:hAnsi="Symbol"/>
      </w:rPr>
    </w:lvl>
    <w:lvl w:ilvl="1" w:tplc="0C090003" w:tentative="1">
      <w:start w:val="1"/>
      <w:numFmt w:val="bullet"/>
      <w:lvlText w:val="o"/>
      <w:lvlJc w:val="left"/>
      <w:pPr>
        <w:ind w:left="1440" w:hanging="360"/>
      </w:pPr>
      <w:rPr>
        <w:rFonts w:hint="default" w:ascii="Courier New" w:hAnsi="Courier New" w:cs="Courier New"/>
      </w:rPr>
    </w:lvl>
    <w:lvl w:ilvl="2" w:tplc="0C090005" w:tentative="1">
      <w:start w:val="1"/>
      <w:numFmt w:val="bullet"/>
      <w:lvlText w:val=""/>
      <w:lvlJc w:val="left"/>
      <w:pPr>
        <w:ind w:left="2160" w:hanging="360"/>
      </w:pPr>
      <w:rPr>
        <w:rFonts w:hint="default" w:ascii="Wingdings" w:hAnsi="Wingdings"/>
      </w:rPr>
    </w:lvl>
    <w:lvl w:ilvl="3" w:tplc="0C090001" w:tentative="1">
      <w:start w:val="1"/>
      <w:numFmt w:val="bullet"/>
      <w:lvlText w:val=""/>
      <w:lvlJc w:val="left"/>
      <w:pPr>
        <w:ind w:left="2880" w:hanging="360"/>
      </w:pPr>
      <w:rPr>
        <w:rFonts w:hint="default" w:ascii="Symbol" w:hAnsi="Symbol"/>
      </w:rPr>
    </w:lvl>
    <w:lvl w:ilvl="4" w:tplc="0C090003" w:tentative="1">
      <w:start w:val="1"/>
      <w:numFmt w:val="bullet"/>
      <w:lvlText w:val="o"/>
      <w:lvlJc w:val="left"/>
      <w:pPr>
        <w:ind w:left="3600" w:hanging="360"/>
      </w:pPr>
      <w:rPr>
        <w:rFonts w:hint="default" w:ascii="Courier New" w:hAnsi="Courier New" w:cs="Courier New"/>
      </w:rPr>
    </w:lvl>
    <w:lvl w:ilvl="5" w:tplc="0C090005" w:tentative="1">
      <w:start w:val="1"/>
      <w:numFmt w:val="bullet"/>
      <w:lvlText w:val=""/>
      <w:lvlJc w:val="left"/>
      <w:pPr>
        <w:ind w:left="4320" w:hanging="360"/>
      </w:pPr>
      <w:rPr>
        <w:rFonts w:hint="default" w:ascii="Wingdings" w:hAnsi="Wingdings"/>
      </w:rPr>
    </w:lvl>
    <w:lvl w:ilvl="6" w:tplc="0C090001" w:tentative="1">
      <w:start w:val="1"/>
      <w:numFmt w:val="bullet"/>
      <w:lvlText w:val=""/>
      <w:lvlJc w:val="left"/>
      <w:pPr>
        <w:ind w:left="5040" w:hanging="360"/>
      </w:pPr>
      <w:rPr>
        <w:rFonts w:hint="default" w:ascii="Symbol" w:hAnsi="Symbol"/>
      </w:rPr>
    </w:lvl>
    <w:lvl w:ilvl="7" w:tplc="0C090003" w:tentative="1">
      <w:start w:val="1"/>
      <w:numFmt w:val="bullet"/>
      <w:lvlText w:val="o"/>
      <w:lvlJc w:val="left"/>
      <w:pPr>
        <w:ind w:left="5760" w:hanging="360"/>
      </w:pPr>
      <w:rPr>
        <w:rFonts w:hint="default" w:ascii="Courier New" w:hAnsi="Courier New" w:cs="Courier New"/>
      </w:rPr>
    </w:lvl>
    <w:lvl w:ilvl="8" w:tplc="0C090005" w:tentative="1">
      <w:start w:val="1"/>
      <w:numFmt w:val="bullet"/>
      <w:lvlText w:val=""/>
      <w:lvlJc w:val="left"/>
      <w:pPr>
        <w:ind w:left="6480" w:hanging="360"/>
      </w:pPr>
      <w:rPr>
        <w:rFonts w:hint="default" w:ascii="Wingdings" w:hAnsi="Wingdings"/>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F2E7C"/>
    <w:rsid w:val="00112CE0"/>
    <w:rsid w:val="00162FE2"/>
    <w:rsid w:val="001703BD"/>
    <w:rsid w:val="00170A87"/>
    <w:rsid w:val="0018449A"/>
    <w:rsid w:val="001A59E7"/>
    <w:rsid w:val="001B69C8"/>
    <w:rsid w:val="001B6DB4"/>
    <w:rsid w:val="001C5C4E"/>
    <w:rsid w:val="001D4719"/>
    <w:rsid w:val="001E720E"/>
    <w:rsid w:val="00202878"/>
    <w:rsid w:val="002314D4"/>
    <w:rsid w:val="002430D4"/>
    <w:rsid w:val="00244B89"/>
    <w:rsid w:val="00244F84"/>
    <w:rsid w:val="002659F5"/>
    <w:rsid w:val="00277A4E"/>
    <w:rsid w:val="00283BE2"/>
    <w:rsid w:val="00294842"/>
    <w:rsid w:val="002D483B"/>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11C43"/>
    <w:rsid w:val="009139BF"/>
    <w:rsid w:val="00917DB4"/>
    <w:rsid w:val="00923E76"/>
    <w:rsid w:val="009448FE"/>
    <w:rsid w:val="00946B23"/>
    <w:rsid w:val="00985CF1"/>
    <w:rsid w:val="009B1D87"/>
    <w:rsid w:val="009C438C"/>
    <w:rsid w:val="009C6CAE"/>
    <w:rsid w:val="009D0DDA"/>
    <w:rsid w:val="00A02728"/>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44B68"/>
    <w:rsid w:val="00B60FDF"/>
    <w:rsid w:val="00B61256"/>
    <w:rsid w:val="00B73A1C"/>
    <w:rsid w:val="00B945EA"/>
    <w:rsid w:val="00B949BC"/>
    <w:rsid w:val="00BA53CD"/>
    <w:rsid w:val="00BB5FB3"/>
    <w:rsid w:val="00BC4D17"/>
    <w:rsid w:val="00BC7F1B"/>
    <w:rsid w:val="00BE2584"/>
    <w:rsid w:val="00C10069"/>
    <w:rsid w:val="00C21568"/>
    <w:rsid w:val="00C414B0"/>
    <w:rsid w:val="00C421F0"/>
    <w:rsid w:val="00C44B74"/>
    <w:rsid w:val="00C50AE7"/>
    <w:rsid w:val="00C6009E"/>
    <w:rsid w:val="00C72708"/>
    <w:rsid w:val="00C76757"/>
    <w:rsid w:val="00C85B9B"/>
    <w:rsid w:val="00CA1BF5"/>
    <w:rsid w:val="00CB67B6"/>
    <w:rsid w:val="00CC557E"/>
    <w:rsid w:val="00CC63E6"/>
    <w:rsid w:val="00CC6DCB"/>
    <w:rsid w:val="00CD008D"/>
    <w:rsid w:val="00CD461B"/>
    <w:rsid w:val="00D1657F"/>
    <w:rsid w:val="00D6626B"/>
    <w:rsid w:val="00D80D6E"/>
    <w:rsid w:val="00D833FD"/>
    <w:rsid w:val="00D95816"/>
    <w:rsid w:val="00DA09FA"/>
    <w:rsid w:val="00DD00CB"/>
    <w:rsid w:val="00DE6434"/>
    <w:rsid w:val="00E00580"/>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C7773"/>
    <w:rsid w:val="00FD0ECE"/>
    <w:rsid w:val="00FE2B7D"/>
    <w:rsid w:val="00FE2C83"/>
    <w:rsid w:val="00FF2DCB"/>
    <w:rsid w:val="010D116D"/>
    <w:rsid w:val="06EF75AF"/>
    <w:rsid w:val="06F552EC"/>
    <w:rsid w:val="0DEE4569"/>
    <w:rsid w:val="1551C3A8"/>
    <w:rsid w:val="1F15DBB0"/>
    <w:rsid w:val="214BD62A"/>
    <w:rsid w:val="21F08C16"/>
    <w:rsid w:val="251F4333"/>
    <w:rsid w:val="334B2CEA"/>
    <w:rsid w:val="4672D701"/>
    <w:rsid w:val="48CB28D4"/>
    <w:rsid w:val="59C889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3478CE"/>
    <w:rPr>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styleId="FooterChar" w:customStyle="1">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image" Target="/media/image.png" Id="R6edbb7363d7e4d2c" /><Relationship Type="http://schemas.openxmlformats.org/officeDocument/2006/relationships/glossaryDocument" Target="/word/glossary/document.xml" Id="Rd7ac95f31c184485" /></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618de4b-a7fe-406e-b2a3-f91d6b8091c7}"/>
      </w:docPartPr>
      <w:docPartBody>
        <w:p w14:paraId="73DD522F">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Marriott International</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West Cluster Probationary Period Development Plan</dc:title>
  <dc:creator>lrbal454</dc:creator>
  <lastModifiedBy>Abul Kashem (2019843)</lastModifiedBy>
  <revision>6</revision>
  <lastPrinted>2020-09-28T20:53:00.0000000Z</lastPrinted>
  <dcterms:created xsi:type="dcterms:W3CDTF">2021-10-18T18:08:00.0000000Z</dcterms:created>
  <dcterms:modified xsi:type="dcterms:W3CDTF">2021-10-19T16:13:33.0468874Z</dcterms:modified>
</coreProperties>
</file>