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B6755" w14:textId="77777777" w:rsidR="00995241" w:rsidRPr="00674B17" w:rsidRDefault="00995241" w:rsidP="00995241">
      <w:pPr>
        <w:spacing w:after="220"/>
        <w:ind w:right="1438"/>
        <w:jc w:val="right"/>
        <w:rPr>
          <w:rFonts w:ascii="Arial" w:hAnsi="Arial" w:cs="Arial"/>
          <w:sz w:val="24"/>
          <w:szCs w:val="24"/>
        </w:rPr>
      </w:pPr>
      <w:r w:rsidRPr="00674B17">
        <w:rPr>
          <w:rFonts w:ascii="Arial" w:hAnsi="Arial" w:cs="Arial"/>
          <w:noProof/>
          <w:sz w:val="24"/>
          <w:szCs w:val="24"/>
        </w:rPr>
        <w:drawing>
          <wp:inline distT="0" distB="0" distL="0" distR="0" wp14:anchorId="35232D71" wp14:editId="21931F6B">
            <wp:extent cx="596646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6"/>
                    <a:stretch>
                      <a:fillRect/>
                    </a:stretch>
                  </pic:blipFill>
                  <pic:spPr>
                    <a:xfrm>
                      <a:off x="0" y="0"/>
                      <a:ext cx="6000221" cy="1762517"/>
                    </a:xfrm>
                    <a:prstGeom prst="rect">
                      <a:avLst/>
                    </a:prstGeom>
                  </pic:spPr>
                </pic:pic>
              </a:graphicData>
            </a:graphic>
          </wp:inline>
        </w:drawing>
      </w:r>
      <w:r w:rsidRPr="00674B17">
        <w:rPr>
          <w:rFonts w:ascii="Arial" w:eastAsia="Times New Roman" w:hAnsi="Arial" w:cs="Arial"/>
          <w:b/>
          <w:sz w:val="24"/>
          <w:szCs w:val="24"/>
        </w:rPr>
        <w:t xml:space="preserve"> </w:t>
      </w:r>
    </w:p>
    <w:p w14:paraId="3F57DF54" w14:textId="77777777" w:rsidR="00995241" w:rsidRPr="00674B17" w:rsidRDefault="00995241" w:rsidP="00995241">
      <w:pPr>
        <w:spacing w:after="273"/>
        <w:ind w:right="5"/>
        <w:jc w:val="center"/>
        <w:rPr>
          <w:rFonts w:ascii="Arial" w:hAnsi="Arial" w:cs="Arial"/>
          <w:sz w:val="24"/>
          <w:szCs w:val="24"/>
        </w:rPr>
      </w:pPr>
      <w:r w:rsidRPr="00674B17">
        <w:rPr>
          <w:rFonts w:ascii="Arial" w:eastAsia="Times New Roman" w:hAnsi="Arial" w:cs="Arial"/>
          <w:b/>
          <w:sz w:val="24"/>
          <w:szCs w:val="24"/>
        </w:rPr>
        <w:t xml:space="preserve"> </w:t>
      </w:r>
    </w:p>
    <w:p w14:paraId="291F5CE1" w14:textId="77777777" w:rsidR="00995241" w:rsidRPr="00674B17" w:rsidRDefault="00995241" w:rsidP="00995241">
      <w:pPr>
        <w:spacing w:after="274"/>
        <w:rPr>
          <w:rFonts w:ascii="Arial" w:hAnsi="Arial" w:cs="Arial"/>
          <w:sz w:val="24"/>
          <w:szCs w:val="24"/>
        </w:rPr>
      </w:pPr>
      <w:r w:rsidRPr="00674B17">
        <w:rPr>
          <w:rFonts w:ascii="Arial" w:eastAsia="Times New Roman" w:hAnsi="Arial" w:cs="Arial"/>
          <w:b/>
          <w:sz w:val="24"/>
          <w:szCs w:val="24"/>
        </w:rPr>
        <w:t xml:space="preserve"> </w:t>
      </w:r>
    </w:p>
    <w:p w14:paraId="333AE288" w14:textId="77777777" w:rsidR="00995241" w:rsidRPr="00674B17" w:rsidRDefault="00995241" w:rsidP="00995241">
      <w:pPr>
        <w:spacing w:after="276"/>
        <w:jc w:val="center"/>
        <w:rPr>
          <w:rFonts w:ascii="Arial" w:hAnsi="Arial" w:cs="Arial"/>
          <w:sz w:val="24"/>
          <w:szCs w:val="24"/>
        </w:rPr>
      </w:pPr>
    </w:p>
    <w:p w14:paraId="7511371F" w14:textId="77777777" w:rsidR="00995241" w:rsidRPr="00674B17" w:rsidRDefault="00995241" w:rsidP="00995241">
      <w:pPr>
        <w:spacing w:after="274"/>
        <w:rPr>
          <w:rFonts w:ascii="Arial" w:hAnsi="Arial" w:cs="Arial"/>
          <w:sz w:val="24"/>
          <w:szCs w:val="24"/>
        </w:rPr>
      </w:pPr>
      <w:proofErr w:type="spellStart"/>
      <w:r w:rsidRPr="00674B17">
        <w:rPr>
          <w:rFonts w:ascii="Arial" w:eastAsia="Times New Roman" w:hAnsi="Arial" w:cs="Arial"/>
          <w:b/>
          <w:sz w:val="24"/>
          <w:szCs w:val="24"/>
        </w:rPr>
        <w:t>Programme</w:t>
      </w:r>
      <w:proofErr w:type="spellEnd"/>
      <w:r w:rsidRPr="00674B17">
        <w:rPr>
          <w:rFonts w:ascii="Arial" w:eastAsia="Times New Roman" w:hAnsi="Arial" w:cs="Arial"/>
          <w:b/>
          <w:sz w:val="24"/>
          <w:szCs w:val="24"/>
        </w:rPr>
        <w:t>: Master of Business Administration</w:t>
      </w:r>
    </w:p>
    <w:p w14:paraId="307C978D" w14:textId="77777777" w:rsidR="00995241" w:rsidRPr="00674B17" w:rsidRDefault="00995241" w:rsidP="00995241">
      <w:pPr>
        <w:spacing w:after="274"/>
        <w:rPr>
          <w:rFonts w:ascii="Arial" w:hAnsi="Arial" w:cs="Arial"/>
          <w:sz w:val="24"/>
          <w:szCs w:val="24"/>
        </w:rPr>
      </w:pPr>
      <w:r w:rsidRPr="00674B17">
        <w:rPr>
          <w:rFonts w:ascii="Arial" w:eastAsia="Times New Roman" w:hAnsi="Arial" w:cs="Arial"/>
          <w:b/>
          <w:sz w:val="24"/>
          <w:szCs w:val="24"/>
        </w:rPr>
        <w:t>Module: Human Capital Management</w:t>
      </w:r>
    </w:p>
    <w:p w14:paraId="36CEB64B" w14:textId="77777777" w:rsidR="00995241" w:rsidRPr="00674B17" w:rsidRDefault="00995241" w:rsidP="00995241">
      <w:pPr>
        <w:spacing w:after="274"/>
        <w:ind w:right="66"/>
        <w:rPr>
          <w:rFonts w:ascii="Arial" w:hAnsi="Arial" w:cs="Arial"/>
          <w:sz w:val="24"/>
          <w:szCs w:val="24"/>
        </w:rPr>
      </w:pPr>
      <w:r w:rsidRPr="00674B17">
        <w:rPr>
          <w:rFonts w:ascii="Arial" w:eastAsia="Times New Roman" w:hAnsi="Arial" w:cs="Arial"/>
          <w:b/>
          <w:sz w:val="24"/>
          <w:szCs w:val="24"/>
        </w:rPr>
        <w:t xml:space="preserve">Module code: </w:t>
      </w:r>
      <w:r w:rsidRPr="00674B17">
        <w:rPr>
          <w:rFonts w:ascii="Arial" w:hAnsi="Arial" w:cs="Arial"/>
          <w:b/>
          <w:sz w:val="24"/>
          <w:szCs w:val="24"/>
        </w:rPr>
        <w:t>LCMB7023</w:t>
      </w:r>
    </w:p>
    <w:p w14:paraId="33342C52" w14:textId="77777777" w:rsidR="00995241" w:rsidRDefault="00995241" w:rsidP="00995241">
      <w:pPr>
        <w:spacing w:after="274"/>
        <w:ind w:right="65"/>
        <w:rPr>
          <w:rFonts w:ascii="Arial" w:eastAsia="Times New Roman" w:hAnsi="Arial" w:cs="Arial"/>
          <w:b/>
          <w:sz w:val="24"/>
          <w:szCs w:val="24"/>
        </w:rPr>
      </w:pPr>
      <w:r w:rsidRPr="00674B17">
        <w:rPr>
          <w:rFonts w:ascii="Arial" w:eastAsia="Times New Roman" w:hAnsi="Arial" w:cs="Arial"/>
          <w:b/>
          <w:sz w:val="24"/>
          <w:szCs w:val="24"/>
        </w:rPr>
        <w:t>Title</w:t>
      </w:r>
      <w:r>
        <w:rPr>
          <w:rFonts w:ascii="Arial" w:eastAsia="Times New Roman" w:hAnsi="Arial" w:cs="Arial"/>
          <w:b/>
          <w:sz w:val="24"/>
          <w:szCs w:val="24"/>
        </w:rPr>
        <w:t xml:space="preserve">: </w:t>
      </w:r>
      <w:r w:rsidRPr="004132D0">
        <w:rPr>
          <w:rFonts w:ascii="Arial" w:eastAsia="Times New Roman" w:hAnsi="Arial" w:cs="Arial"/>
          <w:b/>
          <w:sz w:val="24"/>
          <w:szCs w:val="24"/>
        </w:rPr>
        <w:t>Assessment Component 1: Individual Report</w:t>
      </w:r>
    </w:p>
    <w:p w14:paraId="73950DCB" w14:textId="77777777" w:rsidR="00995241" w:rsidRPr="00674B17" w:rsidRDefault="00995241" w:rsidP="00995241">
      <w:pPr>
        <w:spacing w:after="274"/>
        <w:ind w:right="65"/>
        <w:rPr>
          <w:rFonts w:ascii="Arial" w:hAnsi="Arial" w:cs="Arial"/>
          <w:sz w:val="24"/>
          <w:szCs w:val="24"/>
        </w:rPr>
      </w:pPr>
      <w:r w:rsidRPr="00674B17">
        <w:rPr>
          <w:rFonts w:ascii="Arial" w:eastAsia="Times New Roman" w:hAnsi="Arial" w:cs="Arial"/>
          <w:b/>
          <w:sz w:val="24"/>
          <w:szCs w:val="24"/>
        </w:rPr>
        <w:t xml:space="preserve">Word count: </w:t>
      </w:r>
      <w:r>
        <w:rPr>
          <w:rFonts w:ascii="Arial" w:eastAsia="Times New Roman" w:hAnsi="Arial" w:cs="Arial"/>
          <w:b/>
          <w:sz w:val="24"/>
          <w:szCs w:val="24"/>
        </w:rPr>
        <w:t>2818</w:t>
      </w:r>
    </w:p>
    <w:p w14:paraId="383F13F1" w14:textId="77777777" w:rsidR="00995241" w:rsidRPr="00674B17" w:rsidRDefault="00995241" w:rsidP="00995241">
      <w:pPr>
        <w:spacing w:after="165" w:line="352" w:lineRule="auto"/>
        <w:ind w:right="2836"/>
        <w:rPr>
          <w:rFonts w:ascii="Arial" w:eastAsia="Arial" w:hAnsi="Arial" w:cs="Arial"/>
          <w:b/>
          <w:sz w:val="24"/>
          <w:szCs w:val="24"/>
        </w:rPr>
      </w:pPr>
      <w:r w:rsidRPr="00674B17">
        <w:rPr>
          <w:rFonts w:ascii="Arial" w:eastAsia="Arial" w:hAnsi="Arial" w:cs="Arial"/>
          <w:b/>
          <w:sz w:val="24"/>
          <w:szCs w:val="24"/>
        </w:rPr>
        <w:t xml:space="preserve">Lecturer: </w:t>
      </w:r>
      <w:r w:rsidRPr="00674B17">
        <w:rPr>
          <w:rFonts w:ascii="Arial" w:hAnsi="Arial" w:cs="Arial"/>
          <w:b/>
          <w:sz w:val="24"/>
          <w:szCs w:val="24"/>
        </w:rPr>
        <w:t xml:space="preserve">Ejike </w:t>
      </w:r>
      <w:proofErr w:type="spellStart"/>
      <w:r w:rsidRPr="00674B17">
        <w:rPr>
          <w:rFonts w:ascii="Arial" w:hAnsi="Arial" w:cs="Arial"/>
          <w:b/>
          <w:sz w:val="24"/>
          <w:szCs w:val="24"/>
        </w:rPr>
        <w:t>Udeogu</w:t>
      </w:r>
      <w:proofErr w:type="spellEnd"/>
      <w:r w:rsidRPr="00674B17">
        <w:rPr>
          <w:rFonts w:ascii="Arial" w:hAnsi="Arial" w:cs="Arial"/>
          <w:b/>
          <w:sz w:val="24"/>
          <w:szCs w:val="24"/>
        </w:rPr>
        <w:t xml:space="preserve"> (Birmingham)</w:t>
      </w:r>
    </w:p>
    <w:p w14:paraId="66ECCD4E" w14:textId="77777777" w:rsidR="00995241" w:rsidRPr="00674B17" w:rsidRDefault="00995241" w:rsidP="00995241">
      <w:pPr>
        <w:spacing w:after="165" w:line="352" w:lineRule="auto"/>
        <w:ind w:right="2836"/>
        <w:rPr>
          <w:rFonts w:ascii="Arial" w:hAnsi="Arial" w:cs="Arial"/>
          <w:sz w:val="24"/>
          <w:szCs w:val="24"/>
        </w:rPr>
      </w:pPr>
      <w:r w:rsidRPr="00674B17">
        <w:rPr>
          <w:rFonts w:ascii="Arial" w:eastAsia="Times New Roman" w:hAnsi="Arial" w:cs="Arial"/>
          <w:b/>
          <w:sz w:val="24"/>
          <w:szCs w:val="24"/>
        </w:rPr>
        <w:t>Student Name:</w:t>
      </w:r>
      <w:r>
        <w:rPr>
          <w:rFonts w:ascii="Arial" w:eastAsia="Times New Roman" w:hAnsi="Arial" w:cs="Arial"/>
          <w:b/>
          <w:sz w:val="24"/>
          <w:szCs w:val="24"/>
        </w:rPr>
        <w:t xml:space="preserve"> Tarikul Islam Tarek</w:t>
      </w:r>
    </w:p>
    <w:p w14:paraId="258D117D" w14:textId="77777777" w:rsidR="00995241" w:rsidRPr="00674B17" w:rsidRDefault="00995241" w:rsidP="00995241">
      <w:pPr>
        <w:spacing w:after="274"/>
        <w:ind w:right="62"/>
        <w:rPr>
          <w:rFonts w:ascii="Arial" w:hAnsi="Arial" w:cs="Arial"/>
          <w:sz w:val="24"/>
          <w:szCs w:val="24"/>
        </w:rPr>
      </w:pPr>
      <w:r w:rsidRPr="00674B17">
        <w:rPr>
          <w:rFonts w:ascii="Arial" w:eastAsia="Times New Roman" w:hAnsi="Arial" w:cs="Arial"/>
          <w:b/>
          <w:sz w:val="24"/>
          <w:szCs w:val="24"/>
        </w:rPr>
        <w:t>Student ID:</w:t>
      </w:r>
      <w:r>
        <w:rPr>
          <w:rFonts w:ascii="Arial" w:eastAsia="Times New Roman" w:hAnsi="Arial" w:cs="Arial"/>
          <w:b/>
          <w:sz w:val="24"/>
          <w:szCs w:val="24"/>
        </w:rPr>
        <w:t xml:space="preserve"> 2435183</w:t>
      </w:r>
    </w:p>
    <w:p w14:paraId="2FE4AE52" w14:textId="77777777" w:rsidR="00995241" w:rsidRPr="00674B17" w:rsidRDefault="00995241" w:rsidP="00995241">
      <w:pPr>
        <w:rPr>
          <w:rFonts w:ascii="Arial" w:hAnsi="Arial" w:cs="Arial"/>
          <w:sz w:val="24"/>
          <w:szCs w:val="24"/>
        </w:rPr>
      </w:pPr>
      <w:r w:rsidRPr="00674B17">
        <w:rPr>
          <w:rFonts w:ascii="Arial" w:hAnsi="Arial" w:cs="Arial"/>
          <w:sz w:val="24"/>
          <w:szCs w:val="24"/>
        </w:rPr>
        <w:br w:type="page"/>
      </w:r>
    </w:p>
    <w:p w14:paraId="73004552" w14:textId="77777777" w:rsidR="00995241" w:rsidRPr="00B66C4E" w:rsidRDefault="00995241" w:rsidP="00995241">
      <w:pPr>
        <w:ind w:left="1440" w:firstLine="720"/>
        <w:rPr>
          <w:rFonts w:ascii="Arial" w:hAnsi="Arial" w:cs="Arial"/>
          <w:b/>
          <w:bCs/>
          <w:sz w:val="24"/>
          <w:szCs w:val="24"/>
        </w:rPr>
      </w:pPr>
      <w:r>
        <w:rPr>
          <w:rFonts w:ascii="Arial" w:hAnsi="Arial" w:cs="Arial"/>
          <w:b/>
          <w:bCs/>
          <w:sz w:val="24"/>
          <w:szCs w:val="24"/>
        </w:rPr>
        <w:lastRenderedPageBreak/>
        <w:t xml:space="preserve">  </w:t>
      </w:r>
      <w:r w:rsidRPr="00B66C4E">
        <w:rPr>
          <w:rFonts w:ascii="Arial" w:hAnsi="Arial" w:cs="Arial"/>
          <w:b/>
          <w:bCs/>
          <w:sz w:val="24"/>
          <w:szCs w:val="24"/>
        </w:rPr>
        <w:t>Table of Contents</w:t>
      </w:r>
    </w:p>
    <w:tbl>
      <w:tblPr>
        <w:tblW w:w="9020" w:type="dxa"/>
        <w:tblCellMar>
          <w:top w:w="15" w:type="dxa"/>
          <w:left w:w="15" w:type="dxa"/>
          <w:bottom w:w="15" w:type="dxa"/>
          <w:right w:w="15" w:type="dxa"/>
        </w:tblCellMar>
        <w:tblLook w:val="04A0" w:firstRow="1" w:lastRow="0" w:firstColumn="1" w:lastColumn="0" w:noHBand="0" w:noVBand="1"/>
      </w:tblPr>
      <w:tblGrid>
        <w:gridCol w:w="897"/>
        <w:gridCol w:w="6840"/>
        <w:gridCol w:w="1247"/>
        <w:gridCol w:w="36"/>
      </w:tblGrid>
      <w:tr w:rsidR="00995241" w:rsidRPr="00B66C4E" w14:paraId="30411181" w14:textId="77777777" w:rsidTr="00BA74B3">
        <w:trPr>
          <w:trHeight w:val="576"/>
          <w:tblHeader/>
        </w:trPr>
        <w:tc>
          <w:tcPr>
            <w:tcW w:w="0" w:type="auto"/>
            <w:noWrap/>
            <w:vAlign w:val="bottom"/>
            <w:hideMark/>
          </w:tcPr>
          <w:p w14:paraId="6C704A34"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Section</w:t>
            </w:r>
          </w:p>
        </w:tc>
        <w:tc>
          <w:tcPr>
            <w:tcW w:w="6840" w:type="dxa"/>
            <w:noWrap/>
            <w:vAlign w:val="bottom"/>
            <w:hideMark/>
          </w:tcPr>
          <w:p w14:paraId="2ADBB0FE" w14:textId="77777777" w:rsidR="00995241" w:rsidRPr="00B66C4E" w:rsidRDefault="00995241" w:rsidP="00BA74B3">
            <w:pPr>
              <w:rPr>
                <w:rFonts w:ascii="Arial" w:hAnsi="Arial" w:cs="Arial"/>
                <w:b/>
                <w:bCs/>
                <w:sz w:val="24"/>
                <w:szCs w:val="24"/>
              </w:rPr>
            </w:pPr>
            <w:r>
              <w:rPr>
                <w:rFonts w:ascii="Arial" w:hAnsi="Arial" w:cs="Arial"/>
                <w:b/>
                <w:bCs/>
                <w:sz w:val="24"/>
                <w:szCs w:val="24"/>
              </w:rPr>
              <w:t xml:space="preserve">                                     </w:t>
            </w:r>
            <w:r w:rsidRPr="00B66C4E">
              <w:rPr>
                <w:rFonts w:ascii="Arial" w:hAnsi="Arial" w:cs="Arial"/>
                <w:b/>
                <w:bCs/>
                <w:sz w:val="24"/>
                <w:szCs w:val="24"/>
              </w:rPr>
              <w:t>Title</w:t>
            </w:r>
          </w:p>
        </w:tc>
        <w:tc>
          <w:tcPr>
            <w:tcW w:w="1247" w:type="dxa"/>
          </w:tcPr>
          <w:p w14:paraId="4921BCBE" w14:textId="77777777" w:rsidR="00995241" w:rsidRDefault="00995241" w:rsidP="00BA74B3">
            <w:pPr>
              <w:rPr>
                <w:rFonts w:ascii="Arial" w:hAnsi="Arial" w:cs="Arial"/>
                <w:b/>
                <w:bCs/>
                <w:sz w:val="24"/>
                <w:szCs w:val="24"/>
              </w:rPr>
            </w:pPr>
          </w:p>
        </w:tc>
        <w:tc>
          <w:tcPr>
            <w:tcW w:w="0" w:type="auto"/>
          </w:tcPr>
          <w:p w14:paraId="2E528EE7" w14:textId="77777777" w:rsidR="00995241" w:rsidRDefault="00995241" w:rsidP="00BA74B3">
            <w:pPr>
              <w:rPr>
                <w:rFonts w:ascii="Arial" w:hAnsi="Arial" w:cs="Arial"/>
                <w:b/>
                <w:bCs/>
                <w:sz w:val="24"/>
                <w:szCs w:val="24"/>
              </w:rPr>
            </w:pPr>
          </w:p>
        </w:tc>
      </w:tr>
      <w:tr w:rsidR="00995241" w:rsidRPr="00B66C4E" w14:paraId="0F853AEE" w14:textId="77777777" w:rsidTr="00BA74B3">
        <w:trPr>
          <w:trHeight w:val="576"/>
        </w:trPr>
        <w:tc>
          <w:tcPr>
            <w:tcW w:w="0" w:type="auto"/>
            <w:vAlign w:val="bottom"/>
            <w:hideMark/>
          </w:tcPr>
          <w:p w14:paraId="4B4956AF" w14:textId="77777777" w:rsidR="00995241" w:rsidRPr="00B66C4E" w:rsidRDefault="00995241" w:rsidP="00BA74B3">
            <w:pPr>
              <w:rPr>
                <w:rFonts w:ascii="Arial" w:hAnsi="Arial" w:cs="Arial"/>
                <w:b/>
                <w:bCs/>
                <w:sz w:val="24"/>
                <w:szCs w:val="24"/>
              </w:rPr>
            </w:pPr>
          </w:p>
        </w:tc>
        <w:tc>
          <w:tcPr>
            <w:tcW w:w="6840" w:type="dxa"/>
            <w:vAlign w:val="bottom"/>
            <w:hideMark/>
          </w:tcPr>
          <w:p w14:paraId="578F42BA"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Introduction</w:t>
            </w:r>
          </w:p>
        </w:tc>
        <w:tc>
          <w:tcPr>
            <w:tcW w:w="1247" w:type="dxa"/>
          </w:tcPr>
          <w:p w14:paraId="2DFFBA87" w14:textId="77777777" w:rsidR="00995241" w:rsidRPr="00B66C4E" w:rsidRDefault="00995241" w:rsidP="00BA74B3">
            <w:pPr>
              <w:rPr>
                <w:rFonts w:ascii="Arial" w:hAnsi="Arial" w:cs="Arial"/>
                <w:b/>
                <w:bCs/>
                <w:sz w:val="24"/>
                <w:szCs w:val="24"/>
              </w:rPr>
            </w:pPr>
            <w:r>
              <w:rPr>
                <w:rFonts w:ascii="Arial" w:hAnsi="Arial" w:cs="Arial"/>
                <w:b/>
                <w:bCs/>
                <w:sz w:val="24"/>
                <w:szCs w:val="24"/>
              </w:rPr>
              <w:t xml:space="preserve"> 3</w:t>
            </w:r>
          </w:p>
        </w:tc>
        <w:tc>
          <w:tcPr>
            <w:tcW w:w="0" w:type="auto"/>
          </w:tcPr>
          <w:p w14:paraId="46A3A888" w14:textId="77777777" w:rsidR="00995241" w:rsidRPr="00B66C4E" w:rsidRDefault="00995241" w:rsidP="00BA74B3">
            <w:pPr>
              <w:rPr>
                <w:rFonts w:ascii="Arial" w:hAnsi="Arial" w:cs="Arial"/>
                <w:b/>
                <w:bCs/>
                <w:sz w:val="24"/>
                <w:szCs w:val="24"/>
              </w:rPr>
            </w:pPr>
          </w:p>
        </w:tc>
      </w:tr>
      <w:tr w:rsidR="00995241" w:rsidRPr="00B66C4E" w14:paraId="689B5795" w14:textId="77777777" w:rsidTr="00BA74B3">
        <w:trPr>
          <w:trHeight w:val="576"/>
        </w:trPr>
        <w:tc>
          <w:tcPr>
            <w:tcW w:w="0" w:type="auto"/>
            <w:vAlign w:val="bottom"/>
            <w:hideMark/>
          </w:tcPr>
          <w:p w14:paraId="053287EB"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1.</w:t>
            </w:r>
          </w:p>
        </w:tc>
        <w:tc>
          <w:tcPr>
            <w:tcW w:w="6840" w:type="dxa"/>
            <w:vAlign w:val="bottom"/>
            <w:hideMark/>
          </w:tcPr>
          <w:p w14:paraId="7E94F279"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From Employee Satisfaction to Experience Design: The New Frontier of Engagement</w:t>
            </w:r>
          </w:p>
        </w:tc>
        <w:tc>
          <w:tcPr>
            <w:tcW w:w="1247" w:type="dxa"/>
          </w:tcPr>
          <w:p w14:paraId="3326FD53" w14:textId="77777777" w:rsidR="00995241" w:rsidRPr="00B66C4E" w:rsidRDefault="00995241" w:rsidP="00BA74B3">
            <w:pPr>
              <w:rPr>
                <w:rFonts w:ascii="Arial" w:hAnsi="Arial" w:cs="Arial"/>
                <w:b/>
                <w:bCs/>
                <w:sz w:val="24"/>
                <w:szCs w:val="24"/>
              </w:rPr>
            </w:pPr>
            <w:r>
              <w:rPr>
                <w:rFonts w:ascii="Arial" w:hAnsi="Arial" w:cs="Arial"/>
                <w:b/>
                <w:bCs/>
                <w:sz w:val="24"/>
                <w:szCs w:val="24"/>
              </w:rPr>
              <w:t xml:space="preserve"> 3-6</w:t>
            </w:r>
          </w:p>
        </w:tc>
        <w:tc>
          <w:tcPr>
            <w:tcW w:w="0" w:type="auto"/>
          </w:tcPr>
          <w:p w14:paraId="79D12C3F" w14:textId="77777777" w:rsidR="00995241" w:rsidRPr="00B66C4E" w:rsidRDefault="00995241" w:rsidP="00BA74B3">
            <w:pPr>
              <w:rPr>
                <w:rFonts w:ascii="Arial" w:hAnsi="Arial" w:cs="Arial"/>
                <w:b/>
                <w:bCs/>
                <w:sz w:val="24"/>
                <w:szCs w:val="24"/>
              </w:rPr>
            </w:pPr>
          </w:p>
        </w:tc>
      </w:tr>
      <w:tr w:rsidR="00995241" w:rsidRPr="00B66C4E" w14:paraId="2B5CB505" w14:textId="77777777" w:rsidTr="00BA74B3">
        <w:trPr>
          <w:trHeight w:val="576"/>
        </w:trPr>
        <w:tc>
          <w:tcPr>
            <w:tcW w:w="0" w:type="auto"/>
            <w:vAlign w:val="bottom"/>
            <w:hideMark/>
          </w:tcPr>
          <w:p w14:paraId="2A7BE225"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2.</w:t>
            </w:r>
          </w:p>
        </w:tc>
        <w:tc>
          <w:tcPr>
            <w:tcW w:w="6840" w:type="dxa"/>
            <w:vAlign w:val="bottom"/>
            <w:hideMark/>
          </w:tcPr>
          <w:p w14:paraId="6D9F784F"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Agile HR and the Dissolution of Hierarchical Structures</w:t>
            </w:r>
          </w:p>
        </w:tc>
        <w:tc>
          <w:tcPr>
            <w:tcW w:w="1247" w:type="dxa"/>
          </w:tcPr>
          <w:p w14:paraId="19D76ADC" w14:textId="77777777" w:rsidR="00995241" w:rsidRPr="00B66C4E" w:rsidRDefault="00995241" w:rsidP="00BA74B3">
            <w:pPr>
              <w:rPr>
                <w:rFonts w:ascii="Arial" w:hAnsi="Arial" w:cs="Arial"/>
                <w:b/>
                <w:bCs/>
                <w:sz w:val="24"/>
                <w:szCs w:val="24"/>
              </w:rPr>
            </w:pPr>
            <w:r>
              <w:rPr>
                <w:rFonts w:ascii="Arial" w:hAnsi="Arial" w:cs="Arial"/>
                <w:b/>
                <w:bCs/>
                <w:sz w:val="24"/>
                <w:szCs w:val="24"/>
              </w:rPr>
              <w:t xml:space="preserve"> 6-7</w:t>
            </w:r>
          </w:p>
        </w:tc>
        <w:tc>
          <w:tcPr>
            <w:tcW w:w="0" w:type="auto"/>
          </w:tcPr>
          <w:p w14:paraId="782B2CA5" w14:textId="77777777" w:rsidR="00995241" w:rsidRPr="00B66C4E" w:rsidRDefault="00995241" w:rsidP="00BA74B3">
            <w:pPr>
              <w:rPr>
                <w:rFonts w:ascii="Arial" w:hAnsi="Arial" w:cs="Arial"/>
                <w:b/>
                <w:bCs/>
                <w:sz w:val="24"/>
                <w:szCs w:val="24"/>
              </w:rPr>
            </w:pPr>
          </w:p>
        </w:tc>
      </w:tr>
      <w:tr w:rsidR="00995241" w:rsidRPr="00B66C4E" w14:paraId="0C1EB589" w14:textId="77777777" w:rsidTr="00BA74B3">
        <w:trPr>
          <w:trHeight w:val="576"/>
        </w:trPr>
        <w:tc>
          <w:tcPr>
            <w:tcW w:w="0" w:type="auto"/>
            <w:vAlign w:val="bottom"/>
            <w:hideMark/>
          </w:tcPr>
          <w:p w14:paraId="1E995D0E"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3.</w:t>
            </w:r>
          </w:p>
        </w:tc>
        <w:tc>
          <w:tcPr>
            <w:tcW w:w="6840" w:type="dxa"/>
            <w:vAlign w:val="bottom"/>
            <w:hideMark/>
          </w:tcPr>
          <w:p w14:paraId="7C93AC90"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Global Virtual Teams: Redefining Collaboration Across Boundaries</w:t>
            </w:r>
          </w:p>
        </w:tc>
        <w:tc>
          <w:tcPr>
            <w:tcW w:w="1247" w:type="dxa"/>
          </w:tcPr>
          <w:p w14:paraId="484FFF48" w14:textId="77777777" w:rsidR="00995241" w:rsidRPr="00B66C4E" w:rsidRDefault="00995241" w:rsidP="00BA74B3">
            <w:pPr>
              <w:rPr>
                <w:rFonts w:ascii="Arial" w:hAnsi="Arial" w:cs="Arial"/>
                <w:b/>
                <w:bCs/>
                <w:sz w:val="24"/>
                <w:szCs w:val="24"/>
              </w:rPr>
            </w:pPr>
            <w:r>
              <w:rPr>
                <w:rFonts w:ascii="Arial" w:hAnsi="Arial" w:cs="Arial"/>
                <w:b/>
                <w:bCs/>
                <w:sz w:val="24"/>
                <w:szCs w:val="24"/>
              </w:rPr>
              <w:t xml:space="preserve"> 8-9</w:t>
            </w:r>
          </w:p>
        </w:tc>
        <w:tc>
          <w:tcPr>
            <w:tcW w:w="0" w:type="auto"/>
          </w:tcPr>
          <w:p w14:paraId="40014772" w14:textId="77777777" w:rsidR="00995241" w:rsidRPr="00B66C4E" w:rsidRDefault="00995241" w:rsidP="00BA74B3">
            <w:pPr>
              <w:rPr>
                <w:rFonts w:ascii="Arial" w:hAnsi="Arial" w:cs="Arial"/>
                <w:b/>
                <w:bCs/>
                <w:sz w:val="24"/>
                <w:szCs w:val="24"/>
              </w:rPr>
            </w:pPr>
          </w:p>
        </w:tc>
      </w:tr>
      <w:tr w:rsidR="00995241" w:rsidRPr="00B66C4E" w14:paraId="6E99A812" w14:textId="77777777" w:rsidTr="00BA74B3">
        <w:trPr>
          <w:trHeight w:val="576"/>
        </w:trPr>
        <w:tc>
          <w:tcPr>
            <w:tcW w:w="0" w:type="auto"/>
            <w:vAlign w:val="bottom"/>
            <w:hideMark/>
          </w:tcPr>
          <w:p w14:paraId="11270970"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4.</w:t>
            </w:r>
          </w:p>
        </w:tc>
        <w:tc>
          <w:tcPr>
            <w:tcW w:w="6840" w:type="dxa"/>
            <w:vAlign w:val="bottom"/>
            <w:hideMark/>
          </w:tcPr>
          <w:p w14:paraId="21A1B7CD"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Personal Competency Assessment: Navigating the Transformed HR Landscape</w:t>
            </w:r>
          </w:p>
        </w:tc>
        <w:tc>
          <w:tcPr>
            <w:tcW w:w="1247" w:type="dxa"/>
          </w:tcPr>
          <w:p w14:paraId="5414EA18" w14:textId="6014B0CD" w:rsidR="00995241" w:rsidRPr="00B66C4E" w:rsidRDefault="00995241" w:rsidP="00BA74B3">
            <w:pPr>
              <w:rPr>
                <w:rFonts w:ascii="Arial" w:hAnsi="Arial" w:cs="Arial"/>
                <w:b/>
                <w:bCs/>
                <w:sz w:val="24"/>
                <w:szCs w:val="24"/>
              </w:rPr>
            </w:pPr>
            <w:r>
              <w:rPr>
                <w:rFonts w:ascii="Arial" w:hAnsi="Arial" w:cs="Arial"/>
                <w:b/>
                <w:bCs/>
                <w:sz w:val="24"/>
                <w:szCs w:val="24"/>
              </w:rPr>
              <w:t xml:space="preserve"> 9-1</w:t>
            </w:r>
            <w:r w:rsidR="006412B1">
              <w:rPr>
                <w:rFonts w:ascii="Arial" w:hAnsi="Arial" w:cs="Arial"/>
                <w:b/>
                <w:bCs/>
                <w:sz w:val="24"/>
                <w:szCs w:val="24"/>
              </w:rPr>
              <w:t>3</w:t>
            </w:r>
          </w:p>
        </w:tc>
        <w:tc>
          <w:tcPr>
            <w:tcW w:w="0" w:type="auto"/>
          </w:tcPr>
          <w:p w14:paraId="41658485" w14:textId="77777777" w:rsidR="00995241" w:rsidRPr="00B66C4E" w:rsidRDefault="00995241" w:rsidP="00BA74B3">
            <w:pPr>
              <w:rPr>
                <w:rFonts w:ascii="Arial" w:hAnsi="Arial" w:cs="Arial"/>
                <w:b/>
                <w:bCs/>
                <w:sz w:val="24"/>
                <w:szCs w:val="24"/>
              </w:rPr>
            </w:pPr>
          </w:p>
        </w:tc>
      </w:tr>
      <w:tr w:rsidR="00995241" w:rsidRPr="00B66C4E" w14:paraId="6E971B83" w14:textId="77777777" w:rsidTr="00BA74B3">
        <w:trPr>
          <w:trHeight w:val="576"/>
        </w:trPr>
        <w:tc>
          <w:tcPr>
            <w:tcW w:w="0" w:type="auto"/>
            <w:vAlign w:val="bottom"/>
            <w:hideMark/>
          </w:tcPr>
          <w:p w14:paraId="17D1BEDD" w14:textId="77777777" w:rsidR="00995241" w:rsidRPr="00B66C4E" w:rsidRDefault="00995241" w:rsidP="00BA74B3">
            <w:pPr>
              <w:rPr>
                <w:rFonts w:ascii="Arial" w:hAnsi="Arial" w:cs="Arial"/>
                <w:b/>
                <w:bCs/>
                <w:sz w:val="24"/>
                <w:szCs w:val="24"/>
              </w:rPr>
            </w:pPr>
          </w:p>
        </w:tc>
        <w:tc>
          <w:tcPr>
            <w:tcW w:w="6840" w:type="dxa"/>
            <w:vAlign w:val="bottom"/>
            <w:hideMark/>
          </w:tcPr>
          <w:p w14:paraId="6493F5BB"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Conclusion</w:t>
            </w:r>
          </w:p>
        </w:tc>
        <w:tc>
          <w:tcPr>
            <w:tcW w:w="1247" w:type="dxa"/>
          </w:tcPr>
          <w:p w14:paraId="1B46F1C9" w14:textId="431B3128" w:rsidR="00995241" w:rsidRPr="00B66C4E" w:rsidRDefault="00995241" w:rsidP="00BA74B3">
            <w:pPr>
              <w:rPr>
                <w:rFonts w:ascii="Arial" w:hAnsi="Arial" w:cs="Arial"/>
                <w:b/>
                <w:bCs/>
                <w:sz w:val="24"/>
                <w:szCs w:val="24"/>
              </w:rPr>
            </w:pPr>
            <w:r>
              <w:rPr>
                <w:rFonts w:ascii="Arial" w:hAnsi="Arial" w:cs="Arial"/>
                <w:b/>
                <w:bCs/>
                <w:sz w:val="24"/>
                <w:szCs w:val="24"/>
              </w:rPr>
              <w:t xml:space="preserve"> 13</w:t>
            </w:r>
            <w:r w:rsidR="006412B1">
              <w:rPr>
                <w:rFonts w:ascii="Arial" w:hAnsi="Arial" w:cs="Arial"/>
                <w:b/>
                <w:bCs/>
                <w:sz w:val="24"/>
                <w:szCs w:val="24"/>
              </w:rPr>
              <w:t>-14</w:t>
            </w:r>
          </w:p>
        </w:tc>
        <w:tc>
          <w:tcPr>
            <w:tcW w:w="0" w:type="auto"/>
          </w:tcPr>
          <w:p w14:paraId="0BB66040" w14:textId="77777777" w:rsidR="00995241" w:rsidRPr="00B66C4E" w:rsidRDefault="00995241" w:rsidP="00BA74B3">
            <w:pPr>
              <w:rPr>
                <w:rFonts w:ascii="Arial" w:hAnsi="Arial" w:cs="Arial"/>
                <w:b/>
                <w:bCs/>
                <w:sz w:val="24"/>
                <w:szCs w:val="24"/>
              </w:rPr>
            </w:pPr>
          </w:p>
        </w:tc>
      </w:tr>
      <w:tr w:rsidR="00995241" w:rsidRPr="00B66C4E" w14:paraId="21505D66" w14:textId="77777777" w:rsidTr="00BA74B3">
        <w:trPr>
          <w:trHeight w:val="576"/>
        </w:trPr>
        <w:tc>
          <w:tcPr>
            <w:tcW w:w="0" w:type="auto"/>
            <w:vAlign w:val="bottom"/>
            <w:hideMark/>
          </w:tcPr>
          <w:p w14:paraId="36076D7F" w14:textId="77777777" w:rsidR="00995241" w:rsidRPr="00B66C4E" w:rsidRDefault="00995241" w:rsidP="00BA74B3">
            <w:pPr>
              <w:rPr>
                <w:rFonts w:ascii="Arial" w:hAnsi="Arial" w:cs="Arial"/>
                <w:b/>
                <w:bCs/>
                <w:sz w:val="24"/>
                <w:szCs w:val="24"/>
              </w:rPr>
            </w:pPr>
          </w:p>
        </w:tc>
        <w:tc>
          <w:tcPr>
            <w:tcW w:w="6840" w:type="dxa"/>
            <w:vAlign w:val="bottom"/>
            <w:hideMark/>
          </w:tcPr>
          <w:p w14:paraId="5600732F" w14:textId="77777777" w:rsidR="00995241" w:rsidRPr="00B66C4E" w:rsidRDefault="00995241" w:rsidP="00BA74B3">
            <w:pPr>
              <w:rPr>
                <w:rFonts w:ascii="Arial" w:hAnsi="Arial" w:cs="Arial"/>
                <w:b/>
                <w:bCs/>
                <w:sz w:val="24"/>
                <w:szCs w:val="24"/>
              </w:rPr>
            </w:pPr>
            <w:r w:rsidRPr="00B66C4E">
              <w:rPr>
                <w:rFonts w:ascii="Arial" w:hAnsi="Arial" w:cs="Arial"/>
                <w:b/>
                <w:bCs/>
                <w:sz w:val="24"/>
                <w:szCs w:val="24"/>
              </w:rPr>
              <w:t>References</w:t>
            </w:r>
          </w:p>
        </w:tc>
        <w:tc>
          <w:tcPr>
            <w:tcW w:w="1247" w:type="dxa"/>
          </w:tcPr>
          <w:p w14:paraId="6A4FA7F1" w14:textId="123060AA" w:rsidR="00995241" w:rsidRPr="00B66C4E" w:rsidRDefault="00995241" w:rsidP="00BA74B3">
            <w:pPr>
              <w:rPr>
                <w:rFonts w:ascii="Arial" w:hAnsi="Arial" w:cs="Arial"/>
                <w:b/>
                <w:bCs/>
                <w:sz w:val="24"/>
                <w:szCs w:val="24"/>
              </w:rPr>
            </w:pPr>
            <w:r>
              <w:rPr>
                <w:rFonts w:ascii="Arial" w:hAnsi="Arial" w:cs="Arial"/>
                <w:b/>
                <w:bCs/>
                <w:sz w:val="24"/>
                <w:szCs w:val="24"/>
              </w:rPr>
              <w:t xml:space="preserve"> 1</w:t>
            </w:r>
            <w:r w:rsidR="006412B1">
              <w:rPr>
                <w:rFonts w:ascii="Arial" w:hAnsi="Arial" w:cs="Arial"/>
                <w:b/>
                <w:bCs/>
                <w:sz w:val="24"/>
                <w:szCs w:val="24"/>
              </w:rPr>
              <w:t>4</w:t>
            </w:r>
            <w:r>
              <w:rPr>
                <w:rFonts w:ascii="Arial" w:hAnsi="Arial" w:cs="Arial"/>
                <w:b/>
                <w:bCs/>
                <w:sz w:val="24"/>
                <w:szCs w:val="24"/>
              </w:rPr>
              <w:t>-16</w:t>
            </w:r>
          </w:p>
        </w:tc>
        <w:tc>
          <w:tcPr>
            <w:tcW w:w="0" w:type="auto"/>
          </w:tcPr>
          <w:p w14:paraId="0CEAA88A" w14:textId="77777777" w:rsidR="00995241" w:rsidRPr="00B66C4E" w:rsidRDefault="00995241" w:rsidP="00BA74B3">
            <w:pPr>
              <w:rPr>
                <w:rFonts w:ascii="Arial" w:hAnsi="Arial" w:cs="Arial"/>
                <w:b/>
                <w:bCs/>
                <w:sz w:val="24"/>
                <w:szCs w:val="24"/>
              </w:rPr>
            </w:pPr>
          </w:p>
        </w:tc>
      </w:tr>
    </w:tbl>
    <w:p w14:paraId="231BCC6D" w14:textId="77777777" w:rsidR="00995241" w:rsidRDefault="00995241" w:rsidP="00995241">
      <w:pPr>
        <w:rPr>
          <w:rFonts w:ascii="Arial" w:hAnsi="Arial" w:cs="Arial"/>
          <w:b/>
          <w:bCs/>
          <w:sz w:val="24"/>
          <w:szCs w:val="24"/>
        </w:rPr>
      </w:pPr>
      <w:r>
        <w:rPr>
          <w:rFonts w:ascii="Arial" w:hAnsi="Arial" w:cs="Arial"/>
          <w:b/>
          <w:bCs/>
          <w:sz w:val="24"/>
          <w:szCs w:val="24"/>
        </w:rPr>
        <w:br w:type="page"/>
      </w:r>
    </w:p>
    <w:p w14:paraId="7C7E382D" w14:textId="77777777" w:rsidR="00995241" w:rsidRPr="00E15654" w:rsidRDefault="00995241" w:rsidP="00995241">
      <w:pPr>
        <w:spacing w:line="360" w:lineRule="auto"/>
        <w:rPr>
          <w:rFonts w:ascii="Arial" w:hAnsi="Arial" w:cs="Arial"/>
          <w:b/>
          <w:bCs/>
          <w:sz w:val="24"/>
          <w:szCs w:val="24"/>
        </w:rPr>
      </w:pPr>
      <w:r w:rsidRPr="00E15654">
        <w:rPr>
          <w:rFonts w:ascii="Arial" w:hAnsi="Arial" w:cs="Arial"/>
          <w:b/>
          <w:bCs/>
          <w:sz w:val="24"/>
          <w:szCs w:val="24"/>
        </w:rPr>
        <w:lastRenderedPageBreak/>
        <w:t>INTRODUCTION</w:t>
      </w:r>
    </w:p>
    <w:p w14:paraId="113E1A99" w14:textId="77777777" w:rsidR="00995241" w:rsidRDefault="00995241" w:rsidP="00995241">
      <w:pPr>
        <w:spacing w:line="360" w:lineRule="auto"/>
        <w:jc w:val="both"/>
        <w:rPr>
          <w:rFonts w:ascii="Arial" w:hAnsi="Arial" w:cs="Arial"/>
          <w:sz w:val="24"/>
          <w:szCs w:val="24"/>
        </w:rPr>
      </w:pPr>
      <w:r w:rsidRPr="0044765C">
        <w:rPr>
          <w:rFonts w:ascii="Arial" w:hAnsi="Arial" w:cs="Arial"/>
          <w:sz w:val="24"/>
          <w:szCs w:val="24"/>
        </w:rPr>
        <w:t xml:space="preserve">The convergent forces of </w:t>
      </w:r>
      <w:proofErr w:type="spellStart"/>
      <w:r w:rsidRPr="0044765C">
        <w:rPr>
          <w:rFonts w:ascii="Arial" w:hAnsi="Arial" w:cs="Arial"/>
          <w:sz w:val="24"/>
          <w:szCs w:val="24"/>
        </w:rPr>
        <w:t>energising</w:t>
      </w:r>
      <w:proofErr w:type="spellEnd"/>
      <w:r w:rsidRPr="0044765C">
        <w:rPr>
          <w:rFonts w:ascii="Arial" w:hAnsi="Arial" w:cs="Arial"/>
          <w:sz w:val="24"/>
          <w:szCs w:val="24"/>
        </w:rPr>
        <w:t xml:space="preserve"> employees, </w:t>
      </w:r>
      <w:proofErr w:type="spellStart"/>
      <w:r w:rsidRPr="0044765C">
        <w:rPr>
          <w:rFonts w:ascii="Arial" w:hAnsi="Arial" w:cs="Arial"/>
          <w:sz w:val="24"/>
          <w:szCs w:val="24"/>
        </w:rPr>
        <w:t>democratising</w:t>
      </w:r>
      <w:proofErr w:type="spellEnd"/>
      <w:r w:rsidRPr="0044765C">
        <w:rPr>
          <w:rFonts w:ascii="Arial" w:hAnsi="Arial" w:cs="Arial"/>
          <w:sz w:val="24"/>
          <w:szCs w:val="24"/>
        </w:rPr>
        <w:t xml:space="preserve"> </w:t>
      </w:r>
      <w:proofErr w:type="spellStart"/>
      <w:r w:rsidRPr="0044765C">
        <w:rPr>
          <w:rFonts w:ascii="Arial" w:hAnsi="Arial" w:cs="Arial"/>
          <w:sz w:val="24"/>
          <w:szCs w:val="24"/>
        </w:rPr>
        <w:t>organisations</w:t>
      </w:r>
      <w:proofErr w:type="spellEnd"/>
      <w:r w:rsidRPr="0044765C">
        <w:rPr>
          <w:rFonts w:ascii="Arial" w:hAnsi="Arial" w:cs="Arial"/>
          <w:sz w:val="24"/>
          <w:szCs w:val="24"/>
        </w:rPr>
        <w:t xml:space="preserve">, and the destruction of geographical boundaries in sourcing and </w:t>
      </w:r>
      <w:proofErr w:type="spellStart"/>
      <w:r w:rsidRPr="0044765C">
        <w:rPr>
          <w:rFonts w:ascii="Arial" w:hAnsi="Arial" w:cs="Arial"/>
          <w:sz w:val="24"/>
          <w:szCs w:val="24"/>
        </w:rPr>
        <w:t>utilisation</w:t>
      </w:r>
      <w:proofErr w:type="spellEnd"/>
      <w:r w:rsidRPr="0044765C">
        <w:rPr>
          <w:rFonts w:ascii="Arial" w:hAnsi="Arial" w:cs="Arial"/>
          <w:sz w:val="24"/>
          <w:szCs w:val="24"/>
        </w:rPr>
        <w:t xml:space="preserve"> of talent have had radical changes to Human Resource Management (HRM) (Ulrich and Dulebohn, 2015; Collings et al., 2019). These forces of evolution, as I can observe as a student of Bangladesh pursuing further studies in the field of Human Resource Management in one of the British universities, are differently expressed in developed and developing economies but all towards one set of imperatives - adaptability, inclusivity and innovation (Brewster et al., 2016; Cooke, 2018). The networked, flowing forms that are based on agency of employees, perpetual adjustment, and cross-border collaboration have substituted the command-and-control structures of the twentieth-century </w:t>
      </w:r>
      <w:proofErr w:type="spellStart"/>
      <w:r w:rsidRPr="0044765C">
        <w:rPr>
          <w:rFonts w:ascii="Arial" w:hAnsi="Arial" w:cs="Arial"/>
          <w:sz w:val="24"/>
          <w:szCs w:val="24"/>
        </w:rPr>
        <w:t>organisations</w:t>
      </w:r>
      <w:proofErr w:type="spellEnd"/>
      <w:r w:rsidRPr="0044765C">
        <w:rPr>
          <w:rFonts w:ascii="Arial" w:hAnsi="Arial" w:cs="Arial"/>
          <w:sz w:val="24"/>
          <w:szCs w:val="24"/>
        </w:rPr>
        <w:t xml:space="preserve"> (Boudreau and </w:t>
      </w:r>
      <w:proofErr w:type="spellStart"/>
      <w:r w:rsidRPr="0044765C">
        <w:rPr>
          <w:rFonts w:ascii="Arial" w:hAnsi="Arial" w:cs="Arial"/>
          <w:sz w:val="24"/>
          <w:szCs w:val="24"/>
        </w:rPr>
        <w:t>Jesuthasan</w:t>
      </w:r>
      <w:proofErr w:type="spellEnd"/>
      <w:r w:rsidRPr="0044765C">
        <w:rPr>
          <w:rFonts w:ascii="Arial" w:hAnsi="Arial" w:cs="Arial"/>
          <w:sz w:val="24"/>
          <w:szCs w:val="24"/>
        </w:rPr>
        <w:t xml:space="preserve">, 2018; Cascio and Boudreau, 2016). The present piece of critical analysis explores three fundamental developments that are transforming the HRM </w:t>
      </w:r>
      <w:proofErr w:type="spellStart"/>
      <w:r w:rsidRPr="0044765C">
        <w:rPr>
          <w:rFonts w:ascii="Arial" w:hAnsi="Arial" w:cs="Arial"/>
          <w:sz w:val="24"/>
          <w:szCs w:val="24"/>
        </w:rPr>
        <w:t>practise</w:t>
      </w:r>
      <w:proofErr w:type="spellEnd"/>
      <w:r w:rsidRPr="0044765C">
        <w:rPr>
          <w:rFonts w:ascii="Arial" w:hAnsi="Arial" w:cs="Arial"/>
          <w:sz w:val="24"/>
          <w:szCs w:val="24"/>
        </w:rPr>
        <w:t xml:space="preserve"> in the modern times the shift towards the provision of employee satisfaction, toward the creation of a comprehensive experience (Morgan, 2017; </w:t>
      </w:r>
      <w:proofErr w:type="spellStart"/>
      <w:r w:rsidRPr="0044765C">
        <w:rPr>
          <w:rFonts w:ascii="Arial" w:hAnsi="Arial" w:cs="Arial"/>
          <w:sz w:val="24"/>
          <w:szCs w:val="24"/>
        </w:rPr>
        <w:t>Plaskoff</w:t>
      </w:r>
      <w:proofErr w:type="spellEnd"/>
      <w:r w:rsidRPr="0044765C">
        <w:rPr>
          <w:rFonts w:ascii="Arial" w:hAnsi="Arial" w:cs="Arial"/>
          <w:sz w:val="24"/>
          <w:szCs w:val="24"/>
        </w:rPr>
        <w:t>, 2017), the shift between the hierarchical and the supple team-based systems (Rigby et al., 2016; Cappelli and Tavis, 2018) and the last, but not the least, the transition of teams which are now increasingly solving their problems globally, on a virtual level These changes introduce unprecedented changes and opportunities within the domestic HRM and IHRM fields where the practitioners must alter their skill sets, their paradigms and mental models (Wright and McMahan, 2011; Sparrow et al., 2017).</w:t>
      </w:r>
    </w:p>
    <w:p w14:paraId="168F29FD" w14:textId="77777777" w:rsidR="00995241" w:rsidRDefault="00995241" w:rsidP="00995241">
      <w:pPr>
        <w:spacing w:line="360" w:lineRule="auto"/>
        <w:jc w:val="both"/>
        <w:rPr>
          <w:rFonts w:ascii="Arial" w:hAnsi="Arial" w:cs="Arial"/>
          <w:sz w:val="24"/>
          <w:szCs w:val="24"/>
        </w:rPr>
      </w:pPr>
      <w:r w:rsidRPr="0044765C">
        <w:rPr>
          <w:rFonts w:ascii="Arial" w:hAnsi="Arial" w:cs="Arial"/>
          <w:sz w:val="24"/>
          <w:szCs w:val="24"/>
        </w:rPr>
        <w:t>The close segment of this analysis will conclude with a reflective assessment of the personal insights and skillsets that I have that are unique and will help me to adapt and succeed in the new normal - through the prism of my experience in negotiating between South Asian and Western managerial practices as an international student (Meyer, 2014; Hofstede and Minkov, 2013).</w:t>
      </w:r>
    </w:p>
    <w:p w14:paraId="0C0C3ED2" w14:textId="086DC5D4" w:rsidR="0056574F" w:rsidRDefault="00995241" w:rsidP="00995241">
      <w:pPr>
        <w:spacing w:line="360" w:lineRule="auto"/>
        <w:jc w:val="both"/>
        <w:rPr>
          <w:rFonts w:ascii="Arial" w:hAnsi="Arial" w:cs="Arial"/>
          <w:b/>
          <w:bCs/>
          <w:sz w:val="24"/>
          <w:szCs w:val="24"/>
        </w:rPr>
      </w:pPr>
      <w:r w:rsidRPr="00E15654">
        <w:rPr>
          <w:rFonts w:ascii="Arial" w:hAnsi="Arial" w:cs="Arial"/>
          <w:b/>
          <w:bCs/>
          <w:sz w:val="24"/>
          <w:szCs w:val="24"/>
        </w:rPr>
        <w:t>1. FROM EMPLOYEE SATISFACTION TO EXPERIENCE DESIGN: THE NEW FRONTIER OF ENGAGEMENT</w:t>
      </w:r>
    </w:p>
    <w:p w14:paraId="687130F0" w14:textId="421A7521" w:rsidR="00995241" w:rsidRPr="0056574F" w:rsidRDefault="00995241" w:rsidP="00995241">
      <w:pPr>
        <w:spacing w:line="360" w:lineRule="auto"/>
        <w:jc w:val="both"/>
        <w:rPr>
          <w:rFonts w:ascii="Arial" w:hAnsi="Arial" w:cs="Arial"/>
          <w:b/>
          <w:bCs/>
          <w:sz w:val="24"/>
          <w:szCs w:val="24"/>
        </w:rPr>
      </w:pPr>
      <w:r w:rsidRPr="0044765C">
        <w:rPr>
          <w:rFonts w:ascii="Arial" w:hAnsi="Arial" w:cs="Arial"/>
          <w:sz w:val="24"/>
          <w:szCs w:val="24"/>
        </w:rPr>
        <w:t xml:space="preserve">Employee engagement has been an emergent notion that in most of its forms is simply an enhanced and holistic version of employee </w:t>
      </w:r>
      <w:r>
        <w:rPr>
          <w:rFonts w:ascii="Arial" w:hAnsi="Arial" w:cs="Arial"/>
          <w:sz w:val="24"/>
          <w:szCs w:val="24"/>
        </w:rPr>
        <w:t>gratification</w:t>
      </w:r>
      <w:r w:rsidRPr="0044765C">
        <w:rPr>
          <w:rFonts w:ascii="Arial" w:hAnsi="Arial" w:cs="Arial"/>
          <w:sz w:val="24"/>
          <w:szCs w:val="24"/>
        </w:rPr>
        <w:t xml:space="preserve"> - where we are currently creating </w:t>
      </w:r>
      <w:r w:rsidRPr="0044765C">
        <w:rPr>
          <w:rFonts w:ascii="Arial" w:hAnsi="Arial" w:cs="Arial"/>
          <w:sz w:val="24"/>
          <w:szCs w:val="24"/>
        </w:rPr>
        <w:lastRenderedPageBreak/>
        <w:t xml:space="preserve">employee experience across all the touchpoints in the employee journey. According to </w:t>
      </w:r>
      <w:proofErr w:type="spellStart"/>
      <w:r w:rsidRPr="0044765C">
        <w:rPr>
          <w:rFonts w:ascii="Arial" w:hAnsi="Arial" w:cs="Arial"/>
          <w:sz w:val="24"/>
          <w:szCs w:val="24"/>
        </w:rPr>
        <w:t>Plaskoff</w:t>
      </w:r>
      <w:proofErr w:type="spellEnd"/>
      <w:r w:rsidRPr="0044765C">
        <w:rPr>
          <w:rFonts w:ascii="Arial" w:hAnsi="Arial" w:cs="Arial"/>
          <w:sz w:val="24"/>
          <w:szCs w:val="24"/>
        </w:rPr>
        <w:t xml:space="preserve"> (2017), the principles of design thinking applied to the employee experience give the same value as the investments made to the customer experience, thus transforming the very notions </w:t>
      </w:r>
      <w:proofErr w:type="spellStart"/>
      <w:r w:rsidRPr="0044765C">
        <w:rPr>
          <w:rFonts w:ascii="Arial" w:hAnsi="Arial" w:cs="Arial"/>
          <w:sz w:val="24"/>
          <w:szCs w:val="24"/>
        </w:rPr>
        <w:t>organisations</w:t>
      </w:r>
      <w:proofErr w:type="spellEnd"/>
      <w:r w:rsidRPr="0044765C">
        <w:rPr>
          <w:rFonts w:ascii="Arial" w:hAnsi="Arial" w:cs="Arial"/>
          <w:sz w:val="24"/>
          <w:szCs w:val="24"/>
        </w:rPr>
        <w:t xml:space="preserve"> use to approach their talent practices. This shift is not just semantic shift, but it is also a manifestation of a cultural shift in how employees are viewed as the components that can be assembled to make the organizational value and culture. </w:t>
      </w:r>
    </w:p>
    <w:p w14:paraId="1A989031" w14:textId="77777777" w:rsidR="00995241" w:rsidRDefault="00995241" w:rsidP="00995241">
      <w:pPr>
        <w:spacing w:line="360" w:lineRule="auto"/>
        <w:jc w:val="both"/>
        <w:rPr>
          <w:rFonts w:ascii="Arial" w:hAnsi="Arial" w:cs="Arial"/>
          <w:sz w:val="24"/>
          <w:szCs w:val="24"/>
        </w:rPr>
      </w:pPr>
    </w:p>
    <w:p w14:paraId="69E05A60" w14:textId="77777777" w:rsidR="00995241" w:rsidRPr="00D80CF2" w:rsidRDefault="00995241" w:rsidP="00995241">
      <w:pPr>
        <w:spacing w:line="360" w:lineRule="auto"/>
        <w:ind w:left="720"/>
        <w:jc w:val="both"/>
        <w:rPr>
          <w:rFonts w:ascii="Arial" w:hAnsi="Arial" w:cs="Arial"/>
          <w:szCs w:val="24"/>
        </w:rPr>
      </w:pPr>
      <w:r>
        <w:rPr>
          <w:rFonts w:ascii="Arial" w:hAnsi="Arial" w:cs="Arial"/>
          <w:noProof/>
          <w:sz w:val="24"/>
          <w:szCs w:val="24"/>
        </w:rPr>
        <w:drawing>
          <wp:anchor distT="0" distB="0" distL="114300" distR="114300" simplePos="0" relativeHeight="251659264" behindDoc="1" locked="0" layoutInCell="1" allowOverlap="1" wp14:anchorId="24291DC5" wp14:editId="5867D67F">
            <wp:simplePos x="0" y="0"/>
            <wp:positionH relativeFrom="column">
              <wp:posOffset>-274320</wp:posOffset>
            </wp:positionH>
            <wp:positionV relativeFrom="paragraph">
              <wp:posOffset>89</wp:posOffset>
            </wp:positionV>
            <wp:extent cx="6271818" cy="3279051"/>
            <wp:effectExtent l="0" t="0" r="0" b="0"/>
            <wp:wrapTight wrapText="bothSides">
              <wp:wrapPolygon edited="0">
                <wp:start x="0" y="0"/>
                <wp:lineTo x="0" y="21462"/>
                <wp:lineTo x="21521" y="21462"/>
                <wp:lineTo x="21521" y="0"/>
                <wp:lineTo x="0" y="0"/>
              </wp:wrapPolygon>
            </wp:wrapTight>
            <wp:docPr id="1682740509" name="Picture 3" descr="A diagram of a company's design methodolo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740509" name="Picture 3" descr="A diagram of a company's design methodology&#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6279392" cy="3283011"/>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 xml:space="preserve">    Source: </w:t>
      </w:r>
      <w:r w:rsidRPr="00D80CF2">
        <w:rPr>
          <w:rFonts w:ascii="Arial" w:hAnsi="Arial" w:cs="Arial"/>
          <w:szCs w:val="24"/>
        </w:rPr>
        <w:t>Employee Experience Design Methodology (</w:t>
      </w:r>
      <w:proofErr w:type="spellStart"/>
      <w:r w:rsidRPr="00D80CF2">
        <w:rPr>
          <w:rFonts w:ascii="Arial" w:hAnsi="Arial" w:cs="Arial"/>
          <w:szCs w:val="24"/>
        </w:rPr>
        <w:t>Artofit</w:t>
      </w:r>
      <w:proofErr w:type="spellEnd"/>
      <w:r w:rsidRPr="00D80CF2">
        <w:rPr>
          <w:rFonts w:ascii="Arial" w:hAnsi="Arial" w:cs="Arial"/>
          <w:szCs w:val="24"/>
        </w:rPr>
        <w:t>, 2022)</w:t>
      </w:r>
    </w:p>
    <w:p w14:paraId="5EF80604" w14:textId="77777777" w:rsidR="00995241" w:rsidRDefault="00995241" w:rsidP="00995241">
      <w:pPr>
        <w:spacing w:line="360" w:lineRule="auto"/>
        <w:jc w:val="both"/>
        <w:rPr>
          <w:rFonts w:ascii="Arial" w:hAnsi="Arial" w:cs="Arial"/>
          <w:sz w:val="24"/>
          <w:szCs w:val="24"/>
        </w:rPr>
      </w:pPr>
    </w:p>
    <w:p w14:paraId="6C0BABEE" w14:textId="70EF2F27" w:rsidR="00995241" w:rsidRDefault="00995241" w:rsidP="00995241">
      <w:pPr>
        <w:spacing w:line="360" w:lineRule="auto"/>
        <w:jc w:val="both"/>
        <w:rPr>
          <w:rFonts w:ascii="Arial" w:hAnsi="Arial" w:cs="Arial"/>
          <w:sz w:val="24"/>
          <w:szCs w:val="24"/>
        </w:rPr>
      </w:pPr>
      <w:r w:rsidRPr="0044765C">
        <w:rPr>
          <w:rFonts w:ascii="Arial" w:hAnsi="Arial" w:cs="Arial"/>
          <w:sz w:val="24"/>
          <w:szCs w:val="24"/>
        </w:rPr>
        <w:t xml:space="preserve">With end-to-end journey mapping, </w:t>
      </w:r>
      <w:r>
        <w:rPr>
          <w:rFonts w:ascii="Arial" w:hAnsi="Arial" w:cs="Arial"/>
          <w:sz w:val="24"/>
          <w:szCs w:val="24"/>
        </w:rPr>
        <w:t>new</w:t>
      </w:r>
      <w:r w:rsidRPr="0044765C">
        <w:rPr>
          <w:rFonts w:ascii="Arial" w:hAnsi="Arial" w:cs="Arial"/>
          <w:sz w:val="24"/>
          <w:szCs w:val="24"/>
        </w:rPr>
        <w:t xml:space="preserve"> HRM practitioners are redefining the employee experience to determine and enhance defining moments in the employee life cycle. As an example, the Employee Experience department at Airbnb (the reinvented HR) is aimed at creating the kind of memorable experience that would emphasize the cultural principles and personal sense of mission (Morgan, 2017). Technology giant Cisco developed elaborate</w:t>
      </w:r>
      <w:r w:rsidR="0056574F">
        <w:rPr>
          <w:rFonts w:ascii="Arial" w:hAnsi="Arial" w:cs="Arial"/>
          <w:sz w:val="24"/>
          <w:szCs w:val="24"/>
        </w:rPr>
        <w:t xml:space="preserve"> </w:t>
      </w:r>
      <w:r w:rsidRPr="0044765C">
        <w:rPr>
          <w:rFonts w:ascii="Arial" w:hAnsi="Arial" w:cs="Arial"/>
          <w:sz w:val="24"/>
          <w:szCs w:val="24"/>
        </w:rPr>
        <w:t>profiles of its employees through ethnographic studies that charted out the different groups within its workforce to customize experiences according to different requirements with an engagement score 30 higher than any other industry (Bersin, 2018). They require cross-</w:t>
      </w:r>
      <w:r w:rsidRPr="0044765C">
        <w:rPr>
          <w:rFonts w:ascii="Arial" w:hAnsi="Arial" w:cs="Arial"/>
          <w:sz w:val="24"/>
          <w:szCs w:val="24"/>
        </w:rPr>
        <w:lastRenderedPageBreak/>
        <w:t xml:space="preserve">disciplinary solutions that incorporate </w:t>
      </w:r>
      <w:proofErr w:type="spellStart"/>
      <w:r w:rsidRPr="0044765C">
        <w:rPr>
          <w:rFonts w:ascii="Arial" w:hAnsi="Arial" w:cs="Arial"/>
          <w:sz w:val="24"/>
          <w:szCs w:val="24"/>
        </w:rPr>
        <w:t>behavioural</w:t>
      </w:r>
      <w:proofErr w:type="spellEnd"/>
      <w:r w:rsidRPr="0044765C">
        <w:rPr>
          <w:rFonts w:ascii="Arial" w:hAnsi="Arial" w:cs="Arial"/>
          <w:sz w:val="24"/>
          <w:szCs w:val="24"/>
        </w:rPr>
        <w:t xml:space="preserve"> psychology with service design and data analytics to provide meaningful and valuable experiences that will attract more diverse workforce than they did in the past. </w:t>
      </w:r>
    </w:p>
    <w:p w14:paraId="16CFB98E" w14:textId="77777777" w:rsidR="00995241" w:rsidRDefault="00995241" w:rsidP="00995241">
      <w:pPr>
        <w:spacing w:line="360" w:lineRule="auto"/>
        <w:jc w:val="both"/>
        <w:rPr>
          <w:rFonts w:ascii="Arial" w:hAnsi="Arial" w:cs="Arial"/>
          <w:sz w:val="24"/>
          <w:szCs w:val="24"/>
        </w:rPr>
      </w:pPr>
      <w:r w:rsidRPr="0044765C">
        <w:rPr>
          <w:rFonts w:ascii="Arial" w:hAnsi="Arial" w:cs="Arial"/>
          <w:sz w:val="24"/>
          <w:szCs w:val="24"/>
        </w:rPr>
        <w:t xml:space="preserve">The fact that experience design principles can be implemented in an IHRM background compounds the necessity to have culturally aware and </w:t>
      </w:r>
      <w:proofErr w:type="spellStart"/>
      <w:r w:rsidRPr="0044765C">
        <w:rPr>
          <w:rFonts w:ascii="Arial" w:hAnsi="Arial" w:cs="Arial"/>
          <w:sz w:val="24"/>
          <w:szCs w:val="24"/>
        </w:rPr>
        <w:t>localised</w:t>
      </w:r>
      <w:proofErr w:type="spellEnd"/>
      <w:r w:rsidRPr="0044765C">
        <w:rPr>
          <w:rFonts w:ascii="Arial" w:hAnsi="Arial" w:cs="Arial"/>
          <w:sz w:val="24"/>
          <w:szCs w:val="24"/>
        </w:rPr>
        <w:t xml:space="preserve"> approaches. The cultural variations do count- Sull and Sull (2018) demonstrate that populations in collectivistic cultures cherish the community and belong to the collective experience when designing employee experience, whereas individualistic cultures pay more attention to personal and professional growth, which can be vividly observed in the data gathered in 89 countries. These distinctions were further brought out as I went through my own experience of transition between the relationship-based working culture in Bangladesh to the task-based working culture in the UK. Hierarchical </w:t>
      </w:r>
      <w:proofErr w:type="spellStart"/>
      <w:r w:rsidRPr="0044765C">
        <w:rPr>
          <w:rFonts w:ascii="Arial" w:hAnsi="Arial" w:cs="Arial"/>
          <w:sz w:val="24"/>
          <w:szCs w:val="24"/>
        </w:rPr>
        <w:t>organisations</w:t>
      </w:r>
      <w:proofErr w:type="spellEnd"/>
      <w:r w:rsidRPr="0044765C">
        <w:rPr>
          <w:rFonts w:ascii="Arial" w:hAnsi="Arial" w:cs="Arial"/>
          <w:sz w:val="24"/>
          <w:szCs w:val="24"/>
        </w:rPr>
        <w:t xml:space="preserve"> in Bangladesh consider personal investment, family activities, and integration in society whereas British companies focus on professional development, work-life, and </w:t>
      </w:r>
      <w:proofErr w:type="spellStart"/>
      <w:r w:rsidRPr="0044765C">
        <w:rPr>
          <w:rFonts w:ascii="Arial" w:hAnsi="Arial" w:cs="Arial"/>
          <w:sz w:val="24"/>
          <w:szCs w:val="24"/>
        </w:rPr>
        <w:t>self-fulfilment</w:t>
      </w:r>
      <w:proofErr w:type="spellEnd"/>
      <w:r w:rsidRPr="0044765C">
        <w:rPr>
          <w:rFonts w:ascii="Arial" w:hAnsi="Arial" w:cs="Arial"/>
          <w:sz w:val="24"/>
          <w:szCs w:val="24"/>
        </w:rPr>
        <w:t xml:space="preserve"> (Ahmed and Islam, 2019). To deliver on this, the successful global </w:t>
      </w:r>
      <w:proofErr w:type="spellStart"/>
      <w:r w:rsidRPr="0044765C">
        <w:rPr>
          <w:rFonts w:ascii="Arial" w:hAnsi="Arial" w:cs="Arial"/>
          <w:sz w:val="24"/>
          <w:szCs w:val="24"/>
        </w:rPr>
        <w:t>organisations</w:t>
      </w:r>
      <w:proofErr w:type="spellEnd"/>
      <w:r w:rsidRPr="0044765C">
        <w:rPr>
          <w:rFonts w:ascii="Arial" w:hAnsi="Arial" w:cs="Arial"/>
          <w:sz w:val="24"/>
          <w:szCs w:val="24"/>
        </w:rPr>
        <w:t xml:space="preserve"> will need to formulate experience frameworks that are flexible enough to accommodate this distinction in cultures without compromising on cohesive employer brand propositions. Second, the disparity in laws of a single jurisdiction to another also constrains the </w:t>
      </w:r>
      <w:r>
        <w:rPr>
          <w:rFonts w:ascii="Arial" w:hAnsi="Arial" w:cs="Arial"/>
          <w:sz w:val="24"/>
          <w:szCs w:val="24"/>
        </w:rPr>
        <w:t>pleasure</w:t>
      </w:r>
      <w:r w:rsidRPr="0044765C">
        <w:rPr>
          <w:rFonts w:ascii="Arial" w:hAnsi="Arial" w:cs="Arial"/>
          <w:sz w:val="24"/>
          <w:szCs w:val="24"/>
        </w:rPr>
        <w:t xml:space="preserve"> of performance of experience design further (Brewster and Mayrhofer, 2018); in the European countries, such as minimum leave policies and protections of workers </w:t>
      </w:r>
      <w:r>
        <w:rPr>
          <w:rFonts w:ascii="Arial" w:hAnsi="Arial" w:cs="Arial"/>
          <w:sz w:val="24"/>
          <w:szCs w:val="24"/>
        </w:rPr>
        <w:t>vindicate</w:t>
      </w:r>
      <w:r w:rsidRPr="0044765C">
        <w:rPr>
          <w:rFonts w:ascii="Arial" w:hAnsi="Arial" w:cs="Arial"/>
          <w:sz w:val="24"/>
          <w:szCs w:val="24"/>
        </w:rPr>
        <w:t xml:space="preserve"> the role of minimum standards that are far apart than in Asian-Pacific markets.</w:t>
      </w:r>
    </w:p>
    <w:p w14:paraId="3A0E4C3C" w14:textId="77777777" w:rsidR="00995241" w:rsidRDefault="00995241" w:rsidP="00995241">
      <w:pPr>
        <w:spacing w:line="360" w:lineRule="auto"/>
        <w:jc w:val="both"/>
        <w:rPr>
          <w:rFonts w:ascii="Arial" w:hAnsi="Arial" w:cs="Arial"/>
          <w:sz w:val="24"/>
          <w:szCs w:val="24"/>
        </w:rPr>
      </w:pPr>
    </w:p>
    <w:p w14:paraId="518F76DB" w14:textId="77777777" w:rsidR="00995241" w:rsidRPr="00E15654" w:rsidRDefault="00995241" w:rsidP="00995241">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229CAE5D" wp14:editId="6FD9F2A9">
            <wp:extent cx="5731510" cy="3806190"/>
            <wp:effectExtent l="0" t="0" r="2540" b="3810"/>
            <wp:docPr id="453819870" name="Picture 2" descr="A diagram of a delivery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819870" name="Picture 2" descr="A diagram of a delivery model&#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3806190"/>
                    </a:xfrm>
                    <a:prstGeom prst="rect">
                      <a:avLst/>
                    </a:prstGeom>
                  </pic:spPr>
                </pic:pic>
              </a:graphicData>
            </a:graphic>
          </wp:inline>
        </w:drawing>
      </w:r>
    </w:p>
    <w:p w14:paraId="07CFA054" w14:textId="77777777" w:rsidR="00995241" w:rsidRPr="00690345" w:rsidRDefault="00995241" w:rsidP="00995241">
      <w:pPr>
        <w:spacing w:line="360" w:lineRule="auto"/>
        <w:ind w:left="720"/>
        <w:jc w:val="both"/>
        <w:rPr>
          <w:rFonts w:ascii="Arial" w:hAnsi="Arial" w:cs="Arial"/>
          <w:b/>
          <w:bCs/>
          <w:szCs w:val="24"/>
        </w:rPr>
      </w:pPr>
      <w:r>
        <w:rPr>
          <w:rFonts w:ascii="Arial" w:hAnsi="Arial" w:cs="Arial"/>
          <w:b/>
          <w:bCs/>
          <w:sz w:val="24"/>
          <w:szCs w:val="24"/>
        </w:rPr>
        <w:t xml:space="preserve">Source: </w:t>
      </w:r>
      <w:r w:rsidRPr="00690345">
        <w:rPr>
          <w:rFonts w:ascii="Arial" w:hAnsi="Arial" w:cs="Arial"/>
          <w:b/>
          <w:bCs/>
          <w:szCs w:val="24"/>
        </w:rPr>
        <w:t>Experience-Driven HR Service Delivery Model (AIHR, 2023)</w:t>
      </w:r>
    </w:p>
    <w:p w14:paraId="43467827" w14:textId="77777777" w:rsidR="00995241" w:rsidRDefault="00995241" w:rsidP="00995241">
      <w:pPr>
        <w:spacing w:line="360" w:lineRule="auto"/>
        <w:jc w:val="both"/>
        <w:rPr>
          <w:rFonts w:ascii="Arial" w:hAnsi="Arial" w:cs="Arial"/>
          <w:b/>
          <w:bCs/>
          <w:sz w:val="24"/>
          <w:szCs w:val="24"/>
        </w:rPr>
      </w:pPr>
      <w:r>
        <w:rPr>
          <w:rFonts w:ascii="Arial" w:hAnsi="Arial" w:cs="Arial"/>
          <w:b/>
          <w:bCs/>
          <w:sz w:val="24"/>
          <w:szCs w:val="24"/>
        </w:rPr>
        <w:t xml:space="preserve"> </w:t>
      </w:r>
    </w:p>
    <w:p w14:paraId="017C4E82" w14:textId="77777777" w:rsidR="00995241" w:rsidRDefault="00995241" w:rsidP="00995241">
      <w:pPr>
        <w:spacing w:line="360" w:lineRule="auto"/>
        <w:jc w:val="both"/>
        <w:rPr>
          <w:rFonts w:ascii="Arial" w:hAnsi="Arial" w:cs="Arial"/>
          <w:b/>
          <w:bCs/>
          <w:sz w:val="24"/>
          <w:szCs w:val="24"/>
        </w:rPr>
      </w:pPr>
    </w:p>
    <w:p w14:paraId="18DC78A4" w14:textId="77777777" w:rsidR="00995241" w:rsidRPr="00E15654" w:rsidRDefault="00995241" w:rsidP="00995241">
      <w:pPr>
        <w:spacing w:line="360" w:lineRule="auto"/>
        <w:jc w:val="both"/>
        <w:rPr>
          <w:rFonts w:ascii="Arial" w:hAnsi="Arial" w:cs="Arial"/>
          <w:b/>
          <w:bCs/>
          <w:sz w:val="24"/>
          <w:szCs w:val="24"/>
        </w:rPr>
      </w:pPr>
      <w:r w:rsidRPr="00E15654">
        <w:rPr>
          <w:rFonts w:ascii="Arial" w:hAnsi="Arial" w:cs="Arial"/>
          <w:b/>
          <w:bCs/>
          <w:sz w:val="24"/>
          <w:szCs w:val="24"/>
        </w:rPr>
        <w:t>2. AGILE HR AND THE DISSOLUTION OF HIERARCHICAL STRUCTURES</w:t>
      </w:r>
    </w:p>
    <w:p w14:paraId="5D0CF3E2" w14:textId="4D885BF3" w:rsidR="00995241" w:rsidRPr="0037026C"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The principles behind Agile, which were </w:t>
      </w:r>
      <w:r>
        <w:rPr>
          <w:rFonts w:ascii="Arial" w:hAnsi="Arial" w:cs="Arial"/>
          <w:sz w:val="24"/>
          <w:szCs w:val="24"/>
        </w:rPr>
        <w:t>principally</w:t>
      </w:r>
      <w:r w:rsidRPr="00860FE0">
        <w:rPr>
          <w:rFonts w:ascii="Arial" w:hAnsi="Arial" w:cs="Arial"/>
          <w:sz w:val="24"/>
          <w:szCs w:val="24"/>
        </w:rPr>
        <w:t xml:space="preserve"> formulated in software </w:t>
      </w:r>
      <w:r w:rsidR="006412B1" w:rsidRPr="00860FE0">
        <w:rPr>
          <w:rFonts w:ascii="Arial" w:hAnsi="Arial" w:cs="Arial"/>
          <w:sz w:val="24"/>
          <w:szCs w:val="24"/>
        </w:rPr>
        <w:t>development,</w:t>
      </w:r>
      <w:r w:rsidRPr="00860FE0">
        <w:rPr>
          <w:rFonts w:ascii="Arial" w:hAnsi="Arial" w:cs="Arial"/>
          <w:sz w:val="24"/>
          <w:szCs w:val="24"/>
        </w:rPr>
        <w:t xml:space="preserve"> have permanently transformed the character of the </w:t>
      </w:r>
      <w:proofErr w:type="spellStart"/>
      <w:r w:rsidRPr="00860FE0">
        <w:rPr>
          <w:rFonts w:ascii="Arial" w:hAnsi="Arial" w:cs="Arial"/>
          <w:sz w:val="24"/>
          <w:szCs w:val="24"/>
        </w:rPr>
        <w:t>organisational</w:t>
      </w:r>
      <w:proofErr w:type="spellEnd"/>
      <w:r w:rsidRPr="00860FE0">
        <w:rPr>
          <w:rFonts w:ascii="Arial" w:hAnsi="Arial" w:cs="Arial"/>
          <w:sz w:val="24"/>
          <w:szCs w:val="24"/>
        </w:rPr>
        <w:t xml:space="preserve"> design and HR operating models. Rigby et al. As it is stated in (2016), agile methodologies rely on self-</w:t>
      </w:r>
      <w:proofErr w:type="spellStart"/>
      <w:r w:rsidRPr="00860FE0">
        <w:rPr>
          <w:rFonts w:ascii="Arial" w:hAnsi="Arial" w:cs="Arial"/>
          <w:sz w:val="24"/>
          <w:szCs w:val="24"/>
        </w:rPr>
        <w:t>organising</w:t>
      </w:r>
      <w:proofErr w:type="spellEnd"/>
      <w:r w:rsidRPr="00860FE0">
        <w:rPr>
          <w:rFonts w:ascii="Arial" w:hAnsi="Arial" w:cs="Arial"/>
          <w:sz w:val="24"/>
          <w:szCs w:val="24"/>
        </w:rPr>
        <w:t xml:space="preserve"> teams, a cycle of iterations, and continuous feedback loops to respond to the changes in the market as rapidly as possible. It extends far beyond the project management to complete </w:t>
      </w:r>
      <w:proofErr w:type="spellStart"/>
      <w:r w:rsidRPr="00860FE0">
        <w:rPr>
          <w:rFonts w:ascii="Arial" w:hAnsi="Arial" w:cs="Arial"/>
          <w:sz w:val="24"/>
          <w:szCs w:val="24"/>
        </w:rPr>
        <w:t>organisational</w:t>
      </w:r>
      <w:proofErr w:type="spellEnd"/>
      <w:r w:rsidRPr="00860FE0">
        <w:rPr>
          <w:rFonts w:ascii="Arial" w:hAnsi="Arial" w:cs="Arial"/>
          <w:sz w:val="24"/>
          <w:szCs w:val="24"/>
        </w:rPr>
        <w:t xml:space="preserve"> architecture change, </w:t>
      </w:r>
      <w:proofErr w:type="spellStart"/>
      <w:r w:rsidRPr="00860FE0">
        <w:rPr>
          <w:rFonts w:ascii="Arial" w:hAnsi="Arial" w:cs="Arial"/>
          <w:sz w:val="24"/>
          <w:szCs w:val="24"/>
        </w:rPr>
        <w:t>disingratiating</w:t>
      </w:r>
      <w:proofErr w:type="spellEnd"/>
      <w:r w:rsidRPr="00860FE0">
        <w:rPr>
          <w:rFonts w:ascii="Arial" w:hAnsi="Arial" w:cs="Arial"/>
          <w:sz w:val="24"/>
          <w:szCs w:val="24"/>
        </w:rPr>
        <w:t xml:space="preserve"> hierarchical </w:t>
      </w:r>
      <w:proofErr w:type="spellStart"/>
      <w:r w:rsidRPr="00860FE0">
        <w:rPr>
          <w:rFonts w:ascii="Arial" w:hAnsi="Arial" w:cs="Arial"/>
          <w:sz w:val="24"/>
          <w:szCs w:val="24"/>
        </w:rPr>
        <w:t>organisation</w:t>
      </w:r>
      <w:proofErr w:type="spellEnd"/>
      <w:r w:rsidRPr="00860FE0">
        <w:rPr>
          <w:rFonts w:ascii="Arial" w:hAnsi="Arial" w:cs="Arial"/>
          <w:sz w:val="24"/>
          <w:szCs w:val="24"/>
        </w:rPr>
        <w:t>, and rebranding HR as process guardian as process enablement catalyst.</w:t>
      </w:r>
    </w:p>
    <w:p w14:paraId="54F5154E" w14:textId="0DD86C36"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The most progressive </w:t>
      </w:r>
      <w:proofErr w:type="spellStart"/>
      <w:r w:rsidRPr="00860FE0">
        <w:rPr>
          <w:rFonts w:ascii="Arial" w:hAnsi="Arial" w:cs="Arial"/>
          <w:sz w:val="24"/>
          <w:szCs w:val="24"/>
        </w:rPr>
        <w:t>organisations</w:t>
      </w:r>
      <w:proofErr w:type="spellEnd"/>
      <w:r w:rsidRPr="00860FE0">
        <w:rPr>
          <w:rFonts w:ascii="Arial" w:hAnsi="Arial" w:cs="Arial"/>
          <w:sz w:val="24"/>
          <w:szCs w:val="24"/>
        </w:rPr>
        <w:t xml:space="preserve"> are no longer creating functional silos and instead they are starting to create self-</w:t>
      </w:r>
      <w:proofErr w:type="spellStart"/>
      <w:r w:rsidRPr="00860FE0">
        <w:rPr>
          <w:rFonts w:ascii="Arial" w:hAnsi="Arial" w:cs="Arial"/>
          <w:sz w:val="24"/>
          <w:szCs w:val="24"/>
        </w:rPr>
        <w:t>organising</w:t>
      </w:r>
      <w:proofErr w:type="spellEnd"/>
      <w:r w:rsidRPr="00860FE0">
        <w:rPr>
          <w:rFonts w:ascii="Arial" w:hAnsi="Arial" w:cs="Arial"/>
          <w:sz w:val="24"/>
          <w:szCs w:val="24"/>
        </w:rPr>
        <w:t xml:space="preserve"> multi-disciplinary teams which focus on the customer outcome and not the internal process. A significant way this has remained evident has been </w:t>
      </w:r>
      <w:r w:rsidRPr="00860FE0">
        <w:rPr>
          <w:rFonts w:ascii="Arial" w:hAnsi="Arial" w:cs="Arial"/>
          <w:sz w:val="24"/>
          <w:szCs w:val="24"/>
        </w:rPr>
        <w:lastRenderedPageBreak/>
        <w:t xml:space="preserve">what Spotify terms as a tribe model, where employees are organized into independent </w:t>
      </w:r>
      <w:r w:rsidR="00E81A06">
        <w:rPr>
          <w:rFonts w:ascii="Arial" w:hAnsi="Arial" w:cs="Arial"/>
          <w:sz w:val="24"/>
          <w:szCs w:val="24"/>
        </w:rPr>
        <w:t>team</w:t>
      </w:r>
      <w:r w:rsidRPr="00860FE0">
        <w:rPr>
          <w:rFonts w:ascii="Arial" w:hAnsi="Arial" w:cs="Arial"/>
          <w:sz w:val="24"/>
          <w:szCs w:val="24"/>
        </w:rPr>
        <w:t xml:space="preserve">, </w:t>
      </w:r>
      <w:r w:rsidR="00E81A06">
        <w:rPr>
          <w:rFonts w:ascii="Arial" w:hAnsi="Arial" w:cs="Arial"/>
          <w:sz w:val="24"/>
          <w:szCs w:val="24"/>
        </w:rPr>
        <w:t>nation</w:t>
      </w:r>
      <w:r w:rsidRPr="00860FE0">
        <w:rPr>
          <w:rFonts w:ascii="Arial" w:hAnsi="Arial" w:cs="Arial"/>
          <w:sz w:val="24"/>
          <w:szCs w:val="24"/>
        </w:rPr>
        <w:t xml:space="preserve">, chapters, and </w:t>
      </w:r>
      <w:r w:rsidR="00E81A06">
        <w:rPr>
          <w:rFonts w:ascii="Arial" w:hAnsi="Arial" w:cs="Arial"/>
          <w:sz w:val="24"/>
          <w:szCs w:val="24"/>
        </w:rPr>
        <w:t>establishment</w:t>
      </w:r>
      <w:r w:rsidRPr="00860FE0">
        <w:rPr>
          <w:rFonts w:ascii="Arial" w:hAnsi="Arial" w:cs="Arial"/>
          <w:sz w:val="24"/>
          <w:szCs w:val="24"/>
        </w:rPr>
        <w:t xml:space="preserve"> to </w:t>
      </w:r>
      <w:r w:rsidR="009363CC">
        <w:rPr>
          <w:rFonts w:ascii="Arial" w:hAnsi="Arial" w:cs="Arial"/>
          <w:sz w:val="24"/>
          <w:szCs w:val="24"/>
        </w:rPr>
        <w:t>compatibility</w:t>
      </w:r>
      <w:r w:rsidRPr="00860FE0">
        <w:rPr>
          <w:rFonts w:ascii="Arial" w:hAnsi="Arial" w:cs="Arial"/>
          <w:sz w:val="24"/>
          <w:szCs w:val="24"/>
        </w:rPr>
        <w:t xml:space="preserve"> between autonomy and alignment (Kniberg and Ivarsson, 2012). In the Dutch banking organization ING, all traditional departments were moved away, and the 3,500 employees headquartered in the company transformed into agile squads, enabling product development to be faster, more satisfied customers, and employees (Barton et al, 2018). And even those structural changes require a total overhaul of HR processes, including the performance management systems based on the examination of teams over individuals, and the compensation systems that would encourage teamwork over individual achievement, learning as well as achievement, and horizontal rather than vertical promotion. </w:t>
      </w:r>
    </w:p>
    <w:p w14:paraId="593F3E95" w14:textId="77777777"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Implementation of agile HR capabilities, how to HR agile application in global </w:t>
      </w:r>
      <w:proofErr w:type="spellStart"/>
      <w:r w:rsidRPr="00860FE0">
        <w:rPr>
          <w:rFonts w:ascii="Arial" w:hAnsi="Arial" w:cs="Arial"/>
          <w:sz w:val="24"/>
          <w:szCs w:val="24"/>
        </w:rPr>
        <w:t>organisations</w:t>
      </w:r>
      <w:proofErr w:type="spellEnd"/>
      <w:r w:rsidRPr="00860FE0">
        <w:rPr>
          <w:rFonts w:ascii="Arial" w:hAnsi="Arial" w:cs="Arial"/>
          <w:sz w:val="24"/>
          <w:szCs w:val="24"/>
        </w:rPr>
        <w:t>, challenges and obstacles in agile HR implementation Hurdles and challenges of agile in HR fertility and capability differences cultural preparedness, regulatory constraint, enterprise and enterprise HR leadership capabilities In comparison to the principles of agile (self-</w:t>
      </w:r>
      <w:proofErr w:type="spellStart"/>
      <w:r w:rsidRPr="00860FE0">
        <w:rPr>
          <w:rFonts w:ascii="Arial" w:hAnsi="Arial" w:cs="Arial"/>
          <w:sz w:val="24"/>
          <w:szCs w:val="24"/>
        </w:rPr>
        <w:t>organisation</w:t>
      </w:r>
      <w:proofErr w:type="spellEnd"/>
      <w:r w:rsidRPr="00860FE0">
        <w:rPr>
          <w:rFonts w:ascii="Arial" w:hAnsi="Arial" w:cs="Arial"/>
          <w:sz w:val="24"/>
          <w:szCs w:val="24"/>
        </w:rPr>
        <w:t xml:space="preserve">, distributed decision-making) the power distance dimension in Hofstede remains of high relevance as in the case of most Asian and Middle Eastern countries; the hierarchies are expected (Hofstede and Minkov, 2013). I have been exposed to both hierarchies and British flatter </w:t>
      </w:r>
      <w:proofErr w:type="spellStart"/>
      <w:r w:rsidRPr="00860FE0">
        <w:rPr>
          <w:rFonts w:ascii="Arial" w:hAnsi="Arial" w:cs="Arial"/>
          <w:sz w:val="24"/>
          <w:szCs w:val="24"/>
        </w:rPr>
        <w:t>organisations</w:t>
      </w:r>
      <w:proofErr w:type="spellEnd"/>
      <w:r w:rsidRPr="00860FE0">
        <w:rPr>
          <w:rFonts w:ascii="Arial" w:hAnsi="Arial" w:cs="Arial"/>
          <w:sz w:val="24"/>
          <w:szCs w:val="24"/>
        </w:rPr>
        <w:t xml:space="preserve"> in Bangladesh, and this has helped me </w:t>
      </w:r>
      <w:proofErr w:type="spellStart"/>
      <w:r w:rsidRPr="00860FE0">
        <w:rPr>
          <w:rFonts w:ascii="Arial" w:hAnsi="Arial" w:cs="Arial"/>
          <w:sz w:val="24"/>
          <w:szCs w:val="24"/>
        </w:rPr>
        <w:t>realise</w:t>
      </w:r>
      <w:proofErr w:type="spellEnd"/>
      <w:r w:rsidRPr="00860FE0">
        <w:rPr>
          <w:rFonts w:ascii="Arial" w:hAnsi="Arial" w:cs="Arial"/>
          <w:sz w:val="24"/>
          <w:szCs w:val="24"/>
        </w:rPr>
        <w:t xml:space="preserve"> the radical transformations that need to be made in the mindset. Agile practices should be adopted within complicated change management in a country where the power and seniority play a very significant role in the workplace dynamics, such as Bangladesh, where agile practices must be introduced in a manner that not only allows preserving dignity but also promoting participation (Khan and Panday, 2018). Additionally, </w:t>
      </w:r>
      <w:proofErr w:type="spellStart"/>
      <w:r w:rsidRPr="00860FE0">
        <w:rPr>
          <w:rFonts w:ascii="Arial" w:hAnsi="Arial" w:cs="Arial"/>
          <w:sz w:val="24"/>
          <w:szCs w:val="24"/>
        </w:rPr>
        <w:t>labour</w:t>
      </w:r>
      <w:proofErr w:type="spellEnd"/>
      <w:r w:rsidRPr="00860FE0">
        <w:rPr>
          <w:rFonts w:ascii="Arial" w:hAnsi="Arial" w:cs="Arial"/>
          <w:sz w:val="24"/>
          <w:szCs w:val="24"/>
        </w:rPr>
        <w:t xml:space="preserve"> laws in most European states like the presence of the works councils, and industry-wide collective bargaining agreements which restrict the </w:t>
      </w:r>
      <w:proofErr w:type="spellStart"/>
      <w:r w:rsidRPr="00860FE0">
        <w:rPr>
          <w:rFonts w:ascii="Arial" w:hAnsi="Arial" w:cs="Arial"/>
          <w:sz w:val="24"/>
          <w:szCs w:val="24"/>
        </w:rPr>
        <w:t>manoeuvre</w:t>
      </w:r>
      <w:proofErr w:type="spellEnd"/>
      <w:r w:rsidRPr="00860FE0">
        <w:rPr>
          <w:rFonts w:ascii="Arial" w:hAnsi="Arial" w:cs="Arial"/>
          <w:sz w:val="24"/>
          <w:szCs w:val="24"/>
        </w:rPr>
        <w:t xml:space="preserve"> space of </w:t>
      </w:r>
      <w:proofErr w:type="spellStart"/>
      <w:r w:rsidRPr="00860FE0">
        <w:rPr>
          <w:rFonts w:ascii="Arial" w:hAnsi="Arial" w:cs="Arial"/>
          <w:sz w:val="24"/>
          <w:szCs w:val="24"/>
        </w:rPr>
        <w:t>organisations</w:t>
      </w:r>
      <w:proofErr w:type="spellEnd"/>
      <w:r w:rsidRPr="00860FE0">
        <w:rPr>
          <w:rFonts w:ascii="Arial" w:hAnsi="Arial" w:cs="Arial"/>
          <w:sz w:val="24"/>
          <w:szCs w:val="24"/>
        </w:rPr>
        <w:t xml:space="preserve"> complicate agile changes (Arrowsmith and Parker 2013). Global agile transformations should be won with intricate methods that would adjust the implementation to the local context without losing the major postulates of responsiveness and empowerment.</w:t>
      </w:r>
    </w:p>
    <w:p w14:paraId="0DC20170" w14:textId="77777777" w:rsidR="0056574F" w:rsidRDefault="0056574F" w:rsidP="00995241">
      <w:pPr>
        <w:spacing w:line="360" w:lineRule="auto"/>
        <w:jc w:val="both"/>
        <w:rPr>
          <w:rFonts w:ascii="Arial" w:hAnsi="Arial" w:cs="Arial"/>
          <w:sz w:val="24"/>
          <w:szCs w:val="24"/>
        </w:rPr>
      </w:pPr>
    </w:p>
    <w:p w14:paraId="341DCDE3" w14:textId="22F0DFAF" w:rsidR="00995241" w:rsidRPr="00E15654" w:rsidRDefault="00995241" w:rsidP="00995241">
      <w:pPr>
        <w:spacing w:line="360" w:lineRule="auto"/>
        <w:jc w:val="both"/>
        <w:rPr>
          <w:rFonts w:ascii="Arial" w:hAnsi="Arial" w:cs="Arial"/>
          <w:b/>
          <w:bCs/>
          <w:sz w:val="24"/>
          <w:szCs w:val="24"/>
        </w:rPr>
      </w:pPr>
      <w:r w:rsidRPr="00E15654">
        <w:rPr>
          <w:rFonts w:ascii="Arial" w:hAnsi="Arial" w:cs="Arial"/>
          <w:b/>
          <w:bCs/>
          <w:sz w:val="24"/>
          <w:szCs w:val="24"/>
        </w:rPr>
        <w:lastRenderedPageBreak/>
        <w:t>3. GLOBAL VIRTUAL TEAMS: REDEFINING COLLABORATION ACROSS BOUNDARIES</w:t>
      </w:r>
    </w:p>
    <w:p w14:paraId="76705FFE" w14:textId="77777777"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C</w:t>
      </w:r>
      <w:r>
        <w:rPr>
          <w:rFonts w:ascii="Arial" w:hAnsi="Arial" w:cs="Arial"/>
          <w:sz w:val="24"/>
          <w:szCs w:val="24"/>
        </w:rPr>
        <w:t>onnected</w:t>
      </w:r>
      <w:r w:rsidRPr="00860FE0">
        <w:rPr>
          <w:rFonts w:ascii="Arial" w:hAnsi="Arial" w:cs="Arial"/>
          <w:sz w:val="24"/>
          <w:szCs w:val="24"/>
        </w:rPr>
        <w:t xml:space="preserve"> with the recently established trend of remote working which has been caused by the pandemic, the introduction of global virtual teams has transformed how </w:t>
      </w:r>
      <w:proofErr w:type="spellStart"/>
      <w:r w:rsidRPr="00860FE0">
        <w:rPr>
          <w:rFonts w:ascii="Arial" w:hAnsi="Arial" w:cs="Arial"/>
          <w:sz w:val="24"/>
          <w:szCs w:val="24"/>
        </w:rPr>
        <w:t>organisations</w:t>
      </w:r>
      <w:proofErr w:type="spellEnd"/>
      <w:r w:rsidRPr="00860FE0">
        <w:rPr>
          <w:rFonts w:ascii="Arial" w:hAnsi="Arial" w:cs="Arial"/>
          <w:sz w:val="24"/>
          <w:szCs w:val="24"/>
        </w:rPr>
        <w:t xml:space="preserve"> acquire and employ talent beyond the geographical boundaries. According to Gilson et al. (2015), virtual teams are becoming a permanent aspect of </w:t>
      </w:r>
      <w:proofErr w:type="spellStart"/>
      <w:r w:rsidRPr="00860FE0">
        <w:rPr>
          <w:rFonts w:ascii="Arial" w:hAnsi="Arial" w:cs="Arial"/>
          <w:sz w:val="24"/>
          <w:szCs w:val="24"/>
        </w:rPr>
        <w:t>organisational</w:t>
      </w:r>
      <w:proofErr w:type="spellEnd"/>
      <w:r w:rsidRPr="00860FE0">
        <w:rPr>
          <w:rFonts w:ascii="Arial" w:hAnsi="Arial" w:cs="Arial"/>
          <w:sz w:val="24"/>
          <w:szCs w:val="24"/>
        </w:rPr>
        <w:t xml:space="preserve"> life that causes new forms of leadership, new collaboration technologies and mechanisms of crossing cultures. Nevertheless, it is more than a remote work policy because it has become a multi-geo collaboration in exchange of talent and solutions with all the corners of the planet and in face of time zone, language and cultural dilemmas.</w:t>
      </w:r>
    </w:p>
    <w:p w14:paraId="501F8E01" w14:textId="305ED712" w:rsidR="00995241" w:rsidRPr="0037026C"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Innovative </w:t>
      </w:r>
      <w:proofErr w:type="spellStart"/>
      <w:r w:rsidRPr="00860FE0">
        <w:rPr>
          <w:rFonts w:ascii="Arial" w:hAnsi="Arial" w:cs="Arial"/>
          <w:sz w:val="24"/>
          <w:szCs w:val="24"/>
        </w:rPr>
        <w:t>organisations</w:t>
      </w:r>
      <w:proofErr w:type="spellEnd"/>
      <w:r w:rsidRPr="00860FE0">
        <w:rPr>
          <w:rFonts w:ascii="Arial" w:hAnsi="Arial" w:cs="Arial"/>
          <w:sz w:val="24"/>
          <w:szCs w:val="24"/>
        </w:rPr>
        <w:t xml:space="preserve"> are developing sophisticated models of virtual team performance that include both technological and personal dimensions of distributed cooperation. </w:t>
      </w:r>
      <w:proofErr w:type="spellStart"/>
      <w:r w:rsidRPr="00860FE0">
        <w:rPr>
          <w:rFonts w:ascii="Arial" w:hAnsi="Arial" w:cs="Arial"/>
          <w:sz w:val="24"/>
          <w:szCs w:val="24"/>
        </w:rPr>
        <w:t>Automattic</w:t>
      </w:r>
      <w:proofErr w:type="spellEnd"/>
      <w:r w:rsidRPr="00860FE0">
        <w:rPr>
          <w:rFonts w:ascii="Arial" w:hAnsi="Arial" w:cs="Arial"/>
          <w:sz w:val="24"/>
          <w:szCs w:val="24"/>
        </w:rPr>
        <w:t xml:space="preserve">, the company that owns WordPress, has more than 1,300 employees distributed in 77 countries and proves that the complex software development can be done without having to be co-located (Mullenweg and Berkun, 2020). In a bid to overcome the so-called disrupted informal interaction caused by remote work, SAP has launched so-called virtual coffee breaks and virtual water coolers to recreate informal interaction that is essential in developing relationships and sharing tacit knowledge between teams across geographical boundaries (Neeley, 2021). This work is informed by the fact that good virtual collaboration is not a miracle but something that must be planned, and not only in terms of formal processes, but also informal intercourse which must develop trust, </w:t>
      </w:r>
      <w:r w:rsidR="009363CC">
        <w:rPr>
          <w:rFonts w:ascii="Arial" w:hAnsi="Arial" w:cs="Arial"/>
          <w:sz w:val="24"/>
          <w:szCs w:val="24"/>
        </w:rPr>
        <w:t>conceptual</w:t>
      </w:r>
      <w:r w:rsidRPr="00860FE0">
        <w:rPr>
          <w:rFonts w:ascii="Arial" w:hAnsi="Arial" w:cs="Arial"/>
          <w:sz w:val="24"/>
          <w:szCs w:val="24"/>
        </w:rPr>
        <w:t xml:space="preserve"> </w:t>
      </w:r>
      <w:r w:rsidR="009363CC">
        <w:rPr>
          <w:rFonts w:ascii="Arial" w:hAnsi="Arial" w:cs="Arial"/>
          <w:sz w:val="24"/>
          <w:szCs w:val="24"/>
        </w:rPr>
        <w:t>protection</w:t>
      </w:r>
      <w:r w:rsidRPr="00860FE0">
        <w:rPr>
          <w:rFonts w:ascii="Arial" w:hAnsi="Arial" w:cs="Arial"/>
          <w:sz w:val="24"/>
          <w:szCs w:val="24"/>
        </w:rPr>
        <w:t xml:space="preserve"> and a </w:t>
      </w:r>
      <w:r w:rsidR="009363CC">
        <w:rPr>
          <w:rFonts w:ascii="Arial" w:hAnsi="Arial" w:cs="Arial"/>
          <w:sz w:val="24"/>
          <w:szCs w:val="24"/>
        </w:rPr>
        <w:t>feeling</w:t>
      </w:r>
      <w:r w:rsidRPr="00860FE0">
        <w:rPr>
          <w:rFonts w:ascii="Arial" w:hAnsi="Arial" w:cs="Arial"/>
          <w:sz w:val="24"/>
          <w:szCs w:val="24"/>
        </w:rPr>
        <w:t xml:space="preserve"> of common identity within </w:t>
      </w:r>
      <w:r w:rsidR="002102F1" w:rsidRPr="00860FE0">
        <w:rPr>
          <w:rFonts w:ascii="Arial" w:hAnsi="Arial" w:cs="Arial"/>
          <w:sz w:val="24"/>
          <w:szCs w:val="24"/>
        </w:rPr>
        <w:t>physical</w:t>
      </w:r>
      <w:r w:rsidRPr="00860FE0">
        <w:rPr>
          <w:rFonts w:ascii="Arial" w:hAnsi="Arial" w:cs="Arial"/>
          <w:sz w:val="24"/>
          <w:szCs w:val="24"/>
        </w:rPr>
        <w:t xml:space="preserve"> space.</w:t>
      </w:r>
    </w:p>
    <w:p w14:paraId="6597AA95" w14:textId="77777777"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The opportunity of global virtual team through IHRM implications extends beyond the technology provision to include complicated legal, cultural and operational consideration. When the team has members working in different jurisdictions, the employment law is infinitely complicated (Collings and </w:t>
      </w:r>
      <w:proofErr w:type="spellStart"/>
      <w:r w:rsidRPr="00860FE0">
        <w:rPr>
          <w:rFonts w:ascii="Arial" w:hAnsi="Arial" w:cs="Arial"/>
          <w:sz w:val="24"/>
          <w:szCs w:val="24"/>
        </w:rPr>
        <w:t>Isischei</w:t>
      </w:r>
      <w:proofErr w:type="spellEnd"/>
      <w:r w:rsidRPr="00860FE0">
        <w:rPr>
          <w:rFonts w:ascii="Arial" w:hAnsi="Arial" w:cs="Arial"/>
          <w:sz w:val="24"/>
          <w:szCs w:val="24"/>
        </w:rPr>
        <w:t xml:space="preserve">, 2018) and the variations in working hours, data privacy, and employment rights (or not) and numerous other factors arise. The cultural difference exist affect the communications styles and decision making process and relationship building, virtual teams have to address the digital divides of technological infrastructure and digital literacy across locales, although the UK team members have access </w:t>
      </w:r>
      <w:r w:rsidRPr="00860FE0">
        <w:rPr>
          <w:rFonts w:ascii="Arial" w:hAnsi="Arial" w:cs="Arial"/>
          <w:sz w:val="24"/>
          <w:szCs w:val="24"/>
        </w:rPr>
        <w:lastRenderedPageBreak/>
        <w:t>to high-speed internet and superior tools to support the collaboration process, team members in Bangladesh face constraints due to infrastructural factors where the quality of participation depends (Islam and Slack, 2016). Dealing with global virtual teams of such contrasting differences requires delicate skills that despite result in localization without jeopardizing an inclusive and fair range imperative.</w:t>
      </w:r>
    </w:p>
    <w:p w14:paraId="0677F764" w14:textId="77777777" w:rsidR="00995241" w:rsidRDefault="00995241" w:rsidP="00995241">
      <w:pPr>
        <w:spacing w:line="360" w:lineRule="auto"/>
        <w:jc w:val="both"/>
        <w:rPr>
          <w:rFonts w:ascii="Arial" w:hAnsi="Arial" w:cs="Arial"/>
          <w:sz w:val="24"/>
          <w:szCs w:val="24"/>
        </w:rPr>
      </w:pPr>
    </w:p>
    <w:p w14:paraId="435A61F6" w14:textId="77777777" w:rsidR="00995241" w:rsidRPr="00E15654" w:rsidRDefault="00995241" w:rsidP="00995241">
      <w:pPr>
        <w:spacing w:line="360" w:lineRule="auto"/>
        <w:jc w:val="both"/>
        <w:rPr>
          <w:rFonts w:ascii="Arial" w:hAnsi="Arial" w:cs="Arial"/>
          <w:b/>
          <w:bCs/>
          <w:sz w:val="24"/>
          <w:szCs w:val="24"/>
        </w:rPr>
      </w:pPr>
      <w:r w:rsidRPr="00E15654">
        <w:rPr>
          <w:rFonts w:ascii="Arial" w:hAnsi="Arial" w:cs="Arial"/>
          <w:b/>
          <w:bCs/>
          <w:sz w:val="24"/>
          <w:szCs w:val="24"/>
        </w:rPr>
        <w:t>4. PERSONAL COMPETENCY ASSESSMENT: NAVIGATING THE TRANSFORMED HR LANDSCAPE</w:t>
      </w:r>
    </w:p>
    <w:p w14:paraId="7D6D01C4" w14:textId="77777777"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As a student of Bangladeshi background, I will have to employ these competencies to be ready to the regulations of HRM Linguistic, Technological and strategic dimensions. This reflection will evaluate my current preparedness and the best development priorities in 5 essential areas.</w:t>
      </w:r>
    </w:p>
    <w:p w14:paraId="59E9AF84" w14:textId="77777777" w:rsidR="00995241" w:rsidRPr="0037026C" w:rsidRDefault="00995241" w:rsidP="00995241">
      <w:pPr>
        <w:spacing w:line="360" w:lineRule="auto"/>
        <w:jc w:val="both"/>
        <w:rPr>
          <w:rFonts w:ascii="Arial" w:hAnsi="Arial" w:cs="Arial"/>
          <w:sz w:val="24"/>
          <w:szCs w:val="24"/>
        </w:rPr>
      </w:pPr>
      <w:r w:rsidRPr="0037026C">
        <w:rPr>
          <w:rFonts w:ascii="Arial" w:hAnsi="Arial" w:cs="Arial"/>
          <w:sz w:val="24"/>
          <w:szCs w:val="24"/>
        </w:rPr>
        <w:t>Workforce Experience Design &amp; Systemic Thinking</w:t>
      </w:r>
    </w:p>
    <w:p w14:paraId="74FF49C5" w14:textId="416D9F96"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Bangladesh experience migration to the UK has fostered a sense of difference in experience. As a consultant in a university, I developed an international student journey map, which showed some difficulties not previously known to domestic students, and led to some recommendations to be implemented by the university. This was constructed out of the analytical background which was built based on my engineering background and it aided in the development of system thinking. Yet, I do not have any formal education in design thinking practices. In cases when it has to be mechanically broken down on paper, My mind stumbles and finds itself in a snowball of numbers and fictions, I ignore the emotional part, as well, having been trained in a highly hierarchical education system in Bangladesh, at times I am lost in the co-creative processes of the very fabric of experience design. To cope with it, I will complete the certification of Design Thinking of HR offered by IDEO. I will use those methods to a project that reinvents an onboarding process of international employees to </w:t>
      </w:r>
      <w:proofErr w:type="spellStart"/>
      <w:proofErr w:type="gramStart"/>
      <w:r w:rsidRPr="00860FE0">
        <w:rPr>
          <w:rFonts w:ascii="Arial" w:hAnsi="Arial" w:cs="Arial"/>
          <w:sz w:val="24"/>
          <w:szCs w:val="24"/>
        </w:rPr>
        <w:lastRenderedPageBreak/>
        <w:t>alocal</w:t>
      </w:r>
      <w:proofErr w:type="spellEnd"/>
      <w:proofErr w:type="gramEnd"/>
      <w:r w:rsidRPr="00860FE0">
        <w:rPr>
          <w:rFonts w:ascii="Arial" w:hAnsi="Arial" w:cs="Arial"/>
          <w:sz w:val="24"/>
          <w:szCs w:val="24"/>
        </w:rPr>
        <w:t xml:space="preserve"> company. I will also conduct ethnographic research of professionals of other </w:t>
      </w:r>
      <w:r>
        <w:rPr>
          <w:rFonts w:ascii="Arial" w:hAnsi="Arial" w:cs="Arial"/>
          <w:noProof/>
          <w:sz w:val="24"/>
          <w:szCs w:val="24"/>
        </w:rPr>
        <w:drawing>
          <wp:anchor distT="0" distB="0" distL="114300" distR="114300" simplePos="0" relativeHeight="251660288" behindDoc="1" locked="0" layoutInCell="1" allowOverlap="1" wp14:anchorId="173F252C" wp14:editId="6C81D27D">
            <wp:simplePos x="0" y="0"/>
            <wp:positionH relativeFrom="margin">
              <wp:align>center</wp:align>
            </wp:positionH>
            <wp:positionV relativeFrom="paragraph">
              <wp:posOffset>609600</wp:posOffset>
            </wp:positionV>
            <wp:extent cx="6424930" cy="3627120"/>
            <wp:effectExtent l="0" t="0" r="0" b="0"/>
            <wp:wrapTight wrapText="bothSides">
              <wp:wrapPolygon edited="0">
                <wp:start x="0" y="0"/>
                <wp:lineTo x="0" y="21441"/>
                <wp:lineTo x="21519" y="21441"/>
                <wp:lineTo x="21519" y="0"/>
                <wp:lineTo x="0" y="0"/>
              </wp:wrapPolygon>
            </wp:wrapTight>
            <wp:docPr id="168919725" name="Picture 4" descr="A diagram of a human resources experience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19725" name="Picture 4" descr="A diagram of a human resources experience map&#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6424930" cy="3627120"/>
                    </a:xfrm>
                    <a:prstGeom prst="rect">
                      <a:avLst/>
                    </a:prstGeom>
                  </pic:spPr>
                </pic:pic>
              </a:graphicData>
            </a:graphic>
            <wp14:sizeRelH relativeFrom="margin">
              <wp14:pctWidth>0</wp14:pctWidth>
            </wp14:sizeRelH>
            <wp14:sizeRelV relativeFrom="margin">
              <wp14:pctHeight>0</wp14:pctHeight>
            </wp14:sizeRelV>
          </wp:anchor>
        </w:drawing>
      </w:r>
      <w:r w:rsidRPr="00860FE0">
        <w:rPr>
          <w:rFonts w:ascii="Arial" w:hAnsi="Arial" w:cs="Arial"/>
          <w:sz w:val="24"/>
          <w:szCs w:val="24"/>
        </w:rPr>
        <w:t>culture backgrounds to establish multi-layered employee personas.</w:t>
      </w:r>
    </w:p>
    <w:p w14:paraId="00BDFD36" w14:textId="77777777" w:rsidR="00995241" w:rsidRDefault="00995241" w:rsidP="00995241">
      <w:pPr>
        <w:spacing w:line="360" w:lineRule="auto"/>
        <w:jc w:val="both"/>
        <w:rPr>
          <w:rFonts w:ascii="Arial" w:hAnsi="Arial" w:cs="Arial"/>
          <w:sz w:val="24"/>
          <w:szCs w:val="24"/>
        </w:rPr>
      </w:pPr>
      <w:r>
        <w:rPr>
          <w:rFonts w:ascii="Arial" w:hAnsi="Arial" w:cs="Arial"/>
          <w:sz w:val="24"/>
          <w:szCs w:val="24"/>
        </w:rPr>
        <w:t xml:space="preserve">Source: </w:t>
      </w:r>
      <w:r w:rsidRPr="00D80CF2">
        <w:rPr>
          <w:rFonts w:ascii="Arial" w:hAnsi="Arial" w:cs="Arial"/>
          <w:sz w:val="24"/>
          <w:szCs w:val="24"/>
        </w:rPr>
        <w:t>Using Experience Maps to Accelerate Development (The Talent Strategy Group, 2021)</w:t>
      </w:r>
    </w:p>
    <w:p w14:paraId="13A7B0CD" w14:textId="77777777" w:rsidR="00995241" w:rsidRDefault="00995241" w:rsidP="00995241">
      <w:pPr>
        <w:spacing w:line="360" w:lineRule="auto"/>
        <w:jc w:val="both"/>
        <w:rPr>
          <w:rFonts w:ascii="Arial" w:hAnsi="Arial" w:cs="Arial"/>
          <w:sz w:val="24"/>
          <w:szCs w:val="24"/>
        </w:rPr>
      </w:pPr>
    </w:p>
    <w:p w14:paraId="23365416" w14:textId="77777777" w:rsidR="00995241" w:rsidRPr="0037026C" w:rsidRDefault="00995241" w:rsidP="00995241">
      <w:pPr>
        <w:spacing w:line="360" w:lineRule="auto"/>
        <w:jc w:val="both"/>
        <w:rPr>
          <w:rFonts w:ascii="Arial" w:hAnsi="Arial" w:cs="Arial"/>
          <w:sz w:val="24"/>
          <w:szCs w:val="24"/>
        </w:rPr>
      </w:pPr>
      <w:r w:rsidRPr="0037026C">
        <w:rPr>
          <w:rFonts w:ascii="Arial" w:hAnsi="Arial" w:cs="Arial"/>
          <w:sz w:val="24"/>
          <w:szCs w:val="24"/>
        </w:rPr>
        <w:t>Agile Leadership and Adaptive Management</w:t>
      </w:r>
    </w:p>
    <w:p w14:paraId="76448407" w14:textId="77777777"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Adaptability is one of my most outstanding strengths and it comes as the result of changing one educational system into another. I applied Scrum to guide an agile project on students and remained on track with the development even when the requirements were constantly changing. P1) Culture Clash: Helping Others to be First -based on my experience of feeling confused by trying to negotiate between the Bangladeshi collectivist and the British individualist culture over the years, I gained insights into the importance of appearing to yield to the team unity but being aware of how to know the thin line between the team cognizance and the individual freedom. Conversely, my style of leadership could be directive behavior with hierarchy. I find it hard to enjoy the kind of radical transparency agile demands, </w:t>
      </w:r>
      <w:r w:rsidRPr="00860FE0">
        <w:rPr>
          <w:rFonts w:ascii="Arial" w:hAnsi="Arial" w:cs="Arial"/>
          <w:sz w:val="24"/>
          <w:szCs w:val="24"/>
        </w:rPr>
        <w:lastRenderedPageBreak/>
        <w:t>particularly in the context of a separation between thoughts and feelings when proposing a best solution and not being afraid of a reprisal on the part of the team when they receive the criticism. Within my action plan, I will gain a Scrum Master certification with some practice by volunteering to assist in agile transformation in a local charity. I will also be involved in a community of practices of agile coaching to listen to the experience of some experienced practitioners on the issues of scaling.</w:t>
      </w:r>
    </w:p>
    <w:p w14:paraId="3D89F34C" w14:textId="77777777" w:rsidR="00995241" w:rsidRDefault="00995241" w:rsidP="00995241">
      <w:pPr>
        <w:spacing w:line="360" w:lineRule="auto"/>
        <w:jc w:val="both"/>
        <w:rPr>
          <w:rFonts w:ascii="Arial" w:hAnsi="Arial" w:cs="Arial"/>
          <w:sz w:val="24"/>
          <w:szCs w:val="24"/>
        </w:rPr>
      </w:pPr>
    </w:p>
    <w:p w14:paraId="7047784F" w14:textId="77777777" w:rsidR="00995241" w:rsidRPr="0037026C" w:rsidRDefault="00995241" w:rsidP="00995241">
      <w:pPr>
        <w:spacing w:line="360" w:lineRule="auto"/>
        <w:jc w:val="both"/>
        <w:rPr>
          <w:rFonts w:ascii="Arial" w:hAnsi="Arial" w:cs="Arial"/>
          <w:sz w:val="24"/>
          <w:szCs w:val="24"/>
        </w:rPr>
      </w:pPr>
      <w:r w:rsidRPr="0037026C">
        <w:rPr>
          <w:rFonts w:ascii="Arial" w:hAnsi="Arial" w:cs="Arial"/>
          <w:sz w:val="24"/>
          <w:szCs w:val="24"/>
        </w:rPr>
        <w:t>Virtual Collaboration and Digital Communication</w:t>
      </w:r>
    </w:p>
    <w:p w14:paraId="00DF5667" w14:textId="77777777" w:rsidR="00995241" w:rsidRDefault="00995241" w:rsidP="00995241">
      <w:pPr>
        <w:spacing w:line="360" w:lineRule="auto"/>
        <w:jc w:val="both"/>
        <w:rPr>
          <w:rFonts w:ascii="Arial" w:hAnsi="Arial" w:cs="Arial"/>
          <w:sz w:val="24"/>
          <w:szCs w:val="24"/>
        </w:rPr>
      </w:pPr>
      <w:r w:rsidRPr="00CB6961">
        <w:rPr>
          <w:rFonts w:ascii="Arial" w:hAnsi="Arial" w:cs="Arial"/>
          <w:sz w:val="24"/>
          <w:szCs w:val="24"/>
        </w:rPr>
        <w:t>As an international student, I am now very skillful in working online and internationally and across countries and at times. It had a cross-continental team (Asia, Europe, and North America) that worked across various continents virtually and coordinated a research project by establishing an effective communication channel. Cross language communication skills because I am a bilingual (Bengali and English) person. Still, I overemphasize the written word and am a bit too stiff in my style, a Bangladeshi business autocrat, who may be uncomfortable in the more relaxed virtual offices of the west. I will be undertaking an international virtual internship, as well as training to communicate differently to become more versatile. I shall also take LinkedIn Learning course on Leading Virtual Teams and test the new collaborative technology.</w:t>
      </w:r>
    </w:p>
    <w:p w14:paraId="2521B1EC" w14:textId="77777777" w:rsidR="0056574F" w:rsidRDefault="0056574F" w:rsidP="00995241">
      <w:pPr>
        <w:spacing w:line="360" w:lineRule="auto"/>
        <w:jc w:val="both"/>
        <w:rPr>
          <w:rFonts w:ascii="Arial" w:hAnsi="Arial" w:cs="Arial"/>
          <w:sz w:val="24"/>
          <w:szCs w:val="24"/>
        </w:rPr>
      </w:pPr>
    </w:p>
    <w:p w14:paraId="5F8AE8FF" w14:textId="1260C2E6" w:rsidR="00995241" w:rsidRPr="0037026C" w:rsidRDefault="00995241" w:rsidP="00995241">
      <w:pPr>
        <w:spacing w:line="360" w:lineRule="auto"/>
        <w:jc w:val="both"/>
        <w:rPr>
          <w:rFonts w:ascii="Arial" w:hAnsi="Arial" w:cs="Arial"/>
          <w:sz w:val="24"/>
          <w:szCs w:val="24"/>
        </w:rPr>
      </w:pPr>
      <w:r w:rsidRPr="0037026C">
        <w:rPr>
          <w:rFonts w:ascii="Arial" w:hAnsi="Arial" w:cs="Arial"/>
          <w:sz w:val="24"/>
          <w:szCs w:val="24"/>
        </w:rPr>
        <w:t>Cultural Intelligence and Global Mindset</w:t>
      </w:r>
    </w:p>
    <w:p w14:paraId="6F19774E" w14:textId="77777777" w:rsidR="00995241" w:rsidRDefault="00995241" w:rsidP="00995241">
      <w:pPr>
        <w:spacing w:line="360" w:lineRule="auto"/>
        <w:jc w:val="both"/>
        <w:rPr>
          <w:rFonts w:ascii="Arial" w:hAnsi="Arial" w:cs="Arial"/>
          <w:sz w:val="24"/>
          <w:szCs w:val="24"/>
        </w:rPr>
      </w:pPr>
      <w:r w:rsidRPr="00CB6961">
        <w:rPr>
          <w:rFonts w:ascii="Arial" w:hAnsi="Arial" w:cs="Arial"/>
          <w:sz w:val="24"/>
          <w:szCs w:val="24"/>
        </w:rPr>
        <w:t xml:space="preserve">Being a person who has traversed the South Asian and the Western cultures in life, I realize the subtlety in cultures. I have helped to solve the conflicts within heterogeneous project teams since I could identify the differences in values. That is an advantage, however, my cultural exposure is pegged on the two contexts, and it forms some possible blind spots. Similarly to them I am also attempting to make up my mind only where there is the necessity of being performative, blunt or direct and where there is not, a sense which is bred out of an innate culture grounded value and harmony. I will also undertake a global leadership exchange </w:t>
      </w:r>
      <w:proofErr w:type="spellStart"/>
      <w:r w:rsidRPr="00CB6961">
        <w:rPr>
          <w:rFonts w:ascii="Arial" w:hAnsi="Arial" w:cs="Arial"/>
          <w:sz w:val="24"/>
          <w:szCs w:val="24"/>
        </w:rPr>
        <w:t>programme</w:t>
      </w:r>
      <w:proofErr w:type="spellEnd"/>
      <w:r w:rsidRPr="00CB6961">
        <w:rPr>
          <w:rFonts w:ascii="Arial" w:hAnsi="Arial" w:cs="Arial"/>
          <w:sz w:val="24"/>
          <w:szCs w:val="24"/>
        </w:rPr>
        <w:t xml:space="preserve"> to gain broader experience in the world by seeking an </w:t>
      </w:r>
      <w:proofErr w:type="spellStart"/>
      <w:r w:rsidRPr="00CB6961">
        <w:rPr>
          <w:rFonts w:ascii="Arial" w:hAnsi="Arial" w:cs="Arial"/>
          <w:sz w:val="24"/>
          <w:szCs w:val="24"/>
        </w:rPr>
        <w:t>organisation</w:t>
      </w:r>
      <w:proofErr w:type="spellEnd"/>
      <w:r w:rsidRPr="00CB6961">
        <w:rPr>
          <w:rFonts w:ascii="Arial" w:hAnsi="Arial" w:cs="Arial"/>
          <w:sz w:val="24"/>
          <w:szCs w:val="24"/>
        </w:rPr>
        <w:t xml:space="preserve"> in </w:t>
      </w:r>
      <w:r w:rsidRPr="00CB6961">
        <w:rPr>
          <w:rFonts w:ascii="Arial" w:hAnsi="Arial" w:cs="Arial"/>
          <w:sz w:val="24"/>
          <w:szCs w:val="24"/>
        </w:rPr>
        <w:lastRenderedPageBreak/>
        <w:t xml:space="preserve">either Africa or Latin America. This will also involve the Cultural Intelligence built and development </w:t>
      </w:r>
      <w:proofErr w:type="spellStart"/>
      <w:r w:rsidRPr="00CB6961">
        <w:rPr>
          <w:rFonts w:ascii="Arial" w:hAnsi="Arial" w:cs="Arial"/>
          <w:sz w:val="24"/>
          <w:szCs w:val="24"/>
        </w:rPr>
        <w:t>programme</w:t>
      </w:r>
      <w:proofErr w:type="spellEnd"/>
      <w:r w:rsidRPr="00CB6961">
        <w:rPr>
          <w:rFonts w:ascii="Arial" w:hAnsi="Arial" w:cs="Arial"/>
          <w:sz w:val="24"/>
          <w:szCs w:val="24"/>
        </w:rPr>
        <w:t xml:space="preserve"> completion to target the gap in certain capabilities.</w:t>
      </w:r>
    </w:p>
    <w:p w14:paraId="3F02ECD0" w14:textId="77777777" w:rsidR="00995241" w:rsidRPr="0037026C" w:rsidRDefault="00995241" w:rsidP="00995241">
      <w:pPr>
        <w:spacing w:line="360" w:lineRule="auto"/>
        <w:jc w:val="both"/>
        <w:rPr>
          <w:rFonts w:ascii="Arial" w:hAnsi="Arial" w:cs="Arial"/>
          <w:sz w:val="24"/>
          <w:szCs w:val="24"/>
        </w:rPr>
      </w:pPr>
    </w:p>
    <w:p w14:paraId="6E43BC9B" w14:textId="77777777" w:rsidR="00995241" w:rsidRPr="0037026C" w:rsidRDefault="00995241" w:rsidP="00995241">
      <w:pPr>
        <w:spacing w:line="360" w:lineRule="auto"/>
        <w:jc w:val="both"/>
        <w:rPr>
          <w:rFonts w:ascii="Arial" w:hAnsi="Arial" w:cs="Arial"/>
          <w:sz w:val="24"/>
          <w:szCs w:val="24"/>
        </w:rPr>
      </w:pPr>
      <w:r w:rsidRPr="0037026C">
        <w:rPr>
          <w:rFonts w:ascii="Arial" w:hAnsi="Arial" w:cs="Arial"/>
          <w:sz w:val="24"/>
          <w:szCs w:val="24"/>
        </w:rPr>
        <w:t>Strategic Business Acumen</w:t>
      </w:r>
    </w:p>
    <w:p w14:paraId="37A7665E" w14:textId="77777777" w:rsidR="00995241" w:rsidRDefault="00995241" w:rsidP="00995241">
      <w:pPr>
        <w:spacing w:line="360" w:lineRule="auto"/>
        <w:jc w:val="both"/>
        <w:rPr>
          <w:rFonts w:ascii="Arial" w:hAnsi="Arial" w:cs="Arial"/>
          <w:sz w:val="24"/>
          <w:szCs w:val="24"/>
        </w:rPr>
      </w:pPr>
      <w:r w:rsidRPr="00CB6961">
        <w:rPr>
          <w:rFonts w:ascii="Arial" w:hAnsi="Arial" w:cs="Arial"/>
          <w:sz w:val="24"/>
          <w:szCs w:val="24"/>
        </w:rPr>
        <w:t>My engineering and business education provides me with good analytical skills in terms of business models because of the interdisciplinary nature of my education. When I was an intern at a UK consulting firm, I was drafting strategic HR transformation recommendations to ensure that people’s initiatives were aligned with business outcomes; I was also commented on my commercial awareness. It is also essential that I have a shallow experience with decisions taken by senior leadership; thus, leaving me little opportunity to learn about and negotiate strategic trade-offs. And being accustomed to the developing economy, I am not exposed to the mature market. To fill this gap, I intend to use a professional association to have a senior HR executive serve as my mentor. I will also undergo a business strategy simulation program to get to practice and to perfect strategic thinking under the tutelage of real-life relevant context with tangible outcome measures.</w:t>
      </w:r>
    </w:p>
    <w:p w14:paraId="2C0EF8E5" w14:textId="77777777" w:rsidR="00995241" w:rsidRDefault="00995241" w:rsidP="00995241">
      <w:pPr>
        <w:spacing w:line="360" w:lineRule="auto"/>
        <w:jc w:val="both"/>
        <w:rPr>
          <w:rFonts w:ascii="Arial" w:hAnsi="Arial" w:cs="Arial"/>
          <w:sz w:val="24"/>
          <w:szCs w:val="24"/>
        </w:rPr>
      </w:pPr>
    </w:p>
    <w:p w14:paraId="556F2D60" w14:textId="77777777" w:rsidR="00995241" w:rsidRDefault="00995241" w:rsidP="00995241">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4B74E684" wp14:editId="5EBC3F60">
            <wp:extent cx="5814060" cy="4462145"/>
            <wp:effectExtent l="0" t="0" r="0" b="0"/>
            <wp:docPr id="2127962530" name="Picture 5" descr="A person sitting in a chair with a chair and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962530" name="Picture 5" descr="A person sitting in a chair with a chair and a dia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814060" cy="4462145"/>
                    </a:xfrm>
                    <a:prstGeom prst="rect">
                      <a:avLst/>
                    </a:prstGeom>
                  </pic:spPr>
                </pic:pic>
              </a:graphicData>
            </a:graphic>
          </wp:inline>
        </w:drawing>
      </w:r>
    </w:p>
    <w:p w14:paraId="252CA0F5" w14:textId="77777777" w:rsidR="00995241" w:rsidRDefault="00995241" w:rsidP="00995241">
      <w:pPr>
        <w:spacing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 xml:space="preserve">Source: </w:t>
      </w:r>
      <w:r w:rsidRPr="00D80CF2">
        <w:rPr>
          <w:rFonts w:ascii="Arial" w:hAnsi="Arial" w:cs="Arial"/>
          <w:sz w:val="24"/>
          <w:szCs w:val="24"/>
        </w:rPr>
        <w:t>HR Dashboard Template (</w:t>
      </w:r>
      <w:proofErr w:type="spellStart"/>
      <w:r w:rsidRPr="00D80CF2">
        <w:rPr>
          <w:rFonts w:ascii="Arial" w:hAnsi="Arial" w:cs="Arial"/>
          <w:sz w:val="24"/>
          <w:szCs w:val="24"/>
        </w:rPr>
        <w:t>Venngage</w:t>
      </w:r>
      <w:proofErr w:type="spellEnd"/>
      <w:r w:rsidRPr="00D80CF2">
        <w:rPr>
          <w:rFonts w:ascii="Arial" w:hAnsi="Arial" w:cs="Arial"/>
          <w:sz w:val="24"/>
          <w:szCs w:val="24"/>
        </w:rPr>
        <w:t>, 2023)</w:t>
      </w:r>
    </w:p>
    <w:p w14:paraId="3C278BC1" w14:textId="77777777" w:rsidR="00995241" w:rsidRDefault="00995241" w:rsidP="00995241">
      <w:pPr>
        <w:spacing w:line="360" w:lineRule="auto"/>
        <w:jc w:val="both"/>
        <w:rPr>
          <w:rFonts w:ascii="Arial" w:hAnsi="Arial" w:cs="Arial"/>
          <w:sz w:val="24"/>
          <w:szCs w:val="24"/>
        </w:rPr>
      </w:pPr>
      <w:r>
        <w:rPr>
          <w:rFonts w:ascii="Arial" w:hAnsi="Arial" w:cs="Arial"/>
          <w:sz w:val="24"/>
          <w:szCs w:val="24"/>
        </w:rPr>
        <w:tab/>
      </w:r>
    </w:p>
    <w:p w14:paraId="54294028" w14:textId="77777777" w:rsidR="00995241" w:rsidRPr="00E15654" w:rsidRDefault="00995241" w:rsidP="00995241">
      <w:pPr>
        <w:spacing w:line="360" w:lineRule="auto"/>
        <w:jc w:val="both"/>
        <w:rPr>
          <w:rFonts w:ascii="Arial" w:hAnsi="Arial" w:cs="Arial"/>
          <w:b/>
          <w:bCs/>
          <w:sz w:val="24"/>
          <w:szCs w:val="24"/>
        </w:rPr>
      </w:pPr>
      <w:r w:rsidRPr="00E15654">
        <w:rPr>
          <w:rFonts w:ascii="Arial" w:hAnsi="Arial" w:cs="Arial"/>
          <w:b/>
          <w:bCs/>
          <w:sz w:val="24"/>
          <w:szCs w:val="24"/>
        </w:rPr>
        <w:t>CONCLUSION</w:t>
      </w:r>
    </w:p>
    <w:p w14:paraId="4D8F1E97" w14:textId="77777777"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The shifts in HRM being transformed into a staff role and then a strategic donor is reflective of a bigger </w:t>
      </w:r>
      <w:proofErr w:type="spellStart"/>
      <w:r w:rsidRPr="00860FE0">
        <w:rPr>
          <w:rFonts w:ascii="Arial" w:hAnsi="Arial" w:cs="Arial"/>
          <w:sz w:val="24"/>
          <w:szCs w:val="24"/>
        </w:rPr>
        <w:t>organisational</w:t>
      </w:r>
      <w:proofErr w:type="spellEnd"/>
      <w:r w:rsidRPr="00860FE0">
        <w:rPr>
          <w:rFonts w:ascii="Arial" w:hAnsi="Arial" w:cs="Arial"/>
          <w:sz w:val="24"/>
          <w:szCs w:val="24"/>
        </w:rPr>
        <w:t xml:space="preserve"> shift towards employee-focus, agility and global integration. The landscape of this nature demands the HR practitioners to be less of administrators and more of experienced architects and change agents who balance technology with humans. </w:t>
      </w:r>
    </w:p>
    <w:p w14:paraId="06955B74" w14:textId="77777777" w:rsidR="00995241" w:rsidRDefault="00995241" w:rsidP="00995241">
      <w:pPr>
        <w:spacing w:line="360" w:lineRule="auto"/>
        <w:jc w:val="both"/>
        <w:rPr>
          <w:rFonts w:ascii="Arial" w:hAnsi="Arial" w:cs="Arial"/>
          <w:sz w:val="24"/>
          <w:szCs w:val="24"/>
        </w:rPr>
      </w:pPr>
      <w:r w:rsidRPr="00860FE0">
        <w:rPr>
          <w:rFonts w:ascii="Arial" w:hAnsi="Arial" w:cs="Arial"/>
          <w:sz w:val="24"/>
          <w:szCs w:val="24"/>
        </w:rPr>
        <w:t xml:space="preserve">The transformations are very much as compared to the previous one and that the process of my migration in Bangladesh to the UK has provided me with an insight into changes. The greatest benefit of international students in a globalized job market is their cross-cultural experience. To be outstanding, one must take specific steps towards developing new skills and eliminate cultural blind spots. </w:t>
      </w:r>
    </w:p>
    <w:p w14:paraId="2AE22764" w14:textId="77777777" w:rsidR="00995241" w:rsidRPr="00674B17" w:rsidRDefault="00995241" w:rsidP="00995241">
      <w:pPr>
        <w:spacing w:line="360" w:lineRule="auto"/>
        <w:jc w:val="both"/>
        <w:rPr>
          <w:rFonts w:ascii="Arial" w:hAnsi="Arial" w:cs="Arial"/>
          <w:b/>
          <w:bCs/>
          <w:sz w:val="24"/>
          <w:szCs w:val="24"/>
        </w:rPr>
      </w:pPr>
      <w:r w:rsidRPr="00860FE0">
        <w:rPr>
          <w:rFonts w:ascii="Arial" w:hAnsi="Arial" w:cs="Arial"/>
          <w:sz w:val="24"/>
          <w:szCs w:val="24"/>
        </w:rPr>
        <w:lastRenderedPageBreak/>
        <w:t xml:space="preserve">Future HR is the one that will be driven by the culturally fluent but also strategically sensitive ones. Having the advantage of our differences of thinking, as well as creating new abilities in a conscious manner, we are ready to build human-focused, nimble and agile </w:t>
      </w:r>
      <w:proofErr w:type="spellStart"/>
      <w:r w:rsidRPr="00860FE0">
        <w:rPr>
          <w:rFonts w:ascii="Arial" w:hAnsi="Arial" w:cs="Arial"/>
          <w:sz w:val="24"/>
          <w:szCs w:val="24"/>
        </w:rPr>
        <w:t>organisations</w:t>
      </w:r>
      <w:proofErr w:type="spellEnd"/>
      <w:r w:rsidRPr="00860FE0">
        <w:rPr>
          <w:rFonts w:ascii="Arial" w:hAnsi="Arial" w:cs="Arial"/>
          <w:sz w:val="24"/>
          <w:szCs w:val="24"/>
        </w:rPr>
        <w:t>. Respect for human dignity, coupled with the ability to offer business value, is what makes this approach to a long-term success in the world that is rapidly transforming.</w:t>
      </w:r>
    </w:p>
    <w:p w14:paraId="410DEE49" w14:textId="77777777" w:rsidR="00995241" w:rsidRDefault="00995241" w:rsidP="00995241">
      <w:pPr>
        <w:rPr>
          <w:rFonts w:ascii="Arial" w:hAnsi="Arial" w:cs="Arial"/>
          <w:b/>
          <w:bCs/>
          <w:sz w:val="24"/>
          <w:szCs w:val="24"/>
        </w:rPr>
      </w:pPr>
    </w:p>
    <w:p w14:paraId="4E7B40E2" w14:textId="77777777" w:rsidR="00995241" w:rsidRPr="00E15654" w:rsidRDefault="00995241" w:rsidP="00995241">
      <w:pPr>
        <w:rPr>
          <w:rFonts w:ascii="Arial" w:hAnsi="Arial" w:cs="Arial"/>
          <w:b/>
          <w:bCs/>
          <w:sz w:val="24"/>
          <w:szCs w:val="24"/>
        </w:rPr>
      </w:pPr>
      <w:r w:rsidRPr="00E15654">
        <w:rPr>
          <w:rFonts w:ascii="Arial" w:hAnsi="Arial" w:cs="Arial"/>
          <w:b/>
          <w:bCs/>
          <w:sz w:val="24"/>
          <w:szCs w:val="24"/>
        </w:rPr>
        <w:t>REFERENCES</w:t>
      </w:r>
    </w:p>
    <w:p w14:paraId="6974FA30" w14:textId="77777777" w:rsidR="00995241" w:rsidRPr="00E15654" w:rsidRDefault="00995241" w:rsidP="00995241">
      <w:pPr>
        <w:rPr>
          <w:rFonts w:ascii="Arial" w:hAnsi="Arial" w:cs="Arial"/>
          <w:sz w:val="24"/>
          <w:szCs w:val="24"/>
        </w:rPr>
      </w:pPr>
      <w:r w:rsidRPr="00E15654">
        <w:rPr>
          <w:rFonts w:ascii="Arial" w:hAnsi="Arial" w:cs="Arial"/>
          <w:sz w:val="24"/>
          <w:szCs w:val="24"/>
        </w:rPr>
        <w:t>Ahmed, S. and Islam, N. (2019) 'Employee engagement in Bangladesh: Cultural dimensions and organizational practices', </w:t>
      </w:r>
      <w:r w:rsidRPr="00E15654">
        <w:rPr>
          <w:rFonts w:ascii="Arial" w:hAnsi="Arial" w:cs="Arial"/>
          <w:i/>
          <w:iCs/>
          <w:sz w:val="24"/>
          <w:szCs w:val="24"/>
        </w:rPr>
        <w:t>South Asian Journal of Human Resources Management</w:t>
      </w:r>
      <w:r w:rsidRPr="00E15654">
        <w:rPr>
          <w:rFonts w:ascii="Arial" w:hAnsi="Arial" w:cs="Arial"/>
          <w:sz w:val="24"/>
          <w:szCs w:val="24"/>
        </w:rPr>
        <w:t>, 6(2), pp. 202-220.</w:t>
      </w:r>
    </w:p>
    <w:p w14:paraId="47AEE658" w14:textId="77777777" w:rsidR="00995241" w:rsidRDefault="00995241" w:rsidP="00995241">
      <w:pPr>
        <w:rPr>
          <w:rFonts w:ascii="Arial" w:hAnsi="Arial" w:cs="Arial"/>
          <w:sz w:val="24"/>
          <w:szCs w:val="24"/>
        </w:rPr>
      </w:pPr>
      <w:r w:rsidRPr="000B6F92">
        <w:rPr>
          <w:rFonts w:ascii="Arial" w:hAnsi="Arial" w:cs="Arial"/>
          <w:sz w:val="24"/>
          <w:szCs w:val="24"/>
        </w:rPr>
        <w:t>AIHR. (2023) </w:t>
      </w:r>
      <w:r w:rsidRPr="000B6F92">
        <w:rPr>
          <w:rFonts w:ascii="Arial" w:hAnsi="Arial" w:cs="Arial"/>
          <w:i/>
          <w:iCs/>
          <w:sz w:val="24"/>
          <w:szCs w:val="24"/>
        </w:rPr>
        <w:t>Experience-Driven HR Service Delivery Model: The Way Forward</w:t>
      </w:r>
      <w:r w:rsidRPr="000B6F92">
        <w:rPr>
          <w:rFonts w:ascii="Arial" w:hAnsi="Arial" w:cs="Arial"/>
          <w:sz w:val="24"/>
          <w:szCs w:val="24"/>
        </w:rPr>
        <w:t>. Available at: </w:t>
      </w:r>
      <w:hyperlink r:id="rId11" w:history="1">
        <w:r w:rsidRPr="000B6F92">
          <w:rPr>
            <w:rStyle w:val="Hyperlink"/>
            <w:rFonts w:ascii="Arial" w:hAnsi="Arial" w:cs="Arial"/>
            <w:sz w:val="24"/>
            <w:szCs w:val="24"/>
          </w:rPr>
          <w:t>https://www.aihr.com/blog/hr-service-model/</w:t>
        </w:r>
      </w:hyperlink>
      <w:r w:rsidRPr="000B6F92">
        <w:rPr>
          <w:rFonts w:ascii="Arial" w:hAnsi="Arial" w:cs="Arial"/>
          <w:sz w:val="24"/>
          <w:szCs w:val="24"/>
        </w:rPr>
        <w:t> (Accessed: 16 October 2025).</w:t>
      </w:r>
    </w:p>
    <w:p w14:paraId="1BC78ED2" w14:textId="77777777" w:rsidR="00995241" w:rsidRPr="00E15654" w:rsidRDefault="00995241" w:rsidP="00995241">
      <w:pPr>
        <w:rPr>
          <w:rFonts w:ascii="Arial" w:hAnsi="Arial" w:cs="Arial"/>
          <w:sz w:val="24"/>
          <w:szCs w:val="24"/>
        </w:rPr>
      </w:pPr>
      <w:r w:rsidRPr="00E15654">
        <w:rPr>
          <w:rFonts w:ascii="Arial" w:hAnsi="Arial" w:cs="Arial"/>
          <w:sz w:val="24"/>
          <w:szCs w:val="24"/>
        </w:rPr>
        <w:t>Arrowsmith, J. and Parker, J. (2013) 'The meaning of employee engagement for the values and roles of the HRM function', </w:t>
      </w:r>
      <w:r w:rsidRPr="00E15654">
        <w:rPr>
          <w:rFonts w:ascii="Arial" w:hAnsi="Arial" w:cs="Arial"/>
          <w:i/>
          <w:iCs/>
          <w:sz w:val="24"/>
          <w:szCs w:val="24"/>
        </w:rPr>
        <w:t>The International Journal of Human Resource Management</w:t>
      </w:r>
      <w:r w:rsidRPr="00E15654">
        <w:rPr>
          <w:rFonts w:ascii="Arial" w:hAnsi="Arial" w:cs="Arial"/>
          <w:sz w:val="24"/>
          <w:szCs w:val="24"/>
        </w:rPr>
        <w:t>, 24(14), pp. 2692-2712.</w:t>
      </w:r>
    </w:p>
    <w:p w14:paraId="51BEC164" w14:textId="77777777" w:rsidR="00995241" w:rsidRPr="009F1A81" w:rsidRDefault="00995241" w:rsidP="00995241">
      <w:pPr>
        <w:rPr>
          <w:rFonts w:ascii="Arial" w:hAnsi="Arial" w:cs="Arial"/>
          <w:sz w:val="24"/>
          <w:szCs w:val="24"/>
        </w:rPr>
      </w:pPr>
      <w:proofErr w:type="spellStart"/>
      <w:r w:rsidRPr="00F84DE4">
        <w:rPr>
          <w:rFonts w:ascii="Arial" w:hAnsi="Arial" w:cs="Arial"/>
          <w:sz w:val="24"/>
          <w:szCs w:val="24"/>
        </w:rPr>
        <w:t>Artofit</w:t>
      </w:r>
      <w:proofErr w:type="spellEnd"/>
      <w:r w:rsidRPr="00F84DE4">
        <w:rPr>
          <w:rFonts w:ascii="Arial" w:hAnsi="Arial" w:cs="Arial"/>
          <w:sz w:val="24"/>
          <w:szCs w:val="24"/>
        </w:rPr>
        <w:t xml:space="preserve">. (2022) </w:t>
      </w:r>
      <w:r w:rsidRPr="00F84DE4">
        <w:rPr>
          <w:rFonts w:ascii="Arial" w:hAnsi="Arial" w:cs="Arial"/>
          <w:i/>
          <w:iCs/>
          <w:sz w:val="24"/>
          <w:szCs w:val="24"/>
        </w:rPr>
        <w:t>Employee Experience Design: Methodology &amp; Framework</w:t>
      </w:r>
      <w:r w:rsidRPr="00F84DE4">
        <w:rPr>
          <w:rFonts w:ascii="Arial" w:hAnsi="Arial" w:cs="Arial"/>
          <w:sz w:val="24"/>
          <w:szCs w:val="24"/>
        </w:rPr>
        <w:t xml:space="preserve">. Available at: </w:t>
      </w:r>
      <w:hyperlink r:id="rId12" w:tgtFrame="_new" w:history="1">
        <w:r w:rsidRPr="00F84DE4">
          <w:rPr>
            <w:rStyle w:val="Hyperlink"/>
            <w:rFonts w:ascii="Arial" w:hAnsi="Arial" w:cs="Arial"/>
            <w:sz w:val="24"/>
            <w:szCs w:val="24"/>
          </w:rPr>
          <w:t>https://www.artofit.org/image-gallery/406379566386317049/employee-experience-design-all-hr-needs-to-know/</w:t>
        </w:r>
      </w:hyperlink>
      <w:r w:rsidRPr="00F84DE4">
        <w:rPr>
          <w:rFonts w:ascii="Arial" w:hAnsi="Arial" w:cs="Arial"/>
          <w:sz w:val="24"/>
          <w:szCs w:val="24"/>
        </w:rPr>
        <w:t xml:space="preserve"> (Accessed: 16 October 2025).</w:t>
      </w:r>
    </w:p>
    <w:p w14:paraId="1E0DEE86" w14:textId="77777777" w:rsidR="00995241" w:rsidRPr="00E15654" w:rsidRDefault="00995241" w:rsidP="00995241">
      <w:pPr>
        <w:rPr>
          <w:rFonts w:ascii="Arial" w:hAnsi="Arial" w:cs="Arial"/>
          <w:sz w:val="24"/>
          <w:szCs w:val="24"/>
        </w:rPr>
      </w:pPr>
      <w:r w:rsidRPr="00E15654">
        <w:rPr>
          <w:rFonts w:ascii="Arial" w:hAnsi="Arial" w:cs="Arial"/>
          <w:sz w:val="24"/>
          <w:szCs w:val="24"/>
        </w:rPr>
        <w:t>Barton, D., Carey, D. and Charan, R. (2018) 'One bank's agile team experiment', </w:t>
      </w:r>
      <w:r w:rsidRPr="00E15654">
        <w:rPr>
          <w:rFonts w:ascii="Arial" w:hAnsi="Arial" w:cs="Arial"/>
          <w:i/>
          <w:iCs/>
          <w:sz w:val="24"/>
          <w:szCs w:val="24"/>
        </w:rPr>
        <w:t>Harvard Business Review</w:t>
      </w:r>
      <w:r w:rsidRPr="00E15654">
        <w:rPr>
          <w:rFonts w:ascii="Arial" w:hAnsi="Arial" w:cs="Arial"/>
          <w:sz w:val="24"/>
          <w:szCs w:val="24"/>
        </w:rPr>
        <w:t>, 96(2), pp. 59-61.</w:t>
      </w:r>
    </w:p>
    <w:p w14:paraId="17845250" w14:textId="77777777" w:rsidR="00995241" w:rsidRPr="00E15654" w:rsidRDefault="00995241" w:rsidP="00995241">
      <w:pPr>
        <w:rPr>
          <w:rFonts w:ascii="Arial" w:hAnsi="Arial" w:cs="Arial"/>
          <w:sz w:val="24"/>
          <w:szCs w:val="24"/>
        </w:rPr>
      </w:pPr>
      <w:r w:rsidRPr="00E15654">
        <w:rPr>
          <w:rFonts w:ascii="Arial" w:hAnsi="Arial" w:cs="Arial"/>
          <w:sz w:val="24"/>
          <w:szCs w:val="24"/>
        </w:rPr>
        <w:t>Bersin, J. (2018) </w:t>
      </w:r>
      <w:r w:rsidRPr="00E15654">
        <w:rPr>
          <w:rFonts w:ascii="Arial" w:hAnsi="Arial" w:cs="Arial"/>
          <w:i/>
          <w:iCs/>
          <w:sz w:val="24"/>
          <w:szCs w:val="24"/>
        </w:rPr>
        <w:t>The employee experience platform: A new category arrives</w:t>
      </w:r>
      <w:r w:rsidRPr="00E15654">
        <w:rPr>
          <w:rFonts w:ascii="Arial" w:hAnsi="Arial" w:cs="Arial"/>
          <w:sz w:val="24"/>
          <w:szCs w:val="24"/>
        </w:rPr>
        <w:t>. Available at: </w:t>
      </w:r>
      <w:hyperlink r:id="rId13" w:history="1">
        <w:r w:rsidRPr="00E15654">
          <w:rPr>
            <w:rStyle w:val="Hyperlink"/>
            <w:rFonts w:ascii="Arial" w:hAnsi="Arial" w:cs="Arial"/>
            <w:sz w:val="24"/>
            <w:szCs w:val="24"/>
          </w:rPr>
          <w:t>https://joshbersin.com/2018/02/the-employee-experience-platform-a-new-category-arrives/</w:t>
        </w:r>
      </w:hyperlink>
      <w:r w:rsidRPr="00E15654">
        <w:rPr>
          <w:rFonts w:ascii="Arial" w:hAnsi="Arial" w:cs="Arial"/>
          <w:sz w:val="24"/>
          <w:szCs w:val="24"/>
        </w:rPr>
        <w:t> </w:t>
      </w:r>
      <w:r w:rsidRPr="00674B17">
        <w:rPr>
          <w:rFonts w:ascii="Arial" w:hAnsi="Arial" w:cs="Arial"/>
          <w:sz w:val="24"/>
          <w:szCs w:val="24"/>
        </w:rPr>
        <w:t>(Accessed: 16 October 2025)</w:t>
      </w:r>
    </w:p>
    <w:p w14:paraId="4A56936A" w14:textId="77777777" w:rsidR="00995241" w:rsidRPr="009F1A81" w:rsidRDefault="00995241" w:rsidP="00995241">
      <w:pPr>
        <w:rPr>
          <w:rFonts w:ascii="Arial" w:hAnsi="Arial" w:cs="Arial"/>
          <w:sz w:val="24"/>
          <w:szCs w:val="24"/>
        </w:rPr>
      </w:pPr>
      <w:r w:rsidRPr="009F1A81">
        <w:rPr>
          <w:rFonts w:ascii="Arial" w:hAnsi="Arial" w:cs="Arial"/>
          <w:sz w:val="24"/>
          <w:szCs w:val="24"/>
        </w:rPr>
        <w:t xml:space="preserve">Boudreau, J.W. and </w:t>
      </w:r>
      <w:proofErr w:type="spellStart"/>
      <w:r w:rsidRPr="009F1A81">
        <w:rPr>
          <w:rFonts w:ascii="Arial" w:hAnsi="Arial" w:cs="Arial"/>
          <w:sz w:val="24"/>
          <w:szCs w:val="24"/>
        </w:rPr>
        <w:t>Jesuthasan</w:t>
      </w:r>
      <w:proofErr w:type="spellEnd"/>
      <w:r w:rsidRPr="009F1A81">
        <w:rPr>
          <w:rFonts w:ascii="Arial" w:hAnsi="Arial" w:cs="Arial"/>
          <w:sz w:val="24"/>
          <w:szCs w:val="24"/>
        </w:rPr>
        <w:t>, R. (2018) 'The future of HR: From service provider to value creator', </w:t>
      </w:r>
      <w:r w:rsidRPr="009F1A81">
        <w:rPr>
          <w:rFonts w:ascii="Arial" w:hAnsi="Arial" w:cs="Arial"/>
          <w:i/>
          <w:iCs/>
          <w:sz w:val="24"/>
          <w:szCs w:val="24"/>
        </w:rPr>
        <w:t>Organizational Dynamics</w:t>
      </w:r>
      <w:r w:rsidRPr="009F1A81">
        <w:rPr>
          <w:rFonts w:ascii="Arial" w:hAnsi="Arial" w:cs="Arial"/>
          <w:sz w:val="24"/>
          <w:szCs w:val="24"/>
        </w:rPr>
        <w:t>, 47(2), pp. 67-75.</w:t>
      </w:r>
    </w:p>
    <w:p w14:paraId="766226DE" w14:textId="77777777" w:rsidR="00995241" w:rsidRPr="00E15654" w:rsidRDefault="00995241" w:rsidP="00995241">
      <w:pPr>
        <w:rPr>
          <w:rFonts w:ascii="Arial" w:hAnsi="Arial" w:cs="Arial"/>
          <w:sz w:val="24"/>
          <w:szCs w:val="24"/>
        </w:rPr>
      </w:pPr>
      <w:r w:rsidRPr="00E15654">
        <w:rPr>
          <w:rFonts w:ascii="Arial" w:hAnsi="Arial" w:cs="Arial"/>
          <w:sz w:val="24"/>
          <w:szCs w:val="24"/>
        </w:rPr>
        <w:t>Brewster, C. and Mayrhofer, W. (2018) </w:t>
      </w:r>
      <w:r w:rsidRPr="00E15654">
        <w:rPr>
          <w:rFonts w:ascii="Arial" w:hAnsi="Arial" w:cs="Arial"/>
          <w:i/>
          <w:iCs/>
          <w:sz w:val="24"/>
          <w:szCs w:val="24"/>
        </w:rPr>
        <w:t>Handbook of research on comparative human resource management</w:t>
      </w:r>
      <w:r w:rsidRPr="00E15654">
        <w:rPr>
          <w:rFonts w:ascii="Arial" w:hAnsi="Arial" w:cs="Arial"/>
          <w:sz w:val="24"/>
          <w:szCs w:val="24"/>
        </w:rPr>
        <w:t xml:space="preserve">. 2nd </w:t>
      </w:r>
      <w:proofErr w:type="spellStart"/>
      <w:proofErr w:type="gramStart"/>
      <w:r w:rsidRPr="00E15654">
        <w:rPr>
          <w:rFonts w:ascii="Arial" w:hAnsi="Arial" w:cs="Arial"/>
          <w:sz w:val="24"/>
          <w:szCs w:val="24"/>
        </w:rPr>
        <w:t>edn</w:t>
      </w:r>
      <w:proofErr w:type="spellEnd"/>
      <w:proofErr w:type="gramEnd"/>
      <w:r w:rsidRPr="00E15654">
        <w:rPr>
          <w:rFonts w:ascii="Arial" w:hAnsi="Arial" w:cs="Arial"/>
          <w:sz w:val="24"/>
          <w:szCs w:val="24"/>
        </w:rPr>
        <w:t>. Cheltenham: Edward Elgar Publishing.</w:t>
      </w:r>
    </w:p>
    <w:p w14:paraId="2E79F8ED" w14:textId="77777777" w:rsidR="00995241" w:rsidRPr="009F1A81" w:rsidRDefault="00995241" w:rsidP="00995241">
      <w:pPr>
        <w:rPr>
          <w:rFonts w:ascii="Arial" w:hAnsi="Arial" w:cs="Arial"/>
          <w:sz w:val="24"/>
          <w:szCs w:val="24"/>
        </w:rPr>
      </w:pPr>
      <w:r w:rsidRPr="009F1A81">
        <w:rPr>
          <w:rFonts w:ascii="Arial" w:hAnsi="Arial" w:cs="Arial"/>
          <w:sz w:val="24"/>
          <w:szCs w:val="24"/>
        </w:rPr>
        <w:t>Cappelli, P. and Tavis, A. (2018) 'HR goes agile', </w:t>
      </w:r>
      <w:r w:rsidRPr="009F1A81">
        <w:rPr>
          <w:rFonts w:ascii="Arial" w:hAnsi="Arial" w:cs="Arial"/>
          <w:i/>
          <w:iCs/>
          <w:sz w:val="24"/>
          <w:szCs w:val="24"/>
        </w:rPr>
        <w:t>Harvard Business Review</w:t>
      </w:r>
      <w:r w:rsidRPr="009F1A81">
        <w:rPr>
          <w:rFonts w:ascii="Arial" w:hAnsi="Arial" w:cs="Arial"/>
          <w:sz w:val="24"/>
          <w:szCs w:val="24"/>
        </w:rPr>
        <w:t>, 96(2), pp. 46-52.</w:t>
      </w:r>
    </w:p>
    <w:p w14:paraId="184F73B1" w14:textId="77777777" w:rsidR="00995241" w:rsidRPr="00E15654" w:rsidRDefault="00995241" w:rsidP="00995241">
      <w:pPr>
        <w:rPr>
          <w:rFonts w:ascii="Arial" w:hAnsi="Arial" w:cs="Arial"/>
          <w:sz w:val="24"/>
          <w:szCs w:val="24"/>
        </w:rPr>
      </w:pPr>
      <w:r w:rsidRPr="00E15654">
        <w:rPr>
          <w:rFonts w:ascii="Arial" w:hAnsi="Arial" w:cs="Arial"/>
          <w:sz w:val="24"/>
          <w:szCs w:val="24"/>
        </w:rPr>
        <w:t>Cascio, W.F. and Boudreau, J.W. (2016) 'The search for global competence: From international HR to talent management', </w:t>
      </w:r>
      <w:r w:rsidRPr="00E15654">
        <w:rPr>
          <w:rFonts w:ascii="Arial" w:hAnsi="Arial" w:cs="Arial"/>
          <w:i/>
          <w:iCs/>
          <w:sz w:val="24"/>
          <w:szCs w:val="24"/>
        </w:rPr>
        <w:t>Journal of World Business</w:t>
      </w:r>
      <w:r w:rsidRPr="00E15654">
        <w:rPr>
          <w:rFonts w:ascii="Arial" w:hAnsi="Arial" w:cs="Arial"/>
          <w:sz w:val="24"/>
          <w:szCs w:val="24"/>
        </w:rPr>
        <w:t>, 51(1), pp. 103-114.</w:t>
      </w:r>
    </w:p>
    <w:p w14:paraId="3B160DBD" w14:textId="77777777" w:rsidR="00995241" w:rsidRPr="009F1A81" w:rsidRDefault="00995241" w:rsidP="00995241">
      <w:pPr>
        <w:rPr>
          <w:rFonts w:ascii="Arial" w:hAnsi="Arial" w:cs="Arial"/>
          <w:sz w:val="24"/>
          <w:szCs w:val="24"/>
        </w:rPr>
      </w:pPr>
      <w:r w:rsidRPr="009F1A81">
        <w:rPr>
          <w:rFonts w:ascii="Arial" w:hAnsi="Arial" w:cs="Arial"/>
          <w:sz w:val="24"/>
          <w:szCs w:val="24"/>
        </w:rPr>
        <w:t>Cascio, W.F. and Boudreau, J.W. (2016) 'The search for global competence: From international HR to talent management', </w:t>
      </w:r>
      <w:r w:rsidRPr="009F1A81">
        <w:rPr>
          <w:rFonts w:ascii="Arial" w:hAnsi="Arial" w:cs="Arial"/>
          <w:i/>
          <w:iCs/>
          <w:sz w:val="24"/>
          <w:szCs w:val="24"/>
        </w:rPr>
        <w:t>Journal of World Business</w:t>
      </w:r>
      <w:r w:rsidRPr="009F1A81">
        <w:rPr>
          <w:rFonts w:ascii="Arial" w:hAnsi="Arial" w:cs="Arial"/>
          <w:sz w:val="24"/>
          <w:szCs w:val="24"/>
        </w:rPr>
        <w:t>, 51(1), pp. 103-114.</w:t>
      </w:r>
    </w:p>
    <w:p w14:paraId="5819ED97" w14:textId="77777777" w:rsidR="00995241" w:rsidRPr="00E15654" w:rsidRDefault="00995241" w:rsidP="00995241">
      <w:pPr>
        <w:rPr>
          <w:rFonts w:ascii="Arial" w:hAnsi="Arial" w:cs="Arial"/>
          <w:sz w:val="24"/>
          <w:szCs w:val="24"/>
        </w:rPr>
      </w:pPr>
      <w:r w:rsidRPr="00E15654">
        <w:rPr>
          <w:rFonts w:ascii="Arial" w:hAnsi="Arial" w:cs="Arial"/>
          <w:sz w:val="24"/>
          <w:szCs w:val="24"/>
        </w:rPr>
        <w:lastRenderedPageBreak/>
        <w:t>CIPD (2023) </w:t>
      </w:r>
      <w:r w:rsidRPr="00E15654">
        <w:rPr>
          <w:rFonts w:ascii="Arial" w:hAnsi="Arial" w:cs="Arial"/>
          <w:i/>
          <w:iCs/>
          <w:sz w:val="24"/>
          <w:szCs w:val="24"/>
        </w:rPr>
        <w:t>Employee experience: Culture, engagement and performance</w:t>
      </w:r>
      <w:r w:rsidRPr="00E15654">
        <w:rPr>
          <w:rFonts w:ascii="Arial" w:hAnsi="Arial" w:cs="Arial"/>
          <w:sz w:val="24"/>
          <w:szCs w:val="24"/>
        </w:rPr>
        <w:t>. Available at: </w:t>
      </w:r>
      <w:hyperlink r:id="rId14" w:history="1">
        <w:r w:rsidRPr="00E15654">
          <w:rPr>
            <w:rStyle w:val="Hyperlink"/>
            <w:rFonts w:ascii="Arial" w:hAnsi="Arial" w:cs="Arial"/>
            <w:sz w:val="24"/>
            <w:szCs w:val="24"/>
          </w:rPr>
          <w:t>https://www.cipd.co.uk/knowledge/culture/employee-experience-factsheet</w:t>
        </w:r>
      </w:hyperlink>
      <w:r w:rsidRPr="00E15654">
        <w:rPr>
          <w:rFonts w:ascii="Arial" w:hAnsi="Arial" w:cs="Arial"/>
          <w:sz w:val="24"/>
          <w:szCs w:val="24"/>
        </w:rPr>
        <w:t> </w:t>
      </w:r>
      <w:r w:rsidRPr="00674B17">
        <w:rPr>
          <w:rFonts w:ascii="Arial" w:hAnsi="Arial" w:cs="Arial"/>
          <w:sz w:val="24"/>
          <w:szCs w:val="24"/>
        </w:rPr>
        <w:t>(Accessed: 16 October 2025).</w:t>
      </w:r>
    </w:p>
    <w:p w14:paraId="75BCA334" w14:textId="77777777" w:rsidR="00995241" w:rsidRPr="00E15654" w:rsidRDefault="00995241" w:rsidP="00995241">
      <w:pPr>
        <w:rPr>
          <w:rFonts w:ascii="Arial" w:hAnsi="Arial" w:cs="Arial"/>
          <w:sz w:val="24"/>
          <w:szCs w:val="24"/>
        </w:rPr>
      </w:pPr>
      <w:r w:rsidRPr="00E15654">
        <w:rPr>
          <w:rFonts w:ascii="Arial" w:hAnsi="Arial" w:cs="Arial"/>
          <w:sz w:val="24"/>
          <w:szCs w:val="24"/>
        </w:rPr>
        <w:t>Collings, D.G. and Isichei, M. (2018) 'The shifting boundaries of global staffing: Integrating global talent management, alternative forms of international assignments and non-employees into the discussion', </w:t>
      </w:r>
      <w:r w:rsidRPr="00E15654">
        <w:rPr>
          <w:rFonts w:ascii="Arial" w:hAnsi="Arial" w:cs="Arial"/>
          <w:i/>
          <w:iCs/>
          <w:sz w:val="24"/>
          <w:szCs w:val="24"/>
        </w:rPr>
        <w:t>The International Journal of Human Resource Management</w:t>
      </w:r>
      <w:r w:rsidRPr="00E15654">
        <w:rPr>
          <w:rFonts w:ascii="Arial" w:hAnsi="Arial" w:cs="Arial"/>
          <w:sz w:val="24"/>
          <w:szCs w:val="24"/>
        </w:rPr>
        <w:t>, 29(1), pp. 165-187.</w:t>
      </w:r>
    </w:p>
    <w:p w14:paraId="60CDEA90" w14:textId="77777777" w:rsidR="00995241" w:rsidRPr="009F1A81" w:rsidRDefault="00995241" w:rsidP="00995241">
      <w:pPr>
        <w:rPr>
          <w:rFonts w:ascii="Arial" w:hAnsi="Arial" w:cs="Arial"/>
          <w:sz w:val="24"/>
          <w:szCs w:val="24"/>
        </w:rPr>
      </w:pPr>
      <w:r w:rsidRPr="009F1A81">
        <w:rPr>
          <w:rFonts w:ascii="Arial" w:hAnsi="Arial" w:cs="Arial"/>
          <w:sz w:val="24"/>
          <w:szCs w:val="24"/>
        </w:rPr>
        <w:t>Collings, D.G., Wood, G.T. and Szamosi, L.T. (2019) </w:t>
      </w:r>
      <w:r w:rsidRPr="009F1A81">
        <w:rPr>
          <w:rFonts w:ascii="Arial" w:hAnsi="Arial" w:cs="Arial"/>
          <w:i/>
          <w:iCs/>
          <w:sz w:val="24"/>
          <w:szCs w:val="24"/>
        </w:rPr>
        <w:t>Human resource management: A critical approach</w:t>
      </w:r>
      <w:r w:rsidRPr="009F1A81">
        <w:rPr>
          <w:rFonts w:ascii="Arial" w:hAnsi="Arial" w:cs="Arial"/>
          <w:sz w:val="24"/>
          <w:szCs w:val="24"/>
        </w:rPr>
        <w:t xml:space="preserve">. 2nd </w:t>
      </w:r>
      <w:proofErr w:type="spellStart"/>
      <w:proofErr w:type="gramStart"/>
      <w:r w:rsidRPr="009F1A81">
        <w:rPr>
          <w:rFonts w:ascii="Arial" w:hAnsi="Arial" w:cs="Arial"/>
          <w:sz w:val="24"/>
          <w:szCs w:val="24"/>
        </w:rPr>
        <w:t>edn</w:t>
      </w:r>
      <w:proofErr w:type="spellEnd"/>
      <w:proofErr w:type="gramEnd"/>
      <w:r w:rsidRPr="009F1A81">
        <w:rPr>
          <w:rFonts w:ascii="Arial" w:hAnsi="Arial" w:cs="Arial"/>
          <w:sz w:val="24"/>
          <w:szCs w:val="24"/>
        </w:rPr>
        <w:t>. London: Routledge.</w:t>
      </w:r>
    </w:p>
    <w:p w14:paraId="56AC8D13" w14:textId="77777777" w:rsidR="00995241" w:rsidRPr="009F1A81" w:rsidRDefault="00995241" w:rsidP="00995241">
      <w:pPr>
        <w:rPr>
          <w:rFonts w:ascii="Arial" w:hAnsi="Arial" w:cs="Arial"/>
          <w:sz w:val="24"/>
          <w:szCs w:val="24"/>
        </w:rPr>
      </w:pPr>
      <w:r w:rsidRPr="009F1A81">
        <w:rPr>
          <w:rFonts w:ascii="Arial" w:hAnsi="Arial" w:cs="Arial"/>
          <w:sz w:val="24"/>
          <w:szCs w:val="24"/>
        </w:rPr>
        <w:t>Cooke, F.L. (2018) 'Concepts, contexts, and mindsets: Putting human resource management research in perspectives', </w:t>
      </w:r>
      <w:r w:rsidRPr="009F1A81">
        <w:rPr>
          <w:rFonts w:ascii="Arial" w:hAnsi="Arial" w:cs="Arial"/>
          <w:i/>
          <w:iCs/>
          <w:sz w:val="24"/>
          <w:szCs w:val="24"/>
        </w:rPr>
        <w:t>Human Resource Management Journal</w:t>
      </w:r>
      <w:r w:rsidRPr="009F1A81">
        <w:rPr>
          <w:rFonts w:ascii="Arial" w:hAnsi="Arial" w:cs="Arial"/>
          <w:sz w:val="24"/>
          <w:szCs w:val="24"/>
        </w:rPr>
        <w:t>, 28(1), pp. 1-13.</w:t>
      </w:r>
    </w:p>
    <w:p w14:paraId="34ACE7EC" w14:textId="77777777" w:rsidR="00995241" w:rsidRPr="00E15654" w:rsidRDefault="00995241" w:rsidP="00995241">
      <w:pPr>
        <w:rPr>
          <w:rFonts w:ascii="Arial" w:hAnsi="Arial" w:cs="Arial"/>
          <w:sz w:val="24"/>
          <w:szCs w:val="24"/>
        </w:rPr>
      </w:pPr>
      <w:proofErr w:type="spellStart"/>
      <w:r w:rsidRPr="00E15654">
        <w:rPr>
          <w:rFonts w:ascii="Arial" w:hAnsi="Arial" w:cs="Arial"/>
          <w:sz w:val="24"/>
          <w:szCs w:val="24"/>
        </w:rPr>
        <w:t>Doz</w:t>
      </w:r>
      <w:proofErr w:type="spellEnd"/>
      <w:r w:rsidRPr="00E15654">
        <w:rPr>
          <w:rFonts w:ascii="Arial" w:hAnsi="Arial" w:cs="Arial"/>
          <w:sz w:val="24"/>
          <w:szCs w:val="24"/>
        </w:rPr>
        <w:t>, Y. (2020) 'Fostering strategic agility: How individual executives and human resource practices contribute', </w:t>
      </w:r>
      <w:r w:rsidRPr="00E15654">
        <w:rPr>
          <w:rFonts w:ascii="Arial" w:hAnsi="Arial" w:cs="Arial"/>
          <w:i/>
          <w:iCs/>
          <w:sz w:val="24"/>
          <w:szCs w:val="24"/>
        </w:rPr>
        <w:t>Human Resource Management Review</w:t>
      </w:r>
      <w:r w:rsidRPr="00E15654">
        <w:rPr>
          <w:rFonts w:ascii="Arial" w:hAnsi="Arial" w:cs="Arial"/>
          <w:sz w:val="24"/>
          <w:szCs w:val="24"/>
        </w:rPr>
        <w:t>, 30(1), pp. 100693.</w:t>
      </w:r>
    </w:p>
    <w:p w14:paraId="684A104A" w14:textId="77777777" w:rsidR="00995241" w:rsidRPr="00E15654" w:rsidRDefault="00995241" w:rsidP="00995241">
      <w:pPr>
        <w:rPr>
          <w:rFonts w:ascii="Arial" w:hAnsi="Arial" w:cs="Arial"/>
          <w:sz w:val="24"/>
          <w:szCs w:val="24"/>
        </w:rPr>
      </w:pPr>
      <w:r w:rsidRPr="00E15654">
        <w:rPr>
          <w:rFonts w:ascii="Arial" w:hAnsi="Arial" w:cs="Arial"/>
          <w:sz w:val="24"/>
          <w:szCs w:val="24"/>
        </w:rPr>
        <w:t>Gartner (2023) </w:t>
      </w:r>
      <w:r w:rsidRPr="00E15654">
        <w:rPr>
          <w:rFonts w:ascii="Arial" w:hAnsi="Arial" w:cs="Arial"/>
          <w:i/>
          <w:iCs/>
          <w:sz w:val="24"/>
          <w:szCs w:val="24"/>
        </w:rPr>
        <w:t>Top priorities for HR leaders in 2024</w:t>
      </w:r>
      <w:r w:rsidRPr="00E15654">
        <w:rPr>
          <w:rFonts w:ascii="Arial" w:hAnsi="Arial" w:cs="Arial"/>
          <w:sz w:val="24"/>
          <w:szCs w:val="24"/>
        </w:rPr>
        <w:t>. Available at: </w:t>
      </w:r>
      <w:hyperlink r:id="rId15" w:history="1">
        <w:r w:rsidRPr="00E15654">
          <w:rPr>
            <w:rStyle w:val="Hyperlink"/>
            <w:rFonts w:ascii="Arial" w:hAnsi="Arial" w:cs="Arial"/>
            <w:sz w:val="24"/>
            <w:szCs w:val="24"/>
          </w:rPr>
          <w:t>https://www.gartner.com/en/human-resources/trends/top-priorities-for-hr-leaders</w:t>
        </w:r>
      </w:hyperlink>
      <w:r w:rsidRPr="00E15654">
        <w:rPr>
          <w:rFonts w:ascii="Arial" w:hAnsi="Arial" w:cs="Arial"/>
          <w:sz w:val="24"/>
          <w:szCs w:val="24"/>
        </w:rPr>
        <w:t> </w:t>
      </w:r>
      <w:r w:rsidRPr="00674B17">
        <w:rPr>
          <w:rFonts w:ascii="Arial" w:hAnsi="Arial" w:cs="Arial"/>
          <w:sz w:val="24"/>
          <w:szCs w:val="24"/>
        </w:rPr>
        <w:t>(Accessed: 16 October 2025).</w:t>
      </w:r>
    </w:p>
    <w:p w14:paraId="7C5FD2A0" w14:textId="77777777" w:rsidR="00995241" w:rsidRPr="00E15654" w:rsidRDefault="00995241" w:rsidP="00995241">
      <w:pPr>
        <w:rPr>
          <w:rFonts w:ascii="Arial" w:hAnsi="Arial" w:cs="Arial"/>
          <w:sz w:val="24"/>
          <w:szCs w:val="24"/>
        </w:rPr>
      </w:pPr>
      <w:r w:rsidRPr="00E15654">
        <w:rPr>
          <w:rFonts w:ascii="Arial" w:hAnsi="Arial" w:cs="Arial"/>
          <w:sz w:val="24"/>
          <w:szCs w:val="24"/>
        </w:rPr>
        <w:t xml:space="preserve">Gilson, L.L., Maynard, M.T., Young, N.C.J., Vartiainen, M. and </w:t>
      </w:r>
      <w:proofErr w:type="spellStart"/>
      <w:r w:rsidRPr="00E15654">
        <w:rPr>
          <w:rFonts w:ascii="Arial" w:hAnsi="Arial" w:cs="Arial"/>
          <w:sz w:val="24"/>
          <w:szCs w:val="24"/>
        </w:rPr>
        <w:t>Hakonen</w:t>
      </w:r>
      <w:proofErr w:type="spellEnd"/>
      <w:r w:rsidRPr="00E15654">
        <w:rPr>
          <w:rFonts w:ascii="Arial" w:hAnsi="Arial" w:cs="Arial"/>
          <w:sz w:val="24"/>
          <w:szCs w:val="24"/>
        </w:rPr>
        <w:t>, M. (2015) 'Virtual teams research: 10 years, 10 themes, and 10 opportunities', </w:t>
      </w:r>
      <w:r w:rsidRPr="00E15654">
        <w:rPr>
          <w:rFonts w:ascii="Arial" w:hAnsi="Arial" w:cs="Arial"/>
          <w:i/>
          <w:iCs/>
          <w:sz w:val="24"/>
          <w:szCs w:val="24"/>
        </w:rPr>
        <w:t>Journal of Management</w:t>
      </w:r>
      <w:r w:rsidRPr="00E15654">
        <w:rPr>
          <w:rFonts w:ascii="Arial" w:hAnsi="Arial" w:cs="Arial"/>
          <w:sz w:val="24"/>
          <w:szCs w:val="24"/>
        </w:rPr>
        <w:t>, 41(5), pp. 1313-1337.</w:t>
      </w:r>
    </w:p>
    <w:p w14:paraId="03204BF9" w14:textId="77777777" w:rsidR="00995241" w:rsidRPr="00E15654" w:rsidRDefault="00995241" w:rsidP="00995241">
      <w:pPr>
        <w:rPr>
          <w:rFonts w:ascii="Arial" w:hAnsi="Arial" w:cs="Arial"/>
          <w:sz w:val="24"/>
          <w:szCs w:val="24"/>
        </w:rPr>
      </w:pPr>
      <w:r w:rsidRPr="00E15654">
        <w:rPr>
          <w:rFonts w:ascii="Arial" w:hAnsi="Arial" w:cs="Arial"/>
          <w:sz w:val="24"/>
          <w:szCs w:val="24"/>
        </w:rPr>
        <w:t>Hofstede, G. and Minkov, M. (2013) </w:t>
      </w:r>
      <w:r w:rsidRPr="00E15654">
        <w:rPr>
          <w:rFonts w:ascii="Arial" w:hAnsi="Arial" w:cs="Arial"/>
          <w:i/>
          <w:iCs/>
          <w:sz w:val="24"/>
          <w:szCs w:val="24"/>
        </w:rPr>
        <w:t>Values survey module 2013 manual</w:t>
      </w:r>
      <w:r w:rsidRPr="00E15654">
        <w:rPr>
          <w:rFonts w:ascii="Arial" w:hAnsi="Arial" w:cs="Arial"/>
          <w:sz w:val="24"/>
          <w:szCs w:val="24"/>
        </w:rPr>
        <w:t>. Available at: </w:t>
      </w:r>
      <w:hyperlink r:id="rId16" w:history="1">
        <w:r w:rsidRPr="00E15654">
          <w:rPr>
            <w:rStyle w:val="Hyperlink"/>
            <w:rFonts w:ascii="Arial" w:hAnsi="Arial" w:cs="Arial"/>
            <w:sz w:val="24"/>
            <w:szCs w:val="24"/>
          </w:rPr>
          <w:t>https://geerthofstede.com/research-and-vsm/vsm-2013/</w:t>
        </w:r>
      </w:hyperlink>
      <w:r w:rsidRPr="00E15654">
        <w:rPr>
          <w:rFonts w:ascii="Arial" w:hAnsi="Arial" w:cs="Arial"/>
          <w:sz w:val="24"/>
          <w:szCs w:val="24"/>
        </w:rPr>
        <w:t> </w:t>
      </w:r>
      <w:r w:rsidRPr="00674B17">
        <w:rPr>
          <w:rFonts w:ascii="Arial" w:hAnsi="Arial" w:cs="Arial"/>
          <w:sz w:val="24"/>
          <w:szCs w:val="24"/>
        </w:rPr>
        <w:t>(Accessed: 16 October 2025).</w:t>
      </w:r>
    </w:p>
    <w:p w14:paraId="090F4F13" w14:textId="77777777" w:rsidR="00995241" w:rsidRPr="00E15654" w:rsidRDefault="00995241" w:rsidP="00995241">
      <w:pPr>
        <w:rPr>
          <w:rFonts w:ascii="Arial" w:hAnsi="Arial" w:cs="Arial"/>
          <w:sz w:val="24"/>
          <w:szCs w:val="24"/>
        </w:rPr>
      </w:pPr>
      <w:r w:rsidRPr="00E15654">
        <w:rPr>
          <w:rFonts w:ascii="Arial" w:hAnsi="Arial" w:cs="Arial"/>
          <w:sz w:val="24"/>
          <w:szCs w:val="24"/>
        </w:rPr>
        <w:t>Islam, G. and Slack, F. (2016) 'Digital divides and implications for human resource development', </w:t>
      </w:r>
      <w:r w:rsidRPr="00E15654">
        <w:rPr>
          <w:rFonts w:ascii="Arial" w:hAnsi="Arial" w:cs="Arial"/>
          <w:i/>
          <w:iCs/>
          <w:sz w:val="24"/>
          <w:szCs w:val="24"/>
        </w:rPr>
        <w:t>Human Resource Development International</w:t>
      </w:r>
      <w:r w:rsidRPr="00E15654">
        <w:rPr>
          <w:rFonts w:ascii="Arial" w:hAnsi="Arial" w:cs="Arial"/>
          <w:sz w:val="24"/>
          <w:szCs w:val="24"/>
        </w:rPr>
        <w:t>, 19(5), pp. 383-388.</w:t>
      </w:r>
    </w:p>
    <w:p w14:paraId="2B59478D" w14:textId="77777777" w:rsidR="00995241" w:rsidRPr="00E15654" w:rsidRDefault="00995241" w:rsidP="00995241">
      <w:pPr>
        <w:rPr>
          <w:rFonts w:ascii="Arial" w:hAnsi="Arial" w:cs="Arial"/>
          <w:sz w:val="24"/>
          <w:szCs w:val="24"/>
        </w:rPr>
      </w:pPr>
      <w:r w:rsidRPr="00E15654">
        <w:rPr>
          <w:rFonts w:ascii="Arial" w:hAnsi="Arial" w:cs="Arial"/>
          <w:sz w:val="24"/>
          <w:szCs w:val="24"/>
        </w:rPr>
        <w:t>Khan, M.M.R. and Panday, P.K. (2018) </w:t>
      </w:r>
      <w:r w:rsidRPr="00E15654">
        <w:rPr>
          <w:rFonts w:ascii="Arial" w:hAnsi="Arial" w:cs="Arial"/>
          <w:i/>
          <w:iCs/>
          <w:sz w:val="24"/>
          <w:szCs w:val="24"/>
        </w:rPr>
        <w:t>Public administration in South Asia: Bangladesh</w:t>
      </w:r>
      <w:r w:rsidRPr="00E15654">
        <w:rPr>
          <w:rFonts w:ascii="Arial" w:hAnsi="Arial" w:cs="Arial"/>
          <w:sz w:val="24"/>
          <w:szCs w:val="24"/>
        </w:rPr>
        <w:t>. London: Routledge.</w:t>
      </w:r>
    </w:p>
    <w:p w14:paraId="1B1AA6CF" w14:textId="77777777" w:rsidR="00995241" w:rsidRPr="00E15654" w:rsidRDefault="00995241" w:rsidP="00995241">
      <w:pPr>
        <w:rPr>
          <w:rFonts w:ascii="Arial" w:hAnsi="Arial" w:cs="Arial"/>
          <w:sz w:val="24"/>
          <w:szCs w:val="24"/>
        </w:rPr>
      </w:pPr>
      <w:r w:rsidRPr="00E15654">
        <w:rPr>
          <w:rFonts w:ascii="Arial" w:hAnsi="Arial" w:cs="Arial"/>
          <w:sz w:val="24"/>
          <w:szCs w:val="24"/>
        </w:rPr>
        <w:t>Kniberg, H. and Ivarsson, A. (2012) </w:t>
      </w:r>
      <w:r w:rsidRPr="00E15654">
        <w:rPr>
          <w:rFonts w:ascii="Arial" w:hAnsi="Arial" w:cs="Arial"/>
          <w:i/>
          <w:iCs/>
          <w:sz w:val="24"/>
          <w:szCs w:val="24"/>
        </w:rPr>
        <w:t>Scaling agile @ Spotify</w:t>
      </w:r>
      <w:r w:rsidRPr="00E15654">
        <w:rPr>
          <w:rFonts w:ascii="Arial" w:hAnsi="Arial" w:cs="Arial"/>
          <w:sz w:val="24"/>
          <w:szCs w:val="24"/>
        </w:rPr>
        <w:t>. Available at: </w:t>
      </w:r>
      <w:hyperlink r:id="rId17" w:history="1">
        <w:r w:rsidRPr="00E15654">
          <w:rPr>
            <w:rStyle w:val="Hyperlink"/>
            <w:rFonts w:ascii="Arial" w:hAnsi="Arial" w:cs="Arial"/>
            <w:sz w:val="24"/>
            <w:szCs w:val="24"/>
          </w:rPr>
          <w:t>https://blog.crisp.se/wp-content/uploads/2012/11/SpotifyScaling.pdf</w:t>
        </w:r>
      </w:hyperlink>
      <w:r w:rsidRPr="00E15654">
        <w:rPr>
          <w:rFonts w:ascii="Arial" w:hAnsi="Arial" w:cs="Arial"/>
          <w:sz w:val="24"/>
          <w:szCs w:val="24"/>
        </w:rPr>
        <w:t> </w:t>
      </w:r>
      <w:r w:rsidRPr="00674B17">
        <w:rPr>
          <w:rFonts w:ascii="Arial" w:hAnsi="Arial" w:cs="Arial"/>
          <w:sz w:val="24"/>
          <w:szCs w:val="24"/>
        </w:rPr>
        <w:t>(Accessed: 16 October 2025)</w:t>
      </w:r>
      <w:r w:rsidRPr="00E15654">
        <w:rPr>
          <w:rFonts w:ascii="Arial" w:hAnsi="Arial" w:cs="Arial"/>
          <w:sz w:val="24"/>
          <w:szCs w:val="24"/>
        </w:rPr>
        <w:t>.</w:t>
      </w:r>
    </w:p>
    <w:p w14:paraId="687E1F70" w14:textId="77777777" w:rsidR="00995241" w:rsidRPr="00E15654" w:rsidRDefault="00995241" w:rsidP="00995241">
      <w:pPr>
        <w:rPr>
          <w:rFonts w:ascii="Arial" w:hAnsi="Arial" w:cs="Arial"/>
          <w:sz w:val="24"/>
          <w:szCs w:val="24"/>
        </w:rPr>
      </w:pPr>
      <w:r w:rsidRPr="00E15654">
        <w:rPr>
          <w:rFonts w:ascii="Arial" w:hAnsi="Arial" w:cs="Arial"/>
          <w:sz w:val="24"/>
          <w:szCs w:val="24"/>
        </w:rPr>
        <w:t>Morgan, J. (2017) </w:t>
      </w:r>
      <w:r w:rsidRPr="00E15654">
        <w:rPr>
          <w:rFonts w:ascii="Arial" w:hAnsi="Arial" w:cs="Arial"/>
          <w:i/>
          <w:iCs/>
          <w:sz w:val="24"/>
          <w:szCs w:val="24"/>
        </w:rPr>
        <w:t xml:space="preserve">The employee experience advantage: How to win the war for talent by giving employees the </w:t>
      </w:r>
      <w:proofErr w:type="gramStart"/>
      <w:r w:rsidRPr="00E15654">
        <w:rPr>
          <w:rFonts w:ascii="Arial" w:hAnsi="Arial" w:cs="Arial"/>
          <w:i/>
          <w:iCs/>
          <w:sz w:val="24"/>
          <w:szCs w:val="24"/>
        </w:rPr>
        <w:t>workspaces</w:t>
      </w:r>
      <w:proofErr w:type="gramEnd"/>
      <w:r w:rsidRPr="00E15654">
        <w:rPr>
          <w:rFonts w:ascii="Arial" w:hAnsi="Arial" w:cs="Arial"/>
          <w:i/>
          <w:iCs/>
          <w:sz w:val="24"/>
          <w:szCs w:val="24"/>
        </w:rPr>
        <w:t xml:space="preserve"> they want</w:t>
      </w:r>
      <w:r w:rsidRPr="00E15654">
        <w:rPr>
          <w:rFonts w:ascii="Arial" w:hAnsi="Arial" w:cs="Arial"/>
          <w:sz w:val="24"/>
          <w:szCs w:val="24"/>
        </w:rPr>
        <w:t>. Hoboken, NJ: John Wiley &amp; Sons.</w:t>
      </w:r>
    </w:p>
    <w:p w14:paraId="4988F1C7" w14:textId="77777777" w:rsidR="00995241" w:rsidRPr="00E15654" w:rsidRDefault="00995241" w:rsidP="00995241">
      <w:pPr>
        <w:rPr>
          <w:rFonts w:ascii="Arial" w:hAnsi="Arial" w:cs="Arial"/>
          <w:sz w:val="24"/>
          <w:szCs w:val="24"/>
        </w:rPr>
      </w:pPr>
      <w:r w:rsidRPr="00E15654">
        <w:rPr>
          <w:rFonts w:ascii="Arial" w:hAnsi="Arial" w:cs="Arial"/>
          <w:sz w:val="24"/>
          <w:szCs w:val="24"/>
        </w:rPr>
        <w:t>Mullenweg, M. and Berkun, S. (2020) </w:t>
      </w:r>
      <w:r w:rsidRPr="00E15654">
        <w:rPr>
          <w:rFonts w:ascii="Arial" w:hAnsi="Arial" w:cs="Arial"/>
          <w:i/>
          <w:iCs/>
          <w:sz w:val="24"/>
          <w:szCs w:val="24"/>
        </w:rPr>
        <w:t>The year without pants: WordPress.com and the future of work</w:t>
      </w:r>
      <w:r w:rsidRPr="00E15654">
        <w:rPr>
          <w:rFonts w:ascii="Arial" w:hAnsi="Arial" w:cs="Arial"/>
          <w:sz w:val="24"/>
          <w:szCs w:val="24"/>
        </w:rPr>
        <w:t xml:space="preserve">. 2nd </w:t>
      </w:r>
      <w:proofErr w:type="spellStart"/>
      <w:proofErr w:type="gramStart"/>
      <w:r w:rsidRPr="00E15654">
        <w:rPr>
          <w:rFonts w:ascii="Arial" w:hAnsi="Arial" w:cs="Arial"/>
          <w:sz w:val="24"/>
          <w:szCs w:val="24"/>
        </w:rPr>
        <w:t>edn</w:t>
      </w:r>
      <w:proofErr w:type="spellEnd"/>
      <w:proofErr w:type="gramEnd"/>
      <w:r w:rsidRPr="00E15654">
        <w:rPr>
          <w:rFonts w:ascii="Arial" w:hAnsi="Arial" w:cs="Arial"/>
          <w:sz w:val="24"/>
          <w:szCs w:val="24"/>
        </w:rPr>
        <w:t>. San Francisco: Jossey-Bass.</w:t>
      </w:r>
    </w:p>
    <w:p w14:paraId="25B0389C" w14:textId="77777777" w:rsidR="00995241" w:rsidRPr="00E15654" w:rsidRDefault="00995241" w:rsidP="00995241">
      <w:pPr>
        <w:rPr>
          <w:rFonts w:ascii="Arial" w:hAnsi="Arial" w:cs="Arial"/>
          <w:sz w:val="24"/>
          <w:szCs w:val="24"/>
        </w:rPr>
      </w:pPr>
      <w:r w:rsidRPr="00E15654">
        <w:rPr>
          <w:rFonts w:ascii="Arial" w:hAnsi="Arial" w:cs="Arial"/>
          <w:sz w:val="24"/>
          <w:szCs w:val="24"/>
        </w:rPr>
        <w:t>Neeley, T. (2021) </w:t>
      </w:r>
      <w:r w:rsidRPr="00E15654">
        <w:rPr>
          <w:rFonts w:ascii="Arial" w:hAnsi="Arial" w:cs="Arial"/>
          <w:i/>
          <w:iCs/>
          <w:sz w:val="24"/>
          <w:szCs w:val="24"/>
        </w:rPr>
        <w:t>Remote work revolution: Succeeding from anywhere</w:t>
      </w:r>
      <w:r w:rsidRPr="00E15654">
        <w:rPr>
          <w:rFonts w:ascii="Arial" w:hAnsi="Arial" w:cs="Arial"/>
          <w:sz w:val="24"/>
          <w:szCs w:val="24"/>
        </w:rPr>
        <w:t xml:space="preserve">. New York: </w:t>
      </w:r>
      <w:proofErr w:type="spellStart"/>
      <w:r w:rsidRPr="00E15654">
        <w:rPr>
          <w:rFonts w:ascii="Arial" w:hAnsi="Arial" w:cs="Arial"/>
          <w:sz w:val="24"/>
          <w:szCs w:val="24"/>
        </w:rPr>
        <w:t>HarperBusiness</w:t>
      </w:r>
      <w:proofErr w:type="spellEnd"/>
      <w:r w:rsidRPr="00E15654">
        <w:rPr>
          <w:rFonts w:ascii="Arial" w:hAnsi="Arial" w:cs="Arial"/>
          <w:sz w:val="24"/>
          <w:szCs w:val="24"/>
        </w:rPr>
        <w:t>.</w:t>
      </w:r>
    </w:p>
    <w:p w14:paraId="74787FED" w14:textId="77777777" w:rsidR="00995241" w:rsidRPr="00E15654" w:rsidRDefault="00995241" w:rsidP="00995241">
      <w:pPr>
        <w:rPr>
          <w:rFonts w:ascii="Arial" w:hAnsi="Arial" w:cs="Arial"/>
          <w:sz w:val="24"/>
          <w:szCs w:val="24"/>
        </w:rPr>
      </w:pPr>
      <w:proofErr w:type="spellStart"/>
      <w:r w:rsidRPr="00E15654">
        <w:rPr>
          <w:rFonts w:ascii="Arial" w:hAnsi="Arial" w:cs="Arial"/>
          <w:sz w:val="24"/>
          <w:szCs w:val="24"/>
        </w:rPr>
        <w:lastRenderedPageBreak/>
        <w:t>Plaskoff</w:t>
      </w:r>
      <w:proofErr w:type="spellEnd"/>
      <w:r w:rsidRPr="00E15654">
        <w:rPr>
          <w:rFonts w:ascii="Arial" w:hAnsi="Arial" w:cs="Arial"/>
          <w:sz w:val="24"/>
          <w:szCs w:val="24"/>
        </w:rPr>
        <w:t>, J. (2017) 'Employee experience: The new human resource management approach', </w:t>
      </w:r>
      <w:r w:rsidRPr="00E15654">
        <w:rPr>
          <w:rFonts w:ascii="Arial" w:hAnsi="Arial" w:cs="Arial"/>
          <w:i/>
          <w:iCs/>
          <w:sz w:val="24"/>
          <w:szCs w:val="24"/>
        </w:rPr>
        <w:t>Strategic HR Review</w:t>
      </w:r>
      <w:r w:rsidRPr="00E15654">
        <w:rPr>
          <w:rFonts w:ascii="Arial" w:hAnsi="Arial" w:cs="Arial"/>
          <w:sz w:val="24"/>
          <w:szCs w:val="24"/>
        </w:rPr>
        <w:t>, 16(3), pp. 136-141.</w:t>
      </w:r>
    </w:p>
    <w:p w14:paraId="4DD09D56" w14:textId="77777777" w:rsidR="00995241" w:rsidRPr="00E15654" w:rsidRDefault="00995241" w:rsidP="00995241">
      <w:pPr>
        <w:rPr>
          <w:rFonts w:ascii="Arial" w:hAnsi="Arial" w:cs="Arial"/>
          <w:sz w:val="24"/>
          <w:szCs w:val="24"/>
        </w:rPr>
      </w:pPr>
      <w:r w:rsidRPr="00E15654">
        <w:rPr>
          <w:rFonts w:ascii="Arial" w:hAnsi="Arial" w:cs="Arial"/>
          <w:sz w:val="24"/>
          <w:szCs w:val="24"/>
        </w:rPr>
        <w:t>PwC (2023) </w:t>
      </w:r>
      <w:r w:rsidRPr="00E15654">
        <w:rPr>
          <w:rFonts w:ascii="Arial" w:hAnsi="Arial" w:cs="Arial"/>
          <w:i/>
          <w:iCs/>
          <w:sz w:val="24"/>
          <w:szCs w:val="24"/>
        </w:rPr>
        <w:t>Global workforce hopes and fears survey 2023</w:t>
      </w:r>
      <w:r w:rsidRPr="00E15654">
        <w:rPr>
          <w:rFonts w:ascii="Arial" w:hAnsi="Arial" w:cs="Arial"/>
          <w:sz w:val="24"/>
          <w:szCs w:val="24"/>
        </w:rPr>
        <w:t>. Available at: </w:t>
      </w:r>
      <w:hyperlink r:id="rId18" w:history="1">
        <w:r w:rsidRPr="00E15654">
          <w:rPr>
            <w:rStyle w:val="Hyperlink"/>
            <w:rFonts w:ascii="Arial" w:hAnsi="Arial" w:cs="Arial"/>
            <w:sz w:val="24"/>
            <w:szCs w:val="24"/>
          </w:rPr>
          <w:t>https://www.pwc.com/gx/en/issues/workforce/hopes-and-fears.html</w:t>
        </w:r>
      </w:hyperlink>
      <w:r w:rsidRPr="00E15654">
        <w:rPr>
          <w:rFonts w:ascii="Arial" w:hAnsi="Arial" w:cs="Arial"/>
          <w:sz w:val="24"/>
          <w:szCs w:val="24"/>
        </w:rPr>
        <w:t> </w:t>
      </w:r>
      <w:r w:rsidRPr="00674B17">
        <w:rPr>
          <w:rFonts w:ascii="Arial" w:hAnsi="Arial" w:cs="Arial"/>
          <w:sz w:val="24"/>
          <w:szCs w:val="24"/>
        </w:rPr>
        <w:t>(Accessed: 16 October 2025).</w:t>
      </w:r>
    </w:p>
    <w:p w14:paraId="5730B7FE" w14:textId="77777777" w:rsidR="00995241" w:rsidRPr="00E15654" w:rsidRDefault="00995241" w:rsidP="00995241">
      <w:pPr>
        <w:rPr>
          <w:rFonts w:ascii="Arial" w:hAnsi="Arial" w:cs="Arial"/>
          <w:sz w:val="24"/>
          <w:szCs w:val="24"/>
        </w:rPr>
      </w:pPr>
      <w:r w:rsidRPr="00E15654">
        <w:rPr>
          <w:rFonts w:ascii="Arial" w:hAnsi="Arial" w:cs="Arial"/>
          <w:sz w:val="24"/>
          <w:szCs w:val="24"/>
        </w:rPr>
        <w:t>Rigby, D.K., Sutherland, J. and Takeuchi, H. (2016) 'Embracing agile', </w:t>
      </w:r>
      <w:r w:rsidRPr="00E15654">
        <w:rPr>
          <w:rFonts w:ascii="Arial" w:hAnsi="Arial" w:cs="Arial"/>
          <w:i/>
          <w:iCs/>
          <w:sz w:val="24"/>
          <w:szCs w:val="24"/>
        </w:rPr>
        <w:t>Harvard Business Review</w:t>
      </w:r>
      <w:r w:rsidRPr="00E15654">
        <w:rPr>
          <w:rFonts w:ascii="Arial" w:hAnsi="Arial" w:cs="Arial"/>
          <w:sz w:val="24"/>
          <w:szCs w:val="24"/>
        </w:rPr>
        <w:t>, 94(5), pp. 40-50.</w:t>
      </w:r>
    </w:p>
    <w:p w14:paraId="030F7D9E" w14:textId="77777777" w:rsidR="00995241" w:rsidRPr="009F1A81" w:rsidRDefault="00995241" w:rsidP="00995241">
      <w:pPr>
        <w:rPr>
          <w:rFonts w:ascii="Arial" w:hAnsi="Arial" w:cs="Arial"/>
          <w:sz w:val="24"/>
          <w:szCs w:val="24"/>
        </w:rPr>
      </w:pPr>
      <w:r w:rsidRPr="009F1A81">
        <w:rPr>
          <w:rFonts w:ascii="Arial" w:hAnsi="Arial" w:cs="Arial"/>
          <w:sz w:val="24"/>
          <w:szCs w:val="24"/>
        </w:rPr>
        <w:t>Sparrow, P., Brewster, C. and Chung, C. (2017) </w:t>
      </w:r>
      <w:r w:rsidRPr="009F1A81">
        <w:rPr>
          <w:rFonts w:ascii="Arial" w:hAnsi="Arial" w:cs="Arial"/>
          <w:i/>
          <w:iCs/>
          <w:sz w:val="24"/>
          <w:szCs w:val="24"/>
        </w:rPr>
        <w:t>Globalizing human resource management</w:t>
      </w:r>
      <w:r w:rsidRPr="009F1A81">
        <w:rPr>
          <w:rFonts w:ascii="Arial" w:hAnsi="Arial" w:cs="Arial"/>
          <w:sz w:val="24"/>
          <w:szCs w:val="24"/>
        </w:rPr>
        <w:t xml:space="preserve">. 2nd </w:t>
      </w:r>
      <w:proofErr w:type="spellStart"/>
      <w:proofErr w:type="gramStart"/>
      <w:r w:rsidRPr="009F1A81">
        <w:rPr>
          <w:rFonts w:ascii="Arial" w:hAnsi="Arial" w:cs="Arial"/>
          <w:sz w:val="24"/>
          <w:szCs w:val="24"/>
        </w:rPr>
        <w:t>edn</w:t>
      </w:r>
      <w:proofErr w:type="spellEnd"/>
      <w:proofErr w:type="gramEnd"/>
      <w:r w:rsidRPr="009F1A81">
        <w:rPr>
          <w:rFonts w:ascii="Arial" w:hAnsi="Arial" w:cs="Arial"/>
          <w:sz w:val="24"/>
          <w:szCs w:val="24"/>
        </w:rPr>
        <w:t>. London: Routledge.</w:t>
      </w:r>
    </w:p>
    <w:p w14:paraId="0452D0EC" w14:textId="77777777" w:rsidR="00995241" w:rsidRPr="00E15654" w:rsidRDefault="00995241" w:rsidP="00995241">
      <w:pPr>
        <w:rPr>
          <w:rFonts w:ascii="Arial" w:hAnsi="Arial" w:cs="Arial"/>
          <w:sz w:val="24"/>
          <w:szCs w:val="24"/>
        </w:rPr>
      </w:pPr>
      <w:r w:rsidRPr="00E15654">
        <w:rPr>
          <w:rFonts w:ascii="Arial" w:hAnsi="Arial" w:cs="Arial"/>
          <w:sz w:val="24"/>
          <w:szCs w:val="24"/>
        </w:rPr>
        <w:t>Sull, D. and Sull, C. (2018) 'With goals, FAST beats SMART', </w:t>
      </w:r>
      <w:r w:rsidRPr="00E15654">
        <w:rPr>
          <w:rFonts w:ascii="Arial" w:hAnsi="Arial" w:cs="Arial"/>
          <w:i/>
          <w:iCs/>
          <w:sz w:val="24"/>
          <w:szCs w:val="24"/>
        </w:rPr>
        <w:t>MIT Sloan Management Review</w:t>
      </w:r>
      <w:r w:rsidRPr="00E15654">
        <w:rPr>
          <w:rFonts w:ascii="Arial" w:hAnsi="Arial" w:cs="Arial"/>
          <w:sz w:val="24"/>
          <w:szCs w:val="24"/>
        </w:rPr>
        <w:t>, 59(4), pp. 1-11.</w:t>
      </w:r>
    </w:p>
    <w:p w14:paraId="78259BE4" w14:textId="77777777" w:rsidR="00995241" w:rsidRDefault="00995241" w:rsidP="00995241">
      <w:pPr>
        <w:rPr>
          <w:rFonts w:ascii="Arial" w:hAnsi="Arial" w:cs="Arial"/>
          <w:sz w:val="24"/>
          <w:szCs w:val="24"/>
        </w:rPr>
      </w:pPr>
      <w:r w:rsidRPr="000B6F92">
        <w:rPr>
          <w:rFonts w:ascii="Arial" w:hAnsi="Arial" w:cs="Arial"/>
          <w:sz w:val="24"/>
          <w:szCs w:val="24"/>
        </w:rPr>
        <w:t>The Talent Strategy Group. (2021) </w:t>
      </w:r>
      <w:r w:rsidRPr="000B6F92">
        <w:rPr>
          <w:rFonts w:ascii="Arial" w:hAnsi="Arial" w:cs="Arial"/>
          <w:i/>
          <w:iCs/>
          <w:sz w:val="24"/>
          <w:szCs w:val="24"/>
        </w:rPr>
        <w:t>Using Experience Maps to Accelerate Development</w:t>
      </w:r>
      <w:r w:rsidRPr="000B6F92">
        <w:rPr>
          <w:rFonts w:ascii="Arial" w:hAnsi="Arial" w:cs="Arial"/>
          <w:sz w:val="24"/>
          <w:szCs w:val="24"/>
        </w:rPr>
        <w:t>. Available at: </w:t>
      </w:r>
      <w:hyperlink r:id="rId19" w:history="1">
        <w:r w:rsidRPr="000B6F92">
          <w:rPr>
            <w:rStyle w:val="Hyperlink"/>
            <w:rFonts w:ascii="Arial" w:hAnsi="Arial" w:cs="Arial"/>
            <w:sz w:val="24"/>
            <w:szCs w:val="24"/>
          </w:rPr>
          <w:t>https://talentstrategygroup.com/using-experience-maps-to-accelerate-development/</w:t>
        </w:r>
      </w:hyperlink>
      <w:r w:rsidRPr="000B6F92">
        <w:rPr>
          <w:rFonts w:ascii="Arial" w:hAnsi="Arial" w:cs="Arial"/>
          <w:sz w:val="24"/>
          <w:szCs w:val="24"/>
        </w:rPr>
        <w:t> (Accessed: 16 October 2025).</w:t>
      </w:r>
    </w:p>
    <w:p w14:paraId="55DA6677" w14:textId="77777777" w:rsidR="00995241" w:rsidRPr="00E15654" w:rsidRDefault="00995241" w:rsidP="00995241">
      <w:pPr>
        <w:rPr>
          <w:rFonts w:ascii="Arial" w:hAnsi="Arial" w:cs="Arial"/>
          <w:sz w:val="24"/>
          <w:szCs w:val="24"/>
        </w:rPr>
      </w:pPr>
      <w:r w:rsidRPr="00E15654">
        <w:rPr>
          <w:rFonts w:ascii="Arial" w:hAnsi="Arial" w:cs="Arial"/>
          <w:sz w:val="24"/>
          <w:szCs w:val="24"/>
        </w:rPr>
        <w:t>Ulrich, D. and Yeung, A. (2019) 'Agility: The new response to dynamic change', </w:t>
      </w:r>
      <w:r w:rsidRPr="00E15654">
        <w:rPr>
          <w:rFonts w:ascii="Arial" w:hAnsi="Arial" w:cs="Arial"/>
          <w:i/>
          <w:iCs/>
          <w:sz w:val="24"/>
          <w:szCs w:val="24"/>
        </w:rPr>
        <w:t>Strategic HR Review</w:t>
      </w:r>
      <w:r w:rsidRPr="00E15654">
        <w:rPr>
          <w:rFonts w:ascii="Arial" w:hAnsi="Arial" w:cs="Arial"/>
          <w:sz w:val="24"/>
          <w:szCs w:val="24"/>
        </w:rPr>
        <w:t>, 18(4), pp. 161-167.</w:t>
      </w:r>
    </w:p>
    <w:p w14:paraId="3699BC79" w14:textId="77777777" w:rsidR="00995241" w:rsidRPr="00E15654" w:rsidRDefault="00995241" w:rsidP="00995241">
      <w:pPr>
        <w:rPr>
          <w:rFonts w:ascii="Arial" w:hAnsi="Arial" w:cs="Arial"/>
          <w:sz w:val="24"/>
          <w:szCs w:val="24"/>
        </w:rPr>
      </w:pPr>
      <w:proofErr w:type="spellStart"/>
      <w:r w:rsidRPr="000B6F92">
        <w:rPr>
          <w:rFonts w:ascii="Arial" w:hAnsi="Arial" w:cs="Arial"/>
          <w:sz w:val="24"/>
          <w:szCs w:val="24"/>
        </w:rPr>
        <w:t>Venngage</w:t>
      </w:r>
      <w:proofErr w:type="spellEnd"/>
      <w:r w:rsidRPr="000B6F92">
        <w:rPr>
          <w:rFonts w:ascii="Arial" w:hAnsi="Arial" w:cs="Arial"/>
          <w:sz w:val="24"/>
          <w:szCs w:val="24"/>
        </w:rPr>
        <w:t>. (2023) </w:t>
      </w:r>
      <w:r w:rsidRPr="000B6F92">
        <w:rPr>
          <w:rFonts w:ascii="Arial" w:hAnsi="Arial" w:cs="Arial"/>
          <w:i/>
          <w:iCs/>
          <w:sz w:val="24"/>
          <w:szCs w:val="24"/>
        </w:rPr>
        <w:t>HR Dashboard | Free HR Dashboard Templates</w:t>
      </w:r>
      <w:r w:rsidRPr="000B6F92">
        <w:rPr>
          <w:rFonts w:ascii="Arial" w:hAnsi="Arial" w:cs="Arial"/>
          <w:sz w:val="24"/>
          <w:szCs w:val="24"/>
        </w:rPr>
        <w:t>. Available at: </w:t>
      </w:r>
      <w:hyperlink r:id="rId20" w:history="1">
        <w:r w:rsidRPr="000B6F92">
          <w:rPr>
            <w:rStyle w:val="Hyperlink"/>
            <w:rFonts w:ascii="Arial" w:hAnsi="Arial" w:cs="Arial"/>
            <w:sz w:val="24"/>
            <w:szCs w:val="24"/>
          </w:rPr>
          <w:t>https://venngage.com/templates/dashboards/hr-dashboard</w:t>
        </w:r>
      </w:hyperlink>
      <w:r w:rsidRPr="000B6F92">
        <w:rPr>
          <w:rFonts w:ascii="Arial" w:hAnsi="Arial" w:cs="Arial"/>
          <w:sz w:val="24"/>
          <w:szCs w:val="24"/>
        </w:rPr>
        <w:t> (Accessed: 16 October 2025).</w:t>
      </w:r>
    </w:p>
    <w:p w14:paraId="42E02E3F" w14:textId="77777777" w:rsidR="00995241" w:rsidRDefault="00995241" w:rsidP="00995241">
      <w:pPr>
        <w:rPr>
          <w:rFonts w:ascii="Arial" w:hAnsi="Arial" w:cs="Arial"/>
          <w:sz w:val="24"/>
          <w:szCs w:val="24"/>
        </w:rPr>
      </w:pPr>
      <w:r w:rsidRPr="00E15654">
        <w:rPr>
          <w:rFonts w:ascii="Arial" w:hAnsi="Arial" w:cs="Arial"/>
          <w:sz w:val="24"/>
          <w:szCs w:val="24"/>
        </w:rPr>
        <w:t>World Economic Forum (2023) </w:t>
      </w:r>
      <w:r w:rsidRPr="00E15654">
        <w:rPr>
          <w:rFonts w:ascii="Arial" w:hAnsi="Arial" w:cs="Arial"/>
          <w:i/>
          <w:iCs/>
          <w:sz w:val="24"/>
          <w:szCs w:val="24"/>
        </w:rPr>
        <w:t>Future of jobs report 2023</w:t>
      </w:r>
      <w:r w:rsidRPr="00E15654">
        <w:rPr>
          <w:rFonts w:ascii="Arial" w:hAnsi="Arial" w:cs="Arial"/>
          <w:sz w:val="24"/>
          <w:szCs w:val="24"/>
        </w:rPr>
        <w:t>. Available at: </w:t>
      </w:r>
      <w:hyperlink r:id="rId21" w:history="1">
        <w:r w:rsidRPr="00E15654">
          <w:rPr>
            <w:rStyle w:val="Hyperlink"/>
            <w:rFonts w:ascii="Arial" w:hAnsi="Arial" w:cs="Arial"/>
            <w:sz w:val="24"/>
            <w:szCs w:val="24"/>
          </w:rPr>
          <w:t>https://www.weforum.org/reports/the-future-of-jobs-report-2023/</w:t>
        </w:r>
      </w:hyperlink>
      <w:r w:rsidRPr="00E15654">
        <w:rPr>
          <w:rFonts w:ascii="Arial" w:hAnsi="Arial" w:cs="Arial"/>
          <w:sz w:val="24"/>
          <w:szCs w:val="24"/>
        </w:rPr>
        <w:t> </w:t>
      </w:r>
      <w:r w:rsidRPr="00674B17">
        <w:rPr>
          <w:rFonts w:ascii="Arial" w:hAnsi="Arial" w:cs="Arial"/>
          <w:sz w:val="24"/>
          <w:szCs w:val="24"/>
        </w:rPr>
        <w:t>(Accessed: 16 October 2025).</w:t>
      </w:r>
    </w:p>
    <w:p w14:paraId="2D5AFAE2" w14:textId="77777777" w:rsidR="00995241" w:rsidRDefault="00995241" w:rsidP="00995241">
      <w:pPr>
        <w:rPr>
          <w:rFonts w:ascii="Arial" w:hAnsi="Arial" w:cs="Arial"/>
          <w:sz w:val="24"/>
          <w:szCs w:val="24"/>
        </w:rPr>
      </w:pPr>
      <w:r w:rsidRPr="009F1A81">
        <w:rPr>
          <w:rFonts w:ascii="Arial" w:hAnsi="Arial" w:cs="Arial"/>
          <w:sz w:val="24"/>
          <w:szCs w:val="24"/>
        </w:rPr>
        <w:t>Wright, P.M. and McMahan, G.C. (2011) 'Exploring human capital: Putting human back into strategic human resource management', </w:t>
      </w:r>
      <w:r w:rsidRPr="009F1A81">
        <w:rPr>
          <w:rFonts w:ascii="Arial" w:hAnsi="Arial" w:cs="Arial"/>
          <w:i/>
          <w:iCs/>
          <w:sz w:val="24"/>
          <w:szCs w:val="24"/>
        </w:rPr>
        <w:t>Human Resource Management Journal</w:t>
      </w:r>
      <w:r w:rsidRPr="009F1A81">
        <w:rPr>
          <w:rFonts w:ascii="Arial" w:hAnsi="Arial" w:cs="Arial"/>
          <w:sz w:val="24"/>
          <w:szCs w:val="24"/>
        </w:rPr>
        <w:t>, 21(2), pp. 93-104.</w:t>
      </w:r>
    </w:p>
    <w:p w14:paraId="16577B55" w14:textId="77777777" w:rsidR="00995241" w:rsidRPr="00E15654" w:rsidRDefault="00995241" w:rsidP="00995241">
      <w:pPr>
        <w:rPr>
          <w:rFonts w:ascii="Arial" w:hAnsi="Arial" w:cs="Arial"/>
          <w:sz w:val="24"/>
          <w:szCs w:val="24"/>
        </w:rPr>
      </w:pPr>
      <w:r w:rsidRPr="00E15654">
        <w:rPr>
          <w:rFonts w:ascii="Arial" w:hAnsi="Arial" w:cs="Arial"/>
          <w:sz w:val="24"/>
          <w:szCs w:val="24"/>
        </w:rPr>
        <w:t>Zakaria, N. (2017) 'Emergent patterns of switching behaviors and intercultural communication styles of global virtual teams during distributed decision making', </w:t>
      </w:r>
      <w:r w:rsidRPr="00E15654">
        <w:rPr>
          <w:rFonts w:ascii="Arial" w:hAnsi="Arial" w:cs="Arial"/>
          <w:i/>
          <w:iCs/>
          <w:sz w:val="24"/>
          <w:szCs w:val="24"/>
        </w:rPr>
        <w:t>Journal of International Management</w:t>
      </w:r>
      <w:r w:rsidRPr="00E15654">
        <w:rPr>
          <w:rFonts w:ascii="Arial" w:hAnsi="Arial" w:cs="Arial"/>
          <w:sz w:val="24"/>
          <w:szCs w:val="24"/>
        </w:rPr>
        <w:t>, 23(4), pp. 350-366.</w:t>
      </w:r>
    </w:p>
    <w:p w14:paraId="5C8DBEDB" w14:textId="77777777" w:rsidR="002175DC" w:rsidRDefault="002175DC"/>
    <w:sectPr w:rsidR="002175DC" w:rsidSect="002175DC">
      <w:footerReference w:type="default" r:id="rId22"/>
      <w:pgSz w:w="12240" w:h="15840"/>
      <w:pgMar w:top="1685" w:right="1080" w:bottom="274"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AB63CC" w14:textId="77777777" w:rsidR="00E17E64" w:rsidRDefault="00E17E64" w:rsidP="00995241">
      <w:pPr>
        <w:spacing w:after="0" w:line="240" w:lineRule="auto"/>
      </w:pPr>
      <w:r>
        <w:separator/>
      </w:r>
    </w:p>
  </w:endnote>
  <w:endnote w:type="continuationSeparator" w:id="0">
    <w:p w14:paraId="70439F30" w14:textId="77777777" w:rsidR="00E17E64" w:rsidRDefault="00E17E64" w:rsidP="00995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642140"/>
      <w:docPartObj>
        <w:docPartGallery w:val="Page Numbers (Bottom of Page)"/>
        <w:docPartUnique/>
      </w:docPartObj>
    </w:sdtPr>
    <w:sdtEndPr>
      <w:rPr>
        <w:noProof/>
      </w:rPr>
    </w:sdtEndPr>
    <w:sdtContent>
      <w:p w14:paraId="5A6E49E3" w14:textId="52D78149" w:rsidR="00995241" w:rsidRDefault="009952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984363" w14:textId="77777777" w:rsidR="00995241" w:rsidRDefault="00995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5764DC" w14:textId="77777777" w:rsidR="00E17E64" w:rsidRDefault="00E17E64" w:rsidP="00995241">
      <w:pPr>
        <w:spacing w:after="0" w:line="240" w:lineRule="auto"/>
      </w:pPr>
      <w:r>
        <w:separator/>
      </w:r>
    </w:p>
  </w:footnote>
  <w:footnote w:type="continuationSeparator" w:id="0">
    <w:p w14:paraId="12CE17F7" w14:textId="77777777" w:rsidR="00E17E64" w:rsidRDefault="00E17E64" w:rsidP="009952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241"/>
    <w:rsid w:val="000A0E50"/>
    <w:rsid w:val="000B5401"/>
    <w:rsid w:val="001C21E5"/>
    <w:rsid w:val="002102F1"/>
    <w:rsid w:val="002175DC"/>
    <w:rsid w:val="00253AE0"/>
    <w:rsid w:val="002D401C"/>
    <w:rsid w:val="0048101B"/>
    <w:rsid w:val="0056574F"/>
    <w:rsid w:val="00603B91"/>
    <w:rsid w:val="006412B1"/>
    <w:rsid w:val="006C4EEF"/>
    <w:rsid w:val="00794461"/>
    <w:rsid w:val="008A5DA4"/>
    <w:rsid w:val="008E7254"/>
    <w:rsid w:val="009363CC"/>
    <w:rsid w:val="00995241"/>
    <w:rsid w:val="00E17E64"/>
    <w:rsid w:val="00E81A0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3D73D"/>
  <w15:chartTrackingRefBased/>
  <w15:docId w15:val="{927C5579-4D09-47AD-AC63-9C9CAE234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5241"/>
    <w:pPr>
      <w:spacing w:line="259" w:lineRule="auto"/>
    </w:pPr>
    <w:rPr>
      <w:rFonts w:cs="Vrinda"/>
      <w:kern w:val="0"/>
      <w:sz w:val="22"/>
      <w:szCs w:val="28"/>
    </w:rPr>
  </w:style>
  <w:style w:type="paragraph" w:styleId="Heading1">
    <w:name w:val="heading 1"/>
    <w:basedOn w:val="Normal"/>
    <w:next w:val="Normal"/>
    <w:link w:val="Heading1Char"/>
    <w:uiPriority w:val="9"/>
    <w:qFormat/>
    <w:rsid w:val="00995241"/>
    <w:pPr>
      <w:keepNext/>
      <w:keepLines/>
      <w:spacing w:before="360" w:after="80" w:line="278" w:lineRule="auto"/>
      <w:outlineLvl w:val="0"/>
    </w:pPr>
    <w:rPr>
      <w:rFonts w:asciiTheme="majorHAnsi" w:eastAsiaTheme="majorEastAsia" w:hAnsiTheme="majorHAnsi" w:cstheme="majorBidi"/>
      <w:color w:val="2F5496" w:themeColor="accent1" w:themeShade="BF"/>
      <w:kern w:val="2"/>
      <w:sz w:val="40"/>
      <w:szCs w:val="50"/>
    </w:rPr>
  </w:style>
  <w:style w:type="paragraph" w:styleId="Heading2">
    <w:name w:val="heading 2"/>
    <w:basedOn w:val="Normal"/>
    <w:next w:val="Normal"/>
    <w:link w:val="Heading2Char"/>
    <w:uiPriority w:val="9"/>
    <w:semiHidden/>
    <w:unhideWhenUsed/>
    <w:qFormat/>
    <w:rsid w:val="00995241"/>
    <w:pPr>
      <w:keepNext/>
      <w:keepLines/>
      <w:spacing w:before="160" w:after="80" w:line="278" w:lineRule="auto"/>
      <w:outlineLvl w:val="1"/>
    </w:pPr>
    <w:rPr>
      <w:rFonts w:asciiTheme="majorHAnsi" w:eastAsiaTheme="majorEastAsia" w:hAnsiTheme="majorHAnsi" w:cstheme="majorBidi"/>
      <w:color w:val="2F5496" w:themeColor="accent1" w:themeShade="BF"/>
      <w:kern w:val="2"/>
      <w:sz w:val="32"/>
      <w:szCs w:val="40"/>
    </w:rPr>
  </w:style>
  <w:style w:type="paragraph" w:styleId="Heading3">
    <w:name w:val="heading 3"/>
    <w:basedOn w:val="Normal"/>
    <w:next w:val="Normal"/>
    <w:link w:val="Heading3Char"/>
    <w:uiPriority w:val="9"/>
    <w:semiHidden/>
    <w:unhideWhenUsed/>
    <w:qFormat/>
    <w:rsid w:val="00995241"/>
    <w:pPr>
      <w:keepNext/>
      <w:keepLines/>
      <w:spacing w:before="160" w:after="80" w:line="278" w:lineRule="auto"/>
      <w:outlineLvl w:val="2"/>
    </w:pPr>
    <w:rPr>
      <w:rFonts w:eastAsiaTheme="majorEastAsia" w:cstheme="majorBidi"/>
      <w:color w:val="2F5496" w:themeColor="accent1" w:themeShade="BF"/>
      <w:kern w:val="2"/>
      <w:sz w:val="28"/>
      <w:szCs w:val="35"/>
    </w:rPr>
  </w:style>
  <w:style w:type="paragraph" w:styleId="Heading4">
    <w:name w:val="heading 4"/>
    <w:basedOn w:val="Normal"/>
    <w:next w:val="Normal"/>
    <w:link w:val="Heading4Char"/>
    <w:uiPriority w:val="9"/>
    <w:semiHidden/>
    <w:unhideWhenUsed/>
    <w:qFormat/>
    <w:rsid w:val="00995241"/>
    <w:pPr>
      <w:keepNext/>
      <w:keepLines/>
      <w:spacing w:before="80" w:after="40" w:line="278" w:lineRule="auto"/>
      <w:outlineLvl w:val="3"/>
    </w:pPr>
    <w:rPr>
      <w:rFonts w:eastAsiaTheme="majorEastAsia" w:cstheme="majorBidi"/>
      <w:i/>
      <w:iCs/>
      <w:color w:val="2F5496" w:themeColor="accent1" w:themeShade="BF"/>
      <w:kern w:val="2"/>
      <w:sz w:val="24"/>
      <w:szCs w:val="30"/>
    </w:rPr>
  </w:style>
  <w:style w:type="paragraph" w:styleId="Heading5">
    <w:name w:val="heading 5"/>
    <w:basedOn w:val="Normal"/>
    <w:next w:val="Normal"/>
    <w:link w:val="Heading5Char"/>
    <w:uiPriority w:val="9"/>
    <w:semiHidden/>
    <w:unhideWhenUsed/>
    <w:qFormat/>
    <w:rsid w:val="00995241"/>
    <w:pPr>
      <w:keepNext/>
      <w:keepLines/>
      <w:spacing w:before="80" w:after="40" w:line="278" w:lineRule="auto"/>
      <w:outlineLvl w:val="4"/>
    </w:pPr>
    <w:rPr>
      <w:rFonts w:eastAsiaTheme="majorEastAsia" w:cstheme="majorBidi"/>
      <w:color w:val="2F5496" w:themeColor="accent1" w:themeShade="BF"/>
      <w:kern w:val="2"/>
      <w:sz w:val="24"/>
      <w:szCs w:val="30"/>
    </w:rPr>
  </w:style>
  <w:style w:type="paragraph" w:styleId="Heading6">
    <w:name w:val="heading 6"/>
    <w:basedOn w:val="Normal"/>
    <w:next w:val="Normal"/>
    <w:link w:val="Heading6Char"/>
    <w:uiPriority w:val="9"/>
    <w:semiHidden/>
    <w:unhideWhenUsed/>
    <w:qFormat/>
    <w:rsid w:val="00995241"/>
    <w:pPr>
      <w:keepNext/>
      <w:keepLines/>
      <w:spacing w:before="40" w:after="0" w:line="278" w:lineRule="auto"/>
      <w:outlineLvl w:val="5"/>
    </w:pPr>
    <w:rPr>
      <w:rFonts w:eastAsiaTheme="majorEastAsia" w:cstheme="majorBidi"/>
      <w:i/>
      <w:iCs/>
      <w:color w:val="595959" w:themeColor="text1" w:themeTint="A6"/>
      <w:kern w:val="2"/>
      <w:sz w:val="24"/>
      <w:szCs w:val="30"/>
    </w:rPr>
  </w:style>
  <w:style w:type="paragraph" w:styleId="Heading7">
    <w:name w:val="heading 7"/>
    <w:basedOn w:val="Normal"/>
    <w:next w:val="Normal"/>
    <w:link w:val="Heading7Char"/>
    <w:uiPriority w:val="9"/>
    <w:semiHidden/>
    <w:unhideWhenUsed/>
    <w:qFormat/>
    <w:rsid w:val="00995241"/>
    <w:pPr>
      <w:keepNext/>
      <w:keepLines/>
      <w:spacing w:before="40" w:after="0" w:line="278" w:lineRule="auto"/>
      <w:outlineLvl w:val="6"/>
    </w:pPr>
    <w:rPr>
      <w:rFonts w:eastAsiaTheme="majorEastAsia" w:cstheme="majorBidi"/>
      <w:color w:val="595959" w:themeColor="text1" w:themeTint="A6"/>
      <w:kern w:val="2"/>
      <w:sz w:val="24"/>
      <w:szCs w:val="30"/>
    </w:rPr>
  </w:style>
  <w:style w:type="paragraph" w:styleId="Heading8">
    <w:name w:val="heading 8"/>
    <w:basedOn w:val="Normal"/>
    <w:next w:val="Normal"/>
    <w:link w:val="Heading8Char"/>
    <w:uiPriority w:val="9"/>
    <w:semiHidden/>
    <w:unhideWhenUsed/>
    <w:qFormat/>
    <w:rsid w:val="00995241"/>
    <w:pPr>
      <w:keepNext/>
      <w:keepLines/>
      <w:spacing w:after="0" w:line="278" w:lineRule="auto"/>
      <w:outlineLvl w:val="7"/>
    </w:pPr>
    <w:rPr>
      <w:rFonts w:eastAsiaTheme="majorEastAsia" w:cstheme="majorBidi"/>
      <w:i/>
      <w:iCs/>
      <w:color w:val="272727" w:themeColor="text1" w:themeTint="D8"/>
      <w:kern w:val="2"/>
      <w:sz w:val="24"/>
      <w:szCs w:val="30"/>
    </w:rPr>
  </w:style>
  <w:style w:type="paragraph" w:styleId="Heading9">
    <w:name w:val="heading 9"/>
    <w:basedOn w:val="Normal"/>
    <w:next w:val="Normal"/>
    <w:link w:val="Heading9Char"/>
    <w:uiPriority w:val="9"/>
    <w:semiHidden/>
    <w:unhideWhenUsed/>
    <w:qFormat/>
    <w:rsid w:val="00995241"/>
    <w:pPr>
      <w:keepNext/>
      <w:keepLines/>
      <w:spacing w:after="0" w:line="278" w:lineRule="auto"/>
      <w:outlineLvl w:val="8"/>
    </w:pPr>
    <w:rPr>
      <w:rFonts w:eastAsiaTheme="majorEastAsia" w:cstheme="majorBidi"/>
      <w:color w:val="272727" w:themeColor="text1" w:themeTint="D8"/>
      <w:kern w:val="2"/>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5241"/>
    <w:rPr>
      <w:rFonts w:asciiTheme="majorHAnsi" w:eastAsiaTheme="majorEastAsia" w:hAnsiTheme="majorHAnsi" w:cstheme="majorBidi"/>
      <w:color w:val="2F5496" w:themeColor="accent1" w:themeShade="BF"/>
      <w:sz w:val="40"/>
      <w:szCs w:val="50"/>
    </w:rPr>
  </w:style>
  <w:style w:type="character" w:customStyle="1" w:styleId="Heading2Char">
    <w:name w:val="Heading 2 Char"/>
    <w:basedOn w:val="DefaultParagraphFont"/>
    <w:link w:val="Heading2"/>
    <w:uiPriority w:val="9"/>
    <w:semiHidden/>
    <w:rsid w:val="00995241"/>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semiHidden/>
    <w:rsid w:val="00995241"/>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99524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9524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95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5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5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5241"/>
    <w:rPr>
      <w:rFonts w:eastAsiaTheme="majorEastAsia" w:cstheme="majorBidi"/>
      <w:color w:val="272727" w:themeColor="text1" w:themeTint="D8"/>
    </w:rPr>
  </w:style>
  <w:style w:type="paragraph" w:styleId="Title">
    <w:name w:val="Title"/>
    <w:basedOn w:val="Normal"/>
    <w:next w:val="Normal"/>
    <w:link w:val="TitleChar"/>
    <w:uiPriority w:val="10"/>
    <w:qFormat/>
    <w:rsid w:val="00995241"/>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995241"/>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995241"/>
    <w:pPr>
      <w:numPr>
        <w:ilvl w:val="1"/>
      </w:numPr>
      <w:spacing w:line="278" w:lineRule="auto"/>
    </w:pPr>
    <w:rPr>
      <w:rFonts w:eastAsiaTheme="majorEastAsia" w:cstheme="majorBidi"/>
      <w:color w:val="595959" w:themeColor="text1" w:themeTint="A6"/>
      <w:spacing w:val="15"/>
      <w:kern w:val="2"/>
      <w:sz w:val="28"/>
      <w:szCs w:val="35"/>
    </w:rPr>
  </w:style>
  <w:style w:type="character" w:customStyle="1" w:styleId="SubtitleChar">
    <w:name w:val="Subtitle Char"/>
    <w:basedOn w:val="DefaultParagraphFont"/>
    <w:link w:val="Subtitle"/>
    <w:uiPriority w:val="11"/>
    <w:rsid w:val="00995241"/>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995241"/>
    <w:pPr>
      <w:spacing w:before="160" w:line="278" w:lineRule="auto"/>
      <w:jc w:val="center"/>
    </w:pPr>
    <w:rPr>
      <w:rFonts w:cstheme="minorBidi"/>
      <w:i/>
      <w:iCs/>
      <w:color w:val="404040" w:themeColor="text1" w:themeTint="BF"/>
      <w:kern w:val="2"/>
      <w:sz w:val="24"/>
      <w:szCs w:val="30"/>
    </w:rPr>
  </w:style>
  <w:style w:type="character" w:customStyle="1" w:styleId="QuoteChar">
    <w:name w:val="Quote Char"/>
    <w:basedOn w:val="DefaultParagraphFont"/>
    <w:link w:val="Quote"/>
    <w:uiPriority w:val="29"/>
    <w:rsid w:val="00995241"/>
    <w:rPr>
      <w:i/>
      <w:iCs/>
      <w:color w:val="404040" w:themeColor="text1" w:themeTint="BF"/>
    </w:rPr>
  </w:style>
  <w:style w:type="paragraph" w:styleId="ListParagraph">
    <w:name w:val="List Paragraph"/>
    <w:basedOn w:val="Normal"/>
    <w:uiPriority w:val="34"/>
    <w:qFormat/>
    <w:rsid w:val="00995241"/>
    <w:pPr>
      <w:spacing w:line="278" w:lineRule="auto"/>
      <w:ind w:left="720"/>
      <w:contextualSpacing/>
    </w:pPr>
    <w:rPr>
      <w:rFonts w:cstheme="minorBidi"/>
      <w:kern w:val="2"/>
      <w:sz w:val="24"/>
      <w:szCs w:val="30"/>
    </w:rPr>
  </w:style>
  <w:style w:type="character" w:styleId="IntenseEmphasis">
    <w:name w:val="Intense Emphasis"/>
    <w:basedOn w:val="DefaultParagraphFont"/>
    <w:uiPriority w:val="21"/>
    <w:qFormat/>
    <w:rsid w:val="00995241"/>
    <w:rPr>
      <w:i/>
      <w:iCs/>
      <w:color w:val="2F5496" w:themeColor="accent1" w:themeShade="BF"/>
    </w:rPr>
  </w:style>
  <w:style w:type="paragraph" w:styleId="IntenseQuote">
    <w:name w:val="Intense Quote"/>
    <w:basedOn w:val="Normal"/>
    <w:next w:val="Normal"/>
    <w:link w:val="IntenseQuoteChar"/>
    <w:uiPriority w:val="30"/>
    <w:qFormat/>
    <w:rsid w:val="00995241"/>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cstheme="minorBidi"/>
      <w:i/>
      <w:iCs/>
      <w:color w:val="2F5496" w:themeColor="accent1" w:themeShade="BF"/>
      <w:kern w:val="2"/>
      <w:sz w:val="24"/>
      <w:szCs w:val="30"/>
    </w:rPr>
  </w:style>
  <w:style w:type="character" w:customStyle="1" w:styleId="IntenseQuoteChar">
    <w:name w:val="Intense Quote Char"/>
    <w:basedOn w:val="DefaultParagraphFont"/>
    <w:link w:val="IntenseQuote"/>
    <w:uiPriority w:val="30"/>
    <w:rsid w:val="00995241"/>
    <w:rPr>
      <w:i/>
      <w:iCs/>
      <w:color w:val="2F5496" w:themeColor="accent1" w:themeShade="BF"/>
    </w:rPr>
  </w:style>
  <w:style w:type="character" w:styleId="IntenseReference">
    <w:name w:val="Intense Reference"/>
    <w:basedOn w:val="DefaultParagraphFont"/>
    <w:uiPriority w:val="32"/>
    <w:qFormat/>
    <w:rsid w:val="00995241"/>
    <w:rPr>
      <w:b/>
      <w:bCs/>
      <w:smallCaps/>
      <w:color w:val="2F5496" w:themeColor="accent1" w:themeShade="BF"/>
      <w:spacing w:val="5"/>
    </w:rPr>
  </w:style>
  <w:style w:type="character" w:styleId="Hyperlink">
    <w:name w:val="Hyperlink"/>
    <w:basedOn w:val="DefaultParagraphFont"/>
    <w:uiPriority w:val="99"/>
    <w:unhideWhenUsed/>
    <w:rsid w:val="00995241"/>
    <w:rPr>
      <w:color w:val="0563C1" w:themeColor="hyperlink"/>
      <w:u w:val="single"/>
    </w:rPr>
  </w:style>
  <w:style w:type="paragraph" w:styleId="Header">
    <w:name w:val="header"/>
    <w:basedOn w:val="Normal"/>
    <w:link w:val="HeaderChar"/>
    <w:uiPriority w:val="99"/>
    <w:unhideWhenUsed/>
    <w:rsid w:val="009952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5241"/>
    <w:rPr>
      <w:rFonts w:cs="Vrinda"/>
      <w:kern w:val="0"/>
      <w:sz w:val="22"/>
      <w:szCs w:val="28"/>
    </w:rPr>
  </w:style>
  <w:style w:type="paragraph" w:styleId="Footer">
    <w:name w:val="footer"/>
    <w:basedOn w:val="Normal"/>
    <w:link w:val="FooterChar"/>
    <w:uiPriority w:val="99"/>
    <w:unhideWhenUsed/>
    <w:rsid w:val="009952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5241"/>
    <w:rPr>
      <w:rFonts w:cs="Vrinda"/>
      <w:kern w:val="0"/>
      <w:sz w:val="22"/>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joshbersin.com/2018/02/the-employee-experience-platform-a-new-category-arrives/" TargetMode="External"/><Relationship Id="rId18" Type="http://schemas.openxmlformats.org/officeDocument/2006/relationships/hyperlink" Target="https://www.pwc.com/gx/en/issues/workforce/hopes-and-fears.html" TargetMode="External"/><Relationship Id="rId3" Type="http://schemas.openxmlformats.org/officeDocument/2006/relationships/webSettings" Target="webSettings.xml"/><Relationship Id="rId21" Type="http://schemas.openxmlformats.org/officeDocument/2006/relationships/hyperlink" Target="https://www.weforum.org/reports/the-future-of-jobs-report-2023/" TargetMode="External"/><Relationship Id="rId7" Type="http://schemas.openxmlformats.org/officeDocument/2006/relationships/image" Target="media/image2.png"/><Relationship Id="rId12" Type="http://schemas.openxmlformats.org/officeDocument/2006/relationships/hyperlink" Target="https://www.artofit.org/image-gallery/406379566386317049/employee-experience-design-all-hr-needs-to-know/" TargetMode="External"/><Relationship Id="rId17" Type="http://schemas.openxmlformats.org/officeDocument/2006/relationships/hyperlink" Target="https://blog.crisp.se/wp-content/uploads/2012/11/SpotifyScaling.pdf" TargetMode="External"/><Relationship Id="rId2" Type="http://schemas.openxmlformats.org/officeDocument/2006/relationships/settings" Target="settings.xml"/><Relationship Id="rId16" Type="http://schemas.openxmlformats.org/officeDocument/2006/relationships/hyperlink" Target="https://geerthofstede.com/research-and-vsm/vsm-2013/" TargetMode="External"/><Relationship Id="rId20" Type="http://schemas.openxmlformats.org/officeDocument/2006/relationships/hyperlink" Target="https://venngage.com/templates/dashboards/hr-dashboard"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aihr.com/blog/hr-service-model/"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gartner.com/en/human-resources/trends/top-priorities-for-hr-leaders" TargetMode="External"/><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talentstrategygroup.com/using-experience-maps-to-accelerate-development/" TargetMode="Externa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www.cipd.co.uk/knowledge/culture/employee-experience-factshee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16</Pages>
  <Words>3927</Words>
  <Characters>22387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Tarikul Islam Tarek</dc:creator>
  <cp:keywords/>
  <dc:description/>
  <cp:lastModifiedBy>Tarikul Islam Tarek</cp:lastModifiedBy>
  <cp:revision>6</cp:revision>
  <dcterms:created xsi:type="dcterms:W3CDTF">2025-10-17T02:09:00Z</dcterms:created>
  <dcterms:modified xsi:type="dcterms:W3CDTF">2025-10-17T02:53:00Z</dcterms:modified>
</cp:coreProperties>
</file>