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446D" w:rsidRDefault="0022446D" w:rsidP="0022446D">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22446D" w:rsidRDefault="0022446D" w:rsidP="0022446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22446D" w:rsidRPr="001E50BB" w:rsidRDefault="0022446D" w:rsidP="0022446D">
      <w:pPr>
        <w:jc w:val="center"/>
        <w:rPr>
          <w:rFonts w:ascii="Arial" w:hAnsi="Arial" w:cs="Arial"/>
          <w:b/>
          <w:lang w:val="cy-GB"/>
        </w:rPr>
      </w:pPr>
      <w:r w:rsidRPr="001E50BB">
        <w:rPr>
          <w:rFonts w:ascii="Arial" w:hAnsi="Arial" w:cs="Arial"/>
          <w:b/>
          <w:lang w:val="cy-GB"/>
        </w:rPr>
        <w:t>(to be completed by marker)</w:t>
      </w:r>
    </w:p>
    <w:p w:rsidR="0022446D" w:rsidRPr="001E50BB" w:rsidRDefault="0022446D" w:rsidP="0022446D">
      <w:pPr>
        <w:jc w:val="center"/>
        <w:rPr>
          <w:rFonts w:ascii="Arial" w:hAnsi="Arial" w:cs="Arial"/>
          <w:b/>
          <w:lang w:val="cy-GB"/>
        </w:rPr>
      </w:pPr>
    </w:p>
    <w:p w:rsidR="0022446D" w:rsidRDefault="0022446D" w:rsidP="0022446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2446D" w:rsidRPr="0065654E" w:rsidTr="00E53D5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22446D" w:rsidRDefault="0022446D" w:rsidP="00E53D5F">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0B44D7">
              <w:rPr>
                <w:rFonts w:ascii="Calibri" w:hAnsi="Calibri" w:cs="Tahoma"/>
                <w:i/>
                <w:sz w:val="24"/>
                <w:szCs w:val="24"/>
              </w:rPr>
              <w:t xml:space="preserve"> </w:t>
            </w:r>
            <w:r>
              <w:rPr>
                <w:rFonts w:ascii="Calibri" w:hAnsi="Calibri" w:cs="Tahoma"/>
                <w:i/>
                <w:sz w:val="24"/>
                <w:szCs w:val="24"/>
              </w:rPr>
              <w:t>David Shaw</w:t>
            </w:r>
          </w:p>
          <w:p w:rsidR="0022446D" w:rsidRPr="0065654E" w:rsidRDefault="0022446D" w:rsidP="00E53D5F">
            <w:pPr>
              <w:pStyle w:val="NormalWeb"/>
              <w:spacing w:before="0" w:beforeAutospacing="0" w:after="0" w:afterAutospacing="0"/>
              <w:ind w:right="34"/>
              <w:rPr>
                <w:rFonts w:ascii="Calibri" w:hAnsi="Calibri" w:cs="Tahoma"/>
                <w:i/>
                <w:sz w:val="24"/>
                <w:szCs w:val="24"/>
              </w:rPr>
            </w:pPr>
          </w:p>
        </w:tc>
      </w:tr>
      <w:tr w:rsidR="0022446D" w:rsidRPr="0065654E" w:rsidTr="00E53D5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22446D" w:rsidRPr="0065654E" w:rsidRDefault="0022446D" w:rsidP="00E53D5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0B44D7">
              <w:rPr>
                <w:rFonts w:ascii="Calibri" w:hAnsi="Calibri" w:cs="Tahoma"/>
                <w:i/>
                <w:sz w:val="24"/>
                <w:szCs w:val="24"/>
              </w:rPr>
              <w:t xml:space="preserve"> Contemporary Metaphysics</w:t>
            </w:r>
          </w:p>
        </w:tc>
        <w:tc>
          <w:tcPr>
            <w:tcW w:w="3967" w:type="dxa"/>
            <w:gridSpan w:val="2"/>
            <w:tcBorders>
              <w:top w:val="single" w:sz="4" w:space="0" w:color="auto"/>
              <w:left w:val="single" w:sz="4" w:space="0" w:color="auto"/>
              <w:bottom w:val="single" w:sz="4" w:space="0" w:color="auto"/>
              <w:right w:val="single" w:sz="4" w:space="0" w:color="auto"/>
            </w:tcBorders>
          </w:tcPr>
          <w:p w:rsidR="0022446D" w:rsidRPr="0065654E" w:rsidRDefault="0022446D" w:rsidP="00E53D5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1301634</w:t>
            </w:r>
          </w:p>
        </w:tc>
      </w:tr>
      <w:tr w:rsidR="0022446D" w:rsidRPr="0065654E" w:rsidTr="00E53D5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22446D" w:rsidRPr="0065654E" w:rsidRDefault="0022446D" w:rsidP="00E53D5F">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22446D" w:rsidRDefault="0022446D" w:rsidP="00E53D5F">
            <w:pPr>
              <w:pStyle w:val="NormalWeb"/>
              <w:rPr>
                <w:rFonts w:ascii="Calibri" w:hAnsi="Calibri" w:cs="Tahoma"/>
                <w:i/>
                <w:sz w:val="24"/>
                <w:szCs w:val="24"/>
              </w:rPr>
            </w:pPr>
            <w:r w:rsidRPr="0065654E">
              <w:rPr>
                <w:rFonts w:ascii="Calibri" w:hAnsi="Calibri" w:cs="Tahoma"/>
                <w:i/>
                <w:sz w:val="24"/>
                <w:szCs w:val="24"/>
              </w:rPr>
              <w:t>Comments:</w:t>
            </w: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Default="0022446D" w:rsidP="00E53D5F">
            <w:pPr>
              <w:pStyle w:val="NormalWeb"/>
              <w:rPr>
                <w:rFonts w:ascii="Calibri" w:hAnsi="Calibri" w:cs="Tahoma"/>
                <w:i/>
                <w:sz w:val="24"/>
                <w:szCs w:val="24"/>
              </w:rPr>
            </w:pPr>
          </w:p>
          <w:p w:rsidR="0022446D" w:rsidRPr="0065654E" w:rsidRDefault="0022446D" w:rsidP="00E53D5F">
            <w:pPr>
              <w:pStyle w:val="NormalWeb"/>
              <w:rPr>
                <w:rFonts w:ascii="Calibri" w:hAnsi="Calibri" w:cs="Tahoma"/>
                <w:i/>
                <w:sz w:val="24"/>
                <w:szCs w:val="24"/>
              </w:rPr>
            </w:pPr>
          </w:p>
        </w:tc>
      </w:tr>
      <w:tr w:rsidR="0022446D" w:rsidRPr="0065654E" w:rsidTr="00E53D5F">
        <w:trPr>
          <w:trHeight w:val="492"/>
        </w:trPr>
        <w:tc>
          <w:tcPr>
            <w:tcW w:w="6768" w:type="dxa"/>
            <w:gridSpan w:val="2"/>
            <w:tcBorders>
              <w:top w:val="single" w:sz="4" w:space="0" w:color="auto"/>
            </w:tcBorders>
            <w:vAlign w:val="center"/>
          </w:tcPr>
          <w:p w:rsidR="0022446D" w:rsidRPr="0065654E" w:rsidRDefault="0022446D" w:rsidP="00E53D5F">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22446D" w:rsidRPr="0065654E" w:rsidRDefault="0022446D" w:rsidP="00E53D5F">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22446D" w:rsidRPr="0065654E" w:rsidTr="00E53D5F">
        <w:tc>
          <w:tcPr>
            <w:tcW w:w="8755" w:type="dxa"/>
            <w:gridSpan w:val="3"/>
            <w:vAlign w:val="center"/>
          </w:tcPr>
          <w:p w:rsidR="0022446D" w:rsidRDefault="0022446D" w:rsidP="00E53D5F">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22446D" w:rsidRPr="0065654E" w:rsidRDefault="0022446D" w:rsidP="00E53D5F">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C938A5" w:rsidRDefault="0022446D" w:rsidP="000A38D7">
      <w:pPr>
        <w:jc w:val="center"/>
        <w:rPr>
          <w:sz w:val="32"/>
          <w:szCs w:val="32"/>
        </w:rPr>
      </w:pPr>
      <w:r>
        <w:rPr>
          <w:b/>
          <w:sz w:val="36"/>
          <w:szCs w:val="36"/>
          <w:u w:val="single"/>
        </w:rPr>
        <w:lastRenderedPageBreak/>
        <w:t xml:space="preserve">  </w:t>
      </w:r>
      <w:r w:rsidR="000A38D7">
        <w:rPr>
          <w:b/>
          <w:sz w:val="36"/>
          <w:szCs w:val="36"/>
          <w:u w:val="single"/>
        </w:rPr>
        <w:t xml:space="preserve">‘In the World there Exists Nothing Except Particulars. Hence Nominalism of Some Kind Must be True’. Examine Critically this Assertion about Universals. </w:t>
      </w:r>
    </w:p>
    <w:p w:rsidR="000A38D7" w:rsidRDefault="000A38D7" w:rsidP="000A38D7">
      <w:pPr>
        <w:rPr>
          <w:sz w:val="32"/>
          <w:szCs w:val="32"/>
          <w:u w:val="single"/>
        </w:rPr>
      </w:pPr>
      <w:r>
        <w:rPr>
          <w:sz w:val="32"/>
          <w:szCs w:val="32"/>
        </w:rPr>
        <w:t xml:space="preserve">     </w:t>
      </w:r>
      <w:r>
        <w:rPr>
          <w:sz w:val="32"/>
          <w:szCs w:val="32"/>
          <w:u w:val="single"/>
        </w:rPr>
        <w:t>Introduction:</w:t>
      </w:r>
    </w:p>
    <w:p w:rsidR="00903977" w:rsidRDefault="000A38D7" w:rsidP="000A38D7">
      <w:pPr>
        <w:rPr>
          <w:sz w:val="28"/>
          <w:szCs w:val="28"/>
        </w:rPr>
      </w:pPr>
      <w:r w:rsidRPr="000A38D7">
        <w:rPr>
          <w:sz w:val="28"/>
          <w:szCs w:val="28"/>
        </w:rPr>
        <w:t xml:space="preserve">                       In this essay I am going to try to show that it does not have to be the case that </w:t>
      </w:r>
      <w:r>
        <w:rPr>
          <w:sz w:val="28"/>
          <w:szCs w:val="28"/>
        </w:rPr>
        <w:t xml:space="preserve">‘there exists nothing except particulars’ in the world, and, therefore, </w:t>
      </w:r>
      <w:r w:rsidR="00836533">
        <w:rPr>
          <w:sz w:val="28"/>
          <w:szCs w:val="28"/>
        </w:rPr>
        <w:t>N</w:t>
      </w:r>
      <w:r>
        <w:rPr>
          <w:sz w:val="28"/>
          <w:szCs w:val="28"/>
        </w:rPr>
        <w:t>ominalism of some kind does not have to be true. I am n</w:t>
      </w:r>
      <w:r w:rsidR="002A154C">
        <w:rPr>
          <w:sz w:val="28"/>
          <w:szCs w:val="28"/>
        </w:rPr>
        <w:t>ot going to argue that there is no such thing as</w:t>
      </w:r>
      <w:r>
        <w:rPr>
          <w:sz w:val="28"/>
          <w:szCs w:val="28"/>
        </w:rPr>
        <w:t xml:space="preserve"> particulars in the world, only that</w:t>
      </w:r>
      <w:r w:rsidR="002A154C">
        <w:rPr>
          <w:sz w:val="28"/>
          <w:szCs w:val="28"/>
        </w:rPr>
        <w:t xml:space="preserve"> universals have</w:t>
      </w:r>
      <w:r>
        <w:rPr>
          <w:sz w:val="28"/>
          <w:szCs w:val="28"/>
        </w:rPr>
        <w:t xml:space="preserve"> </w:t>
      </w:r>
      <w:r w:rsidR="002A154C">
        <w:rPr>
          <w:sz w:val="28"/>
          <w:szCs w:val="28"/>
        </w:rPr>
        <w:t>just as much presence in the world as particulars.</w:t>
      </w:r>
      <w:r w:rsidR="00022798">
        <w:rPr>
          <w:sz w:val="28"/>
          <w:szCs w:val="28"/>
        </w:rPr>
        <w:t xml:space="preserve"> There are 4 </w:t>
      </w:r>
      <w:r w:rsidR="00903977">
        <w:rPr>
          <w:sz w:val="28"/>
          <w:szCs w:val="28"/>
        </w:rPr>
        <w:t xml:space="preserve">different kinds of </w:t>
      </w:r>
      <w:r w:rsidR="00836533">
        <w:rPr>
          <w:sz w:val="28"/>
          <w:szCs w:val="28"/>
        </w:rPr>
        <w:t>N</w:t>
      </w:r>
      <w:r w:rsidR="00903977">
        <w:rPr>
          <w:sz w:val="28"/>
          <w:szCs w:val="28"/>
        </w:rPr>
        <w:t xml:space="preserve">ominalism that I </w:t>
      </w:r>
      <w:r w:rsidR="00D071FF">
        <w:rPr>
          <w:sz w:val="28"/>
          <w:szCs w:val="28"/>
        </w:rPr>
        <w:t>shall be arguing against</w:t>
      </w:r>
      <w:r w:rsidR="00903977">
        <w:rPr>
          <w:sz w:val="28"/>
          <w:szCs w:val="28"/>
        </w:rPr>
        <w:t xml:space="preserve"> in this essay</w:t>
      </w:r>
      <w:r w:rsidR="00D071FF">
        <w:rPr>
          <w:sz w:val="28"/>
          <w:szCs w:val="28"/>
        </w:rPr>
        <w:t xml:space="preserve">: </w:t>
      </w:r>
      <w:r w:rsidR="00903977">
        <w:rPr>
          <w:sz w:val="28"/>
          <w:szCs w:val="28"/>
        </w:rPr>
        <w:t xml:space="preserve"> ‘</w:t>
      </w:r>
      <w:r w:rsidR="00836533">
        <w:rPr>
          <w:sz w:val="28"/>
          <w:szCs w:val="28"/>
        </w:rPr>
        <w:t>P</w:t>
      </w:r>
      <w:r w:rsidR="00903977">
        <w:rPr>
          <w:sz w:val="28"/>
          <w:szCs w:val="28"/>
        </w:rPr>
        <w:t>redicate</w:t>
      </w:r>
      <w:r w:rsidR="00836533">
        <w:rPr>
          <w:sz w:val="28"/>
          <w:szCs w:val="28"/>
        </w:rPr>
        <w:t xml:space="preserve"> N</w:t>
      </w:r>
      <w:r w:rsidR="00D071FF">
        <w:rPr>
          <w:sz w:val="28"/>
          <w:szCs w:val="28"/>
        </w:rPr>
        <w:t>ominalism’, ‘</w:t>
      </w:r>
      <w:r w:rsidR="00836533">
        <w:rPr>
          <w:sz w:val="28"/>
          <w:szCs w:val="28"/>
        </w:rPr>
        <w:t>Class N</w:t>
      </w:r>
      <w:r w:rsidR="00D071FF">
        <w:rPr>
          <w:sz w:val="28"/>
          <w:szCs w:val="28"/>
        </w:rPr>
        <w:t>ominalism’, ‘</w:t>
      </w:r>
      <w:r w:rsidR="00022798">
        <w:rPr>
          <w:sz w:val="28"/>
          <w:szCs w:val="28"/>
        </w:rPr>
        <w:t>Concept</w:t>
      </w:r>
      <w:r w:rsidR="00836533">
        <w:rPr>
          <w:sz w:val="28"/>
          <w:szCs w:val="28"/>
        </w:rPr>
        <w:t xml:space="preserve"> N</w:t>
      </w:r>
      <w:r w:rsidR="00D071FF">
        <w:rPr>
          <w:sz w:val="28"/>
          <w:szCs w:val="28"/>
        </w:rPr>
        <w:t>ominalism’, and ‘</w:t>
      </w:r>
      <w:r w:rsidR="00022798">
        <w:rPr>
          <w:sz w:val="28"/>
          <w:szCs w:val="28"/>
        </w:rPr>
        <w:t>Resemblance</w:t>
      </w:r>
      <w:r w:rsidR="006A5F87">
        <w:rPr>
          <w:sz w:val="28"/>
          <w:szCs w:val="28"/>
        </w:rPr>
        <w:t xml:space="preserve"> Nominalism’</w:t>
      </w:r>
      <w:r w:rsidR="00D071FF">
        <w:rPr>
          <w:sz w:val="28"/>
          <w:szCs w:val="28"/>
        </w:rPr>
        <w:t>.</w:t>
      </w:r>
      <w:r w:rsidR="006A5F87">
        <w:rPr>
          <w:sz w:val="28"/>
          <w:szCs w:val="28"/>
        </w:rPr>
        <w:t xml:space="preserve"> </w:t>
      </w:r>
      <w:r w:rsidR="0065707B">
        <w:rPr>
          <w:sz w:val="28"/>
          <w:szCs w:val="28"/>
        </w:rPr>
        <w:t>There are other forms of Nominalism</w:t>
      </w:r>
      <w:r w:rsidR="00022798">
        <w:rPr>
          <w:sz w:val="28"/>
          <w:szCs w:val="28"/>
        </w:rPr>
        <w:t>, some</w:t>
      </w:r>
      <w:r w:rsidR="0065707B">
        <w:rPr>
          <w:sz w:val="28"/>
          <w:szCs w:val="28"/>
        </w:rPr>
        <w:t xml:space="preserve"> </w:t>
      </w:r>
      <w:r w:rsidR="006A5F87">
        <w:rPr>
          <w:sz w:val="28"/>
          <w:szCs w:val="28"/>
        </w:rPr>
        <w:t>that provide very strong argume</w:t>
      </w:r>
      <w:r w:rsidR="00022798">
        <w:rPr>
          <w:sz w:val="28"/>
          <w:szCs w:val="28"/>
        </w:rPr>
        <w:t>nts against any kind of Realism, especially ‘Trope Theory’, but there are too many to consider all of them in this essay.</w:t>
      </w:r>
    </w:p>
    <w:p w:rsidR="006A5F87" w:rsidRDefault="006A5F87" w:rsidP="00525960">
      <w:pPr>
        <w:jc w:val="center"/>
        <w:rPr>
          <w:sz w:val="28"/>
          <w:szCs w:val="28"/>
        </w:rPr>
      </w:pPr>
      <w:r>
        <w:rPr>
          <w:sz w:val="28"/>
          <w:szCs w:val="28"/>
        </w:rPr>
        <w:t>‘There is one sense in which everybody agrees that particulars have properties and stand in relation to other particulars</w:t>
      </w:r>
      <w:r w:rsidR="00525960">
        <w:rPr>
          <w:sz w:val="28"/>
          <w:szCs w:val="28"/>
        </w:rPr>
        <w:t>. The piece of paper before me is a particular. It is white, so it has a property. It rests upon a table, so it is related to another particular. Such gross facts are not, or should not be, in dispute between Nominalists and Realists.’</w:t>
      </w:r>
      <w:r w:rsidR="00525960">
        <w:rPr>
          <w:rStyle w:val="FootnoteReference"/>
          <w:sz w:val="28"/>
          <w:szCs w:val="28"/>
        </w:rPr>
        <w:footnoteReference w:id="1"/>
      </w:r>
    </w:p>
    <w:p w:rsidR="00525960" w:rsidRDefault="00B174C1" w:rsidP="00525960">
      <w:pPr>
        <w:rPr>
          <w:sz w:val="28"/>
          <w:szCs w:val="28"/>
        </w:rPr>
      </w:pPr>
      <w:r>
        <w:rPr>
          <w:sz w:val="28"/>
          <w:szCs w:val="28"/>
        </w:rPr>
        <w:t xml:space="preserve">     What is in dispute is whether the same property can belong to multiple objects, whether the same relation can relate different objects, and, can there be something identical in objects which are not identical in themselves? Nominalist</w:t>
      </w:r>
      <w:r w:rsidR="0052055A">
        <w:rPr>
          <w:sz w:val="28"/>
          <w:szCs w:val="28"/>
        </w:rPr>
        <w:t xml:space="preserve">s will refute each of the above because they hold that </w:t>
      </w:r>
      <w:r w:rsidR="0052055A" w:rsidRPr="00933E53">
        <w:rPr>
          <w:i/>
          <w:sz w:val="28"/>
          <w:szCs w:val="28"/>
        </w:rPr>
        <w:t>everything that exists is particular</w:t>
      </w:r>
      <w:r w:rsidR="00933E53">
        <w:rPr>
          <w:sz w:val="28"/>
          <w:szCs w:val="28"/>
        </w:rPr>
        <w:t>. W</w:t>
      </w:r>
      <w:r>
        <w:rPr>
          <w:sz w:val="28"/>
          <w:szCs w:val="28"/>
        </w:rPr>
        <w:t>hereas</w:t>
      </w:r>
      <w:r w:rsidR="00933E53">
        <w:rPr>
          <w:sz w:val="28"/>
          <w:szCs w:val="28"/>
        </w:rPr>
        <w:t>,</w:t>
      </w:r>
      <w:r>
        <w:rPr>
          <w:sz w:val="28"/>
          <w:szCs w:val="28"/>
        </w:rPr>
        <w:t xml:space="preserve"> a Realist </w:t>
      </w:r>
      <w:r w:rsidR="0052055A">
        <w:rPr>
          <w:sz w:val="28"/>
          <w:szCs w:val="28"/>
        </w:rPr>
        <w:t>will hold that the same property can belong to multiple objects, a certain relation can relate different objects and that there can be something identical in objects which are not identical themselves, for example, whiteness that is identical within two different pieces of paper. Realists think that</w:t>
      </w:r>
      <w:r w:rsidR="00B7218B">
        <w:rPr>
          <w:sz w:val="28"/>
          <w:szCs w:val="28"/>
        </w:rPr>
        <w:t>,</w:t>
      </w:r>
      <w:r w:rsidR="0052055A">
        <w:rPr>
          <w:sz w:val="28"/>
          <w:szCs w:val="28"/>
        </w:rPr>
        <w:t xml:space="preserve"> as well as objects (particulars), there are properties (universals) which can be instantiated by different particulars</w:t>
      </w:r>
      <w:r w:rsidR="00B7218B">
        <w:rPr>
          <w:sz w:val="28"/>
          <w:szCs w:val="28"/>
        </w:rPr>
        <w:t>, in different places,</w:t>
      </w:r>
      <w:r w:rsidR="0052055A">
        <w:rPr>
          <w:sz w:val="28"/>
          <w:szCs w:val="28"/>
        </w:rPr>
        <w:t xml:space="preserve"> at the same time. </w:t>
      </w:r>
      <w:r w:rsidR="00933E53">
        <w:rPr>
          <w:sz w:val="28"/>
          <w:szCs w:val="28"/>
        </w:rPr>
        <w:t xml:space="preserve">A Realist does not need to deny that the only things that exist are particulars, but he does need to deny that there are </w:t>
      </w:r>
      <w:r w:rsidR="00933E53">
        <w:rPr>
          <w:i/>
          <w:sz w:val="28"/>
          <w:szCs w:val="28"/>
        </w:rPr>
        <w:t>only</w:t>
      </w:r>
      <w:r w:rsidR="00933E53">
        <w:rPr>
          <w:sz w:val="28"/>
          <w:szCs w:val="28"/>
        </w:rPr>
        <w:t xml:space="preserve"> particulars.</w:t>
      </w:r>
    </w:p>
    <w:p w:rsidR="00E65124" w:rsidRDefault="00B7218B" w:rsidP="00525960">
      <w:pPr>
        <w:rPr>
          <w:sz w:val="28"/>
          <w:szCs w:val="28"/>
        </w:rPr>
      </w:pPr>
      <w:r>
        <w:rPr>
          <w:sz w:val="28"/>
          <w:szCs w:val="28"/>
        </w:rPr>
        <w:lastRenderedPageBreak/>
        <w:t xml:space="preserve">     How does</w:t>
      </w:r>
      <w:r w:rsidR="00933E53">
        <w:rPr>
          <w:sz w:val="28"/>
          <w:szCs w:val="28"/>
        </w:rPr>
        <w:t xml:space="preserve"> the</w:t>
      </w:r>
      <w:r>
        <w:rPr>
          <w:sz w:val="28"/>
          <w:szCs w:val="28"/>
        </w:rPr>
        <w:t xml:space="preserve"> Predicate Nominalist </w:t>
      </w:r>
      <w:r w:rsidR="00933E53">
        <w:rPr>
          <w:sz w:val="28"/>
          <w:szCs w:val="28"/>
        </w:rPr>
        <w:t>account for t</w:t>
      </w:r>
      <w:r>
        <w:rPr>
          <w:sz w:val="28"/>
          <w:szCs w:val="28"/>
        </w:rPr>
        <w:t>he apparent</w:t>
      </w:r>
      <w:r w:rsidR="00933E53">
        <w:rPr>
          <w:sz w:val="28"/>
          <w:szCs w:val="28"/>
        </w:rPr>
        <w:t xml:space="preserve"> identity of num</w:t>
      </w:r>
      <w:r>
        <w:rPr>
          <w:sz w:val="28"/>
          <w:szCs w:val="28"/>
        </w:rPr>
        <w:t>erically different particulars?</w:t>
      </w:r>
      <w:r w:rsidR="00933E53">
        <w:rPr>
          <w:sz w:val="28"/>
          <w:szCs w:val="28"/>
        </w:rPr>
        <w:t xml:space="preserve">           </w:t>
      </w:r>
    </w:p>
    <w:p w:rsidR="00933E53" w:rsidRDefault="00E65124" w:rsidP="00525960">
      <w:pPr>
        <w:rPr>
          <w:sz w:val="28"/>
          <w:szCs w:val="28"/>
        </w:rPr>
      </w:pPr>
      <w:r>
        <w:rPr>
          <w:sz w:val="28"/>
          <w:szCs w:val="28"/>
        </w:rPr>
        <w:t xml:space="preserve">     </w:t>
      </w:r>
      <w:r w:rsidR="00933E53">
        <w:rPr>
          <w:sz w:val="28"/>
          <w:szCs w:val="28"/>
        </w:rPr>
        <w:t>Some predicates</w:t>
      </w:r>
      <w:r>
        <w:rPr>
          <w:sz w:val="28"/>
          <w:szCs w:val="28"/>
        </w:rPr>
        <w:t>,</w:t>
      </w:r>
      <w:r w:rsidR="00933E53">
        <w:rPr>
          <w:sz w:val="28"/>
          <w:szCs w:val="28"/>
        </w:rPr>
        <w:t xml:space="preserve"> </w:t>
      </w:r>
      <w:r>
        <w:rPr>
          <w:sz w:val="28"/>
          <w:szCs w:val="28"/>
        </w:rPr>
        <w:t>such as ‘</w:t>
      </w:r>
      <w:r w:rsidR="00B7218B">
        <w:rPr>
          <w:sz w:val="28"/>
          <w:szCs w:val="28"/>
        </w:rPr>
        <w:t>the smartest of boys</w:t>
      </w:r>
      <w:r>
        <w:rPr>
          <w:sz w:val="28"/>
          <w:szCs w:val="28"/>
        </w:rPr>
        <w:t>’</w:t>
      </w:r>
      <w:r w:rsidR="00B7218B">
        <w:rPr>
          <w:sz w:val="28"/>
          <w:szCs w:val="28"/>
        </w:rPr>
        <w:t xml:space="preserve"> apply to one and only one particular</w:t>
      </w:r>
      <w:r>
        <w:rPr>
          <w:sz w:val="28"/>
          <w:szCs w:val="28"/>
        </w:rPr>
        <w:t>. But other predicates, such as ‘</w:t>
      </w:r>
      <w:r w:rsidR="00DC7A1C">
        <w:rPr>
          <w:sz w:val="28"/>
          <w:szCs w:val="28"/>
        </w:rPr>
        <w:t>orbicular</w:t>
      </w:r>
      <w:r>
        <w:rPr>
          <w:sz w:val="28"/>
          <w:szCs w:val="28"/>
        </w:rPr>
        <w:t>’ and ‘</w:t>
      </w:r>
      <w:r w:rsidR="00DC7A1C">
        <w:rPr>
          <w:sz w:val="28"/>
          <w:szCs w:val="28"/>
        </w:rPr>
        <w:t>boy</w:t>
      </w:r>
      <w:r>
        <w:rPr>
          <w:sz w:val="28"/>
          <w:szCs w:val="28"/>
        </w:rPr>
        <w:t>’ may apply to infinitely many things. The latter are</w:t>
      </w:r>
      <w:r w:rsidR="00DC7A1C">
        <w:rPr>
          <w:sz w:val="28"/>
          <w:szCs w:val="28"/>
        </w:rPr>
        <w:t xml:space="preserve"> what </w:t>
      </w:r>
      <w:r>
        <w:rPr>
          <w:sz w:val="28"/>
          <w:szCs w:val="28"/>
        </w:rPr>
        <w:t>Locke</w:t>
      </w:r>
      <w:r w:rsidR="00DC7A1C">
        <w:rPr>
          <w:sz w:val="28"/>
          <w:szCs w:val="28"/>
        </w:rPr>
        <w:t xml:space="preserve"> called</w:t>
      </w:r>
      <w:r>
        <w:rPr>
          <w:sz w:val="28"/>
          <w:szCs w:val="28"/>
        </w:rPr>
        <w:t xml:space="preserve"> “general terms”. </w:t>
      </w:r>
      <w:r w:rsidR="00E56CD5">
        <w:rPr>
          <w:sz w:val="28"/>
          <w:szCs w:val="28"/>
        </w:rPr>
        <w:t>A</w:t>
      </w:r>
      <w:r>
        <w:rPr>
          <w:sz w:val="28"/>
          <w:szCs w:val="28"/>
        </w:rPr>
        <w:t xml:space="preserve"> question</w:t>
      </w:r>
      <w:r w:rsidR="00E56CD5">
        <w:rPr>
          <w:sz w:val="28"/>
          <w:szCs w:val="28"/>
        </w:rPr>
        <w:t xml:space="preserve"> then</w:t>
      </w:r>
      <w:r>
        <w:rPr>
          <w:sz w:val="28"/>
          <w:szCs w:val="28"/>
        </w:rPr>
        <w:t xml:space="preserve"> arises </w:t>
      </w:r>
      <w:r w:rsidR="00E56CD5">
        <w:rPr>
          <w:sz w:val="28"/>
          <w:szCs w:val="28"/>
        </w:rPr>
        <w:t>‘</w:t>
      </w:r>
      <w:r>
        <w:rPr>
          <w:sz w:val="28"/>
          <w:szCs w:val="28"/>
        </w:rPr>
        <w:t>“In virtue of what do these general terms apply to the things which they apply to? The answer of</w:t>
      </w:r>
      <w:r w:rsidR="00E56CD5">
        <w:rPr>
          <w:sz w:val="28"/>
          <w:szCs w:val="28"/>
        </w:rPr>
        <w:t xml:space="preserve"> Predicate Nominalism</w:t>
      </w:r>
      <w:r>
        <w:rPr>
          <w:sz w:val="28"/>
          <w:szCs w:val="28"/>
        </w:rPr>
        <w:t xml:space="preserve"> Is “in virtue of nothing”</w:t>
      </w:r>
      <w:r w:rsidR="00E56CD5">
        <w:rPr>
          <w:sz w:val="28"/>
          <w:szCs w:val="28"/>
        </w:rPr>
        <w:t>’</w:t>
      </w:r>
      <w:r w:rsidR="00E56CD5">
        <w:rPr>
          <w:rStyle w:val="FootnoteReference"/>
          <w:sz w:val="28"/>
          <w:szCs w:val="28"/>
        </w:rPr>
        <w:footnoteReference w:id="2"/>
      </w:r>
      <w:r w:rsidR="00E56CD5">
        <w:rPr>
          <w:sz w:val="28"/>
          <w:szCs w:val="28"/>
        </w:rPr>
        <w:t>.</w:t>
      </w:r>
      <w:r w:rsidR="00506024">
        <w:rPr>
          <w:sz w:val="28"/>
          <w:szCs w:val="28"/>
        </w:rPr>
        <w:t xml:space="preserve"> Some</w:t>
      </w:r>
      <w:r w:rsidR="00E56CD5">
        <w:rPr>
          <w:sz w:val="28"/>
          <w:szCs w:val="28"/>
        </w:rPr>
        <w:t xml:space="preserve"> Predicate Nominalist</w:t>
      </w:r>
      <w:r w:rsidR="00506024">
        <w:rPr>
          <w:sz w:val="28"/>
          <w:szCs w:val="28"/>
        </w:rPr>
        <w:t>s</w:t>
      </w:r>
      <w:r w:rsidR="00E56CD5">
        <w:rPr>
          <w:sz w:val="28"/>
          <w:szCs w:val="28"/>
        </w:rPr>
        <w:t xml:space="preserve"> will state that the predicates </w:t>
      </w:r>
      <w:r w:rsidR="00E56CD5" w:rsidRPr="00E56CD5">
        <w:rPr>
          <w:i/>
          <w:sz w:val="28"/>
          <w:szCs w:val="28"/>
        </w:rPr>
        <w:t>just do</w:t>
      </w:r>
      <w:r w:rsidR="00E56CD5">
        <w:rPr>
          <w:sz w:val="28"/>
          <w:szCs w:val="28"/>
        </w:rPr>
        <w:t xml:space="preserve"> apply and that it cannot be explained</w:t>
      </w:r>
      <w:r w:rsidR="00CB29A3">
        <w:rPr>
          <w:sz w:val="28"/>
          <w:szCs w:val="28"/>
        </w:rPr>
        <w:t xml:space="preserve"> any</w:t>
      </w:r>
      <w:r w:rsidR="00E56CD5">
        <w:rPr>
          <w:sz w:val="28"/>
          <w:szCs w:val="28"/>
        </w:rPr>
        <w:t xml:space="preserve"> further. </w:t>
      </w:r>
      <w:r w:rsidR="00CB29A3">
        <w:rPr>
          <w:sz w:val="28"/>
          <w:szCs w:val="28"/>
        </w:rPr>
        <w:t>They argue that an object which has the property, being white, is determined by the fact that the predicate ‘white’ applies to this object. But if we imagine that the predicate ‘white’ did not exist, it is still obvious that the object would still be white. If this is so, the objects whiteness is not comprised by the object’s relation to the predicate ‘white’.</w:t>
      </w:r>
      <w:r w:rsidR="005A2229">
        <w:rPr>
          <w:sz w:val="28"/>
          <w:szCs w:val="28"/>
        </w:rPr>
        <w:t xml:space="preserve"> It seems obvious here that the applicability of ‘white’ depends on the whiteness of the particular, and not, the whiteness of the particular on the applicability of ‘white’. </w:t>
      </w:r>
    </w:p>
    <w:p w:rsidR="00C830B9" w:rsidRDefault="00C830B9" w:rsidP="00525960">
      <w:pPr>
        <w:rPr>
          <w:sz w:val="28"/>
          <w:szCs w:val="28"/>
        </w:rPr>
      </w:pPr>
      <w:r>
        <w:rPr>
          <w:sz w:val="28"/>
          <w:szCs w:val="28"/>
        </w:rPr>
        <w:t xml:space="preserve">     In our ordinary discourse there is recognition of identity of bot</w:t>
      </w:r>
      <w:r w:rsidR="00494280">
        <w:rPr>
          <w:sz w:val="28"/>
          <w:szCs w:val="28"/>
        </w:rPr>
        <w:t>h particulars and of property, and without the distinction between sameness of thing and sameness of property, ordinary discourse would be impossible. ‘All that the Nominalist can hope to do is to give a reductive analysis or account of what it is for something to have a property.’</w:t>
      </w:r>
      <w:r w:rsidR="00494280">
        <w:rPr>
          <w:rStyle w:val="FootnoteReference"/>
          <w:sz w:val="28"/>
          <w:szCs w:val="28"/>
        </w:rPr>
        <w:footnoteReference w:id="3"/>
      </w:r>
      <w:r w:rsidR="00494280">
        <w:rPr>
          <w:sz w:val="28"/>
          <w:szCs w:val="28"/>
        </w:rPr>
        <w:t xml:space="preserve"> </w:t>
      </w:r>
      <w:r w:rsidR="006E1ACE">
        <w:rPr>
          <w:sz w:val="28"/>
          <w:szCs w:val="28"/>
        </w:rPr>
        <w:t xml:space="preserve">Say we have a class of white things, the Predicate Nominalist will try to account for its unity by saying that every member of the class has the same relation, </w:t>
      </w:r>
      <w:r w:rsidR="006E1ACE">
        <w:rPr>
          <w:i/>
          <w:sz w:val="28"/>
          <w:szCs w:val="28"/>
        </w:rPr>
        <w:t xml:space="preserve">falling under, </w:t>
      </w:r>
      <w:r w:rsidR="006E1ACE">
        <w:rPr>
          <w:sz w:val="28"/>
          <w:szCs w:val="28"/>
        </w:rPr>
        <w:t>to the same predicate, the predicate ‘white’. ‘But the two samenesses involved here are not sameness of a particular, rather they are samenesses of sort.’</w:t>
      </w:r>
      <w:r w:rsidR="006E1ACE">
        <w:rPr>
          <w:rStyle w:val="FootnoteReference"/>
          <w:sz w:val="28"/>
          <w:szCs w:val="28"/>
        </w:rPr>
        <w:footnoteReference w:id="4"/>
      </w:r>
      <w:r w:rsidR="006E1ACE">
        <w:rPr>
          <w:sz w:val="28"/>
          <w:szCs w:val="28"/>
        </w:rPr>
        <w:t xml:space="preserve"> Every white thing will have the same sort of relation to the predicate ‘white’. </w:t>
      </w:r>
      <w:r w:rsidR="0039152E">
        <w:rPr>
          <w:sz w:val="28"/>
          <w:szCs w:val="28"/>
        </w:rPr>
        <w:t>They do not have this type of relation to just one token of the predicate, they have this relation to any token of the predicate-type ‘white’. Types are supposed to be the very phenomena that are being reduced, so, as the Predicate Nominalist</w:t>
      </w:r>
      <w:r w:rsidR="009E4300">
        <w:rPr>
          <w:sz w:val="28"/>
          <w:szCs w:val="28"/>
        </w:rPr>
        <w:t xml:space="preserve"> has here covertly appealed to types, his theory is flawed and involves an infinite regress. </w:t>
      </w:r>
    </w:p>
    <w:p w:rsidR="00DE6DD4" w:rsidRDefault="00122104" w:rsidP="00525960">
      <w:pPr>
        <w:rPr>
          <w:sz w:val="28"/>
          <w:szCs w:val="28"/>
        </w:rPr>
      </w:pPr>
      <w:r>
        <w:rPr>
          <w:sz w:val="28"/>
          <w:szCs w:val="28"/>
        </w:rPr>
        <w:t xml:space="preserve">     The Concept Nominalist, on the other hand, ‘calls upon concepts, conceived as mental entities, to do the same job for which the Predicate Nominalist </w:t>
      </w:r>
      <w:r>
        <w:rPr>
          <w:sz w:val="28"/>
          <w:szCs w:val="28"/>
        </w:rPr>
        <w:lastRenderedPageBreak/>
        <w:t>employs predicates’.</w:t>
      </w:r>
      <w:r>
        <w:rPr>
          <w:rStyle w:val="FootnoteReference"/>
          <w:sz w:val="28"/>
          <w:szCs w:val="28"/>
        </w:rPr>
        <w:footnoteReference w:id="5"/>
      </w:r>
      <w:r>
        <w:rPr>
          <w:sz w:val="28"/>
          <w:szCs w:val="28"/>
        </w:rPr>
        <w:t xml:space="preserve"> </w:t>
      </w:r>
      <w:r w:rsidR="006756B3">
        <w:rPr>
          <w:sz w:val="28"/>
          <w:szCs w:val="28"/>
        </w:rPr>
        <w:t xml:space="preserve">The Concept Nominalist will give as his analysis of </w:t>
      </w:r>
      <w:r w:rsidR="006756B3">
        <w:rPr>
          <w:i/>
          <w:sz w:val="28"/>
          <w:szCs w:val="28"/>
        </w:rPr>
        <w:t>a</w:t>
      </w:r>
      <w:r w:rsidR="006756B3">
        <w:rPr>
          <w:sz w:val="28"/>
          <w:szCs w:val="28"/>
        </w:rPr>
        <w:t xml:space="preserve">’s being F the statement that </w:t>
      </w:r>
      <w:r w:rsidR="006756B3">
        <w:rPr>
          <w:i/>
          <w:sz w:val="28"/>
          <w:szCs w:val="28"/>
        </w:rPr>
        <w:t>a</w:t>
      </w:r>
      <w:r w:rsidR="006756B3">
        <w:rPr>
          <w:sz w:val="28"/>
          <w:szCs w:val="28"/>
        </w:rPr>
        <w:t xml:space="preserve"> falls under the concept F. And as concepts are mental entities, tokens of the concept F are found in people’s minds. ‘But </w:t>
      </w:r>
      <w:r w:rsidR="006756B3">
        <w:rPr>
          <w:i/>
          <w:sz w:val="28"/>
          <w:szCs w:val="28"/>
        </w:rPr>
        <w:t>a</w:t>
      </w:r>
      <w:r w:rsidR="006756B3">
        <w:rPr>
          <w:sz w:val="28"/>
          <w:szCs w:val="28"/>
        </w:rPr>
        <w:t>’s being F is a matter of the concept-</w:t>
      </w:r>
      <w:r w:rsidR="006756B3">
        <w:rPr>
          <w:i/>
          <w:sz w:val="28"/>
          <w:szCs w:val="28"/>
        </w:rPr>
        <w:t>type</w:t>
      </w:r>
      <w:r w:rsidR="006756B3">
        <w:rPr>
          <w:sz w:val="28"/>
          <w:szCs w:val="28"/>
        </w:rPr>
        <w:t xml:space="preserve"> being applicable to </w:t>
      </w:r>
      <w:r w:rsidR="006756B3">
        <w:rPr>
          <w:i/>
          <w:sz w:val="28"/>
          <w:szCs w:val="28"/>
        </w:rPr>
        <w:t>a</w:t>
      </w:r>
      <w:r w:rsidR="006756B3">
        <w:rPr>
          <w:sz w:val="28"/>
          <w:szCs w:val="28"/>
        </w:rPr>
        <w:t>. (We can say that concept-tokens are tokens of the same concept-type if and only if the intentional objects of the tokens are identical.)’</w:t>
      </w:r>
      <w:r w:rsidR="00F72980">
        <w:rPr>
          <w:rStyle w:val="FootnoteReference"/>
          <w:sz w:val="28"/>
          <w:szCs w:val="28"/>
        </w:rPr>
        <w:footnoteReference w:id="6"/>
      </w:r>
      <w:r w:rsidR="00F72980">
        <w:rPr>
          <w:sz w:val="28"/>
          <w:szCs w:val="28"/>
        </w:rPr>
        <w:t xml:space="preserve"> The difficulties Concept Nominalism faces seem to be similar to the difficulties the Predicate Nominalist faces. Firstly, it seems quite clear that ‘the whiteness of a white thing is independent of the existence of a concept of whiteness in men’s minds. There is something about a white thing which makes the concept of whiteness applicable to it. Concept Nominalism gives no account of this something.’</w:t>
      </w:r>
      <w:r w:rsidR="00F72980">
        <w:rPr>
          <w:rStyle w:val="FootnoteReference"/>
          <w:sz w:val="28"/>
          <w:szCs w:val="28"/>
        </w:rPr>
        <w:footnoteReference w:id="7"/>
      </w:r>
      <w:r w:rsidR="00997FE5">
        <w:rPr>
          <w:sz w:val="28"/>
          <w:szCs w:val="28"/>
        </w:rPr>
        <w:t xml:space="preserve"> Second, the concept of whiteness under which all white things fall is the concept considered as a type. ‘Tokens of this concept can only be considered tokens of this type if they fall under the concept of the concept of white, and so on.’</w:t>
      </w:r>
      <w:r w:rsidR="00997FE5">
        <w:rPr>
          <w:rStyle w:val="FootnoteReference"/>
          <w:sz w:val="28"/>
          <w:szCs w:val="28"/>
        </w:rPr>
        <w:footnoteReference w:id="8"/>
      </w:r>
      <w:r w:rsidR="00997FE5">
        <w:rPr>
          <w:sz w:val="28"/>
          <w:szCs w:val="28"/>
        </w:rPr>
        <w:t xml:space="preserve"> But </w:t>
      </w:r>
      <w:r w:rsidR="00997FE5">
        <w:rPr>
          <w:i/>
          <w:sz w:val="28"/>
          <w:szCs w:val="28"/>
        </w:rPr>
        <w:t>falling under</w:t>
      </w:r>
      <w:r w:rsidR="00997FE5">
        <w:rPr>
          <w:sz w:val="28"/>
          <w:szCs w:val="28"/>
        </w:rPr>
        <w:t xml:space="preserve"> is a type of relation. So, particulars and concepts must only be considered tokens of this type if they fall under the concept </w:t>
      </w:r>
      <w:r w:rsidR="00997FE5">
        <w:rPr>
          <w:i/>
          <w:sz w:val="28"/>
          <w:szCs w:val="28"/>
        </w:rPr>
        <w:t>falling under</w:t>
      </w:r>
      <w:r w:rsidR="00997FE5">
        <w:rPr>
          <w:sz w:val="28"/>
          <w:szCs w:val="28"/>
        </w:rPr>
        <w:t xml:space="preserve">, but then this new </w:t>
      </w:r>
      <w:r w:rsidR="00997FE5">
        <w:rPr>
          <w:i/>
          <w:sz w:val="28"/>
          <w:szCs w:val="28"/>
        </w:rPr>
        <w:t>falling under</w:t>
      </w:r>
      <w:r w:rsidR="00997FE5">
        <w:rPr>
          <w:sz w:val="28"/>
          <w:szCs w:val="28"/>
        </w:rPr>
        <w:t xml:space="preserve"> needs to be analysed, and this could go on </w:t>
      </w:r>
      <w:r w:rsidR="00997FE5">
        <w:rPr>
          <w:i/>
          <w:sz w:val="28"/>
          <w:szCs w:val="28"/>
        </w:rPr>
        <w:t>ad infinitum</w:t>
      </w:r>
      <w:r w:rsidR="00997FE5">
        <w:rPr>
          <w:sz w:val="28"/>
          <w:szCs w:val="28"/>
        </w:rPr>
        <w:t xml:space="preserve">. </w:t>
      </w:r>
      <w:r w:rsidR="00CE77D5">
        <w:rPr>
          <w:sz w:val="28"/>
          <w:szCs w:val="28"/>
        </w:rPr>
        <w:t>And thirdly, there is the problem of causality which the Concept Nominalist has to face. ‘The causal order of the world depends upon the properties of things’</w:t>
      </w:r>
      <w:r w:rsidR="00CE77D5">
        <w:rPr>
          <w:rStyle w:val="FootnoteReference"/>
          <w:sz w:val="28"/>
          <w:szCs w:val="28"/>
        </w:rPr>
        <w:footnoteReference w:id="9"/>
      </w:r>
      <w:r w:rsidR="00CE77D5">
        <w:rPr>
          <w:sz w:val="28"/>
          <w:szCs w:val="28"/>
        </w:rPr>
        <w:t xml:space="preserve"> and the causal order is independent of minds, but the Concept Nominalist holds that properties of things are ‘determined by a certain relation which things in the world have to objects in minds</w:t>
      </w:r>
      <w:r w:rsidR="00DE6DD4">
        <w:rPr>
          <w:sz w:val="28"/>
          <w:szCs w:val="28"/>
        </w:rPr>
        <w:t>.’</w:t>
      </w:r>
      <w:r w:rsidR="00DE6DD4">
        <w:rPr>
          <w:rStyle w:val="FootnoteReference"/>
          <w:sz w:val="28"/>
          <w:szCs w:val="28"/>
        </w:rPr>
        <w:footnoteReference w:id="10"/>
      </w:r>
      <w:r w:rsidR="00DE6DD4">
        <w:rPr>
          <w:sz w:val="28"/>
          <w:szCs w:val="28"/>
        </w:rPr>
        <w:t xml:space="preserve"> </w:t>
      </w:r>
    </w:p>
    <w:p w:rsidR="006118C9" w:rsidRDefault="006118C9" w:rsidP="00525960">
      <w:pPr>
        <w:rPr>
          <w:sz w:val="28"/>
          <w:szCs w:val="28"/>
        </w:rPr>
      </w:pPr>
      <w:r>
        <w:rPr>
          <w:sz w:val="28"/>
          <w:szCs w:val="28"/>
        </w:rPr>
        <w:t xml:space="preserve">     Predicate Nominalism and Concept Nominalism are two Subjectivist solutions to the Problem of Universals. On the one hand universality is to be found in people’s words, and on the other hand universality is to be found in people’s minds, but man is the measure in both cases. Class Nominalism can be considered an Objectivist solution to the problem of universals where ‘an account of a thing’s having a property or thing’s standing in a relation is given in terms which involve no reference to human classifications.’</w:t>
      </w:r>
      <w:r>
        <w:rPr>
          <w:rStyle w:val="FootnoteReference"/>
          <w:sz w:val="28"/>
          <w:szCs w:val="28"/>
        </w:rPr>
        <w:footnoteReference w:id="11"/>
      </w:r>
      <w:r>
        <w:rPr>
          <w:sz w:val="28"/>
          <w:szCs w:val="28"/>
        </w:rPr>
        <w:t xml:space="preserve"> </w:t>
      </w:r>
      <w:r w:rsidR="006835E7">
        <w:rPr>
          <w:sz w:val="28"/>
          <w:szCs w:val="28"/>
        </w:rPr>
        <w:t>One Objectivist view is that ‘</w:t>
      </w:r>
      <w:r w:rsidR="006835E7">
        <w:rPr>
          <w:i/>
          <w:sz w:val="28"/>
          <w:szCs w:val="28"/>
        </w:rPr>
        <w:t>a</w:t>
      </w:r>
      <w:r w:rsidR="006835E7">
        <w:rPr>
          <w:sz w:val="28"/>
          <w:szCs w:val="28"/>
        </w:rPr>
        <w:t xml:space="preserve">’s having a property, F, should be analysed as </w:t>
      </w:r>
      <w:r w:rsidR="006835E7">
        <w:rPr>
          <w:i/>
          <w:sz w:val="28"/>
          <w:szCs w:val="28"/>
        </w:rPr>
        <w:t>a</w:t>
      </w:r>
      <w:r w:rsidR="006835E7">
        <w:rPr>
          <w:sz w:val="28"/>
          <w:szCs w:val="28"/>
        </w:rPr>
        <w:t xml:space="preserve">’s being a member of a certain class of things, the class of F’s. The phrase “The class of F’s” must, </w:t>
      </w:r>
      <w:r w:rsidR="006835E7">
        <w:rPr>
          <w:sz w:val="28"/>
          <w:szCs w:val="28"/>
        </w:rPr>
        <w:lastRenderedPageBreak/>
        <w:t>of course, be taken in extension’.</w:t>
      </w:r>
      <w:r w:rsidR="006835E7">
        <w:rPr>
          <w:rStyle w:val="FootnoteReference"/>
          <w:sz w:val="28"/>
          <w:szCs w:val="28"/>
        </w:rPr>
        <w:footnoteReference w:id="12"/>
      </w:r>
      <w:r w:rsidR="006835E7">
        <w:rPr>
          <w:sz w:val="28"/>
          <w:szCs w:val="28"/>
        </w:rPr>
        <w:t xml:space="preserve"> </w:t>
      </w:r>
      <w:r w:rsidR="00F835EC">
        <w:rPr>
          <w:sz w:val="28"/>
          <w:szCs w:val="28"/>
        </w:rPr>
        <w:t xml:space="preserve"> As Class Nominalism is committed to an ontology of classes, these classes have to be treated differently from the aggregate of the members of these classes. The Class Nominalists </w:t>
      </w:r>
      <w:r w:rsidR="00F835EC" w:rsidRPr="000927AE">
        <w:rPr>
          <w:i/>
          <w:sz w:val="28"/>
          <w:szCs w:val="28"/>
        </w:rPr>
        <w:t>need</w:t>
      </w:r>
      <w:r w:rsidR="00F835EC">
        <w:rPr>
          <w:sz w:val="28"/>
          <w:szCs w:val="28"/>
        </w:rPr>
        <w:t xml:space="preserve"> to distinguish between classes and aggregates is shown in the following example. </w:t>
      </w:r>
      <w:r w:rsidR="000927AE">
        <w:rPr>
          <w:sz w:val="28"/>
          <w:szCs w:val="28"/>
        </w:rPr>
        <w:t>‘</w:t>
      </w:r>
      <w:r w:rsidR="00F835EC">
        <w:rPr>
          <w:sz w:val="28"/>
          <w:szCs w:val="28"/>
        </w:rPr>
        <w:t>Suppose</w:t>
      </w:r>
      <w:r w:rsidR="000927AE">
        <w:rPr>
          <w:sz w:val="28"/>
          <w:szCs w:val="28"/>
        </w:rPr>
        <w:t xml:space="preserve"> that each thing of the sort F is made up of G’s and that G’s are not found except as proper parts of F’s. No F’s themselves are G’s.’</w:t>
      </w:r>
      <w:r w:rsidR="000927AE">
        <w:rPr>
          <w:rStyle w:val="FootnoteReference"/>
          <w:sz w:val="28"/>
          <w:szCs w:val="28"/>
        </w:rPr>
        <w:footnoteReference w:id="13"/>
      </w:r>
      <w:r w:rsidR="00B700B1">
        <w:rPr>
          <w:sz w:val="28"/>
          <w:szCs w:val="28"/>
        </w:rPr>
        <w:t xml:space="preserve"> For instance, a deck (pack of cards) is wholly made of cards, and cards</w:t>
      </w:r>
      <w:r w:rsidR="000927AE">
        <w:rPr>
          <w:sz w:val="28"/>
          <w:szCs w:val="28"/>
        </w:rPr>
        <w:t xml:space="preserve"> cannot</w:t>
      </w:r>
      <w:r w:rsidR="00B700B1">
        <w:rPr>
          <w:sz w:val="28"/>
          <w:szCs w:val="28"/>
        </w:rPr>
        <w:t xml:space="preserve"> (we shall say)</w:t>
      </w:r>
      <w:r w:rsidR="000927AE">
        <w:rPr>
          <w:sz w:val="28"/>
          <w:szCs w:val="28"/>
        </w:rPr>
        <w:t xml:space="preserve"> be found except as components</w:t>
      </w:r>
      <w:r w:rsidR="00B700B1">
        <w:rPr>
          <w:sz w:val="28"/>
          <w:szCs w:val="28"/>
        </w:rPr>
        <w:t xml:space="preserve"> of decks</w:t>
      </w:r>
      <w:r w:rsidR="000927AE">
        <w:rPr>
          <w:sz w:val="28"/>
          <w:szCs w:val="28"/>
        </w:rPr>
        <w:t>.</w:t>
      </w:r>
      <w:r w:rsidR="00B700B1">
        <w:rPr>
          <w:sz w:val="28"/>
          <w:szCs w:val="28"/>
        </w:rPr>
        <w:t xml:space="preserve"> Decks are not themselves cards. ‘</w:t>
      </w:r>
      <w:r w:rsidR="00B700B1">
        <w:rPr>
          <w:i/>
          <w:sz w:val="28"/>
          <w:szCs w:val="28"/>
        </w:rPr>
        <w:t>a</w:t>
      </w:r>
      <w:r w:rsidR="00B700B1">
        <w:rPr>
          <w:sz w:val="28"/>
          <w:szCs w:val="28"/>
        </w:rPr>
        <w:t xml:space="preserve"> is a deck’ will be analysed by the Class Nominalist as ‘</w:t>
      </w:r>
      <w:r w:rsidR="00B700B1">
        <w:rPr>
          <w:i/>
          <w:sz w:val="28"/>
          <w:szCs w:val="28"/>
        </w:rPr>
        <w:t>a</w:t>
      </w:r>
      <w:r w:rsidR="00B700B1">
        <w:rPr>
          <w:sz w:val="28"/>
          <w:szCs w:val="28"/>
        </w:rPr>
        <w:t xml:space="preserve"> is a member of the class of decks’, while ‘</w:t>
      </w:r>
      <w:r w:rsidR="00B700B1">
        <w:rPr>
          <w:i/>
          <w:sz w:val="28"/>
          <w:szCs w:val="28"/>
        </w:rPr>
        <w:t>b</w:t>
      </w:r>
      <w:r w:rsidR="00B700B1">
        <w:rPr>
          <w:sz w:val="28"/>
          <w:szCs w:val="28"/>
        </w:rPr>
        <w:t xml:space="preserve"> is a card’ will be analysed as ‘</w:t>
      </w:r>
      <w:r w:rsidR="00B700B1">
        <w:rPr>
          <w:i/>
          <w:sz w:val="28"/>
          <w:szCs w:val="28"/>
        </w:rPr>
        <w:t>b</w:t>
      </w:r>
      <w:r w:rsidR="00B700B1">
        <w:rPr>
          <w:sz w:val="28"/>
          <w:szCs w:val="28"/>
        </w:rPr>
        <w:t xml:space="preserve"> is a member of the class of cards’. Now if classes are identical with </w:t>
      </w:r>
      <w:r w:rsidR="00202526">
        <w:rPr>
          <w:sz w:val="28"/>
          <w:szCs w:val="28"/>
        </w:rPr>
        <w:t xml:space="preserve">the aggregate of their members, that </w:t>
      </w:r>
      <w:r w:rsidR="00B700B1">
        <w:rPr>
          <w:sz w:val="28"/>
          <w:szCs w:val="28"/>
        </w:rPr>
        <w:t>means that the aggregate of all decks is identical with the aggregate of all cards</w:t>
      </w:r>
      <w:r w:rsidR="00202526">
        <w:rPr>
          <w:sz w:val="28"/>
          <w:szCs w:val="28"/>
        </w:rPr>
        <w:t>,</w:t>
      </w:r>
      <w:r w:rsidR="00B700B1">
        <w:rPr>
          <w:sz w:val="28"/>
          <w:szCs w:val="28"/>
        </w:rPr>
        <w:t xml:space="preserve"> which makes the class of all decks identical with the class of </w:t>
      </w:r>
      <w:r w:rsidR="00202526">
        <w:rPr>
          <w:sz w:val="28"/>
          <w:szCs w:val="28"/>
        </w:rPr>
        <w:t xml:space="preserve">all cards. So, if we substitute, it will be true that </w:t>
      </w:r>
      <w:r w:rsidR="00202526">
        <w:rPr>
          <w:i/>
          <w:sz w:val="28"/>
          <w:szCs w:val="28"/>
        </w:rPr>
        <w:t xml:space="preserve">a </w:t>
      </w:r>
      <w:r w:rsidR="00202526">
        <w:rPr>
          <w:sz w:val="28"/>
          <w:szCs w:val="28"/>
        </w:rPr>
        <w:t xml:space="preserve">(a deck) is a member of the class of cards and, therefore, is a card. And </w:t>
      </w:r>
      <w:r w:rsidR="00202526">
        <w:rPr>
          <w:i/>
          <w:sz w:val="28"/>
          <w:szCs w:val="28"/>
        </w:rPr>
        <w:t>b</w:t>
      </w:r>
      <w:r w:rsidR="00202526">
        <w:rPr>
          <w:sz w:val="28"/>
          <w:szCs w:val="28"/>
        </w:rPr>
        <w:t xml:space="preserve"> (a card) is then shown to be a deck, which is obviously absurd.</w:t>
      </w:r>
      <w:r w:rsidR="00B700B1">
        <w:rPr>
          <w:sz w:val="28"/>
          <w:szCs w:val="28"/>
        </w:rPr>
        <w:t xml:space="preserve"> </w:t>
      </w:r>
      <w:r w:rsidR="00202526">
        <w:rPr>
          <w:sz w:val="28"/>
          <w:szCs w:val="28"/>
        </w:rPr>
        <w:t>There is also the argument from the lack of causal power which says that ‘if the aggregate of persons in this room and the class of persons in this room</w:t>
      </w:r>
      <w:r w:rsidR="006F431D">
        <w:rPr>
          <w:sz w:val="28"/>
          <w:szCs w:val="28"/>
        </w:rPr>
        <w:t xml:space="preserve"> really are two different entities, then we should expect them to have different causal powers.’</w:t>
      </w:r>
      <w:r w:rsidR="006F431D">
        <w:rPr>
          <w:rStyle w:val="FootnoteReference"/>
          <w:sz w:val="28"/>
          <w:szCs w:val="28"/>
        </w:rPr>
        <w:footnoteReference w:id="14"/>
      </w:r>
      <w:r w:rsidR="006F431D">
        <w:rPr>
          <w:sz w:val="28"/>
          <w:szCs w:val="28"/>
        </w:rPr>
        <w:t xml:space="preserve"> If not, then I can see no reason to postulate both classes and aggregates. </w:t>
      </w:r>
      <w:r w:rsidR="00B235E6">
        <w:rPr>
          <w:sz w:val="28"/>
          <w:szCs w:val="28"/>
        </w:rPr>
        <w:t xml:space="preserve">Furthermore, if </w:t>
      </w:r>
      <w:r w:rsidR="00B235E6">
        <w:rPr>
          <w:i/>
          <w:sz w:val="28"/>
          <w:szCs w:val="28"/>
        </w:rPr>
        <w:t xml:space="preserve">a </w:t>
      </w:r>
      <w:r w:rsidR="00B235E6">
        <w:rPr>
          <w:sz w:val="28"/>
          <w:szCs w:val="28"/>
        </w:rPr>
        <w:t xml:space="preserve">is a member of a class, which is a member of a wider class, </w:t>
      </w:r>
      <w:r w:rsidR="00B235E6">
        <w:rPr>
          <w:i/>
          <w:sz w:val="28"/>
          <w:szCs w:val="28"/>
        </w:rPr>
        <w:t>a</w:t>
      </w:r>
      <w:r w:rsidR="00B235E6">
        <w:rPr>
          <w:sz w:val="28"/>
          <w:szCs w:val="28"/>
        </w:rPr>
        <w:t xml:space="preserve"> does not necessarily have to be a member of that wider class, as class membership is not necessarily transitive. But if </w:t>
      </w:r>
      <w:r w:rsidR="00B235E6">
        <w:rPr>
          <w:i/>
          <w:sz w:val="28"/>
          <w:szCs w:val="28"/>
        </w:rPr>
        <w:t>a</w:t>
      </w:r>
      <w:r w:rsidR="00B235E6">
        <w:rPr>
          <w:sz w:val="28"/>
          <w:szCs w:val="28"/>
        </w:rPr>
        <w:t xml:space="preserve"> is part of an aggregate, which is part of a larger aggregate, </w:t>
      </w:r>
      <w:r w:rsidR="00B235E6">
        <w:rPr>
          <w:i/>
          <w:sz w:val="28"/>
          <w:szCs w:val="28"/>
        </w:rPr>
        <w:t>a</w:t>
      </w:r>
      <w:r w:rsidR="00B235E6">
        <w:rPr>
          <w:sz w:val="28"/>
          <w:szCs w:val="28"/>
        </w:rPr>
        <w:t xml:space="preserve"> must be part of the larger aggregate. </w:t>
      </w:r>
    </w:p>
    <w:p w:rsidR="007974E5" w:rsidRDefault="007974E5" w:rsidP="00525960">
      <w:pPr>
        <w:rPr>
          <w:sz w:val="28"/>
          <w:szCs w:val="28"/>
        </w:rPr>
      </w:pPr>
      <w:r>
        <w:rPr>
          <w:sz w:val="28"/>
          <w:szCs w:val="28"/>
        </w:rPr>
        <w:t xml:space="preserve">     </w:t>
      </w:r>
      <w:r w:rsidR="000472E8">
        <w:rPr>
          <w:sz w:val="28"/>
          <w:szCs w:val="28"/>
        </w:rPr>
        <w:t>Resemblance Nominalism also faces a Relation regress</w:t>
      </w:r>
      <w:r w:rsidR="0043718E">
        <w:rPr>
          <w:sz w:val="28"/>
          <w:szCs w:val="28"/>
        </w:rPr>
        <w:t>.</w:t>
      </w:r>
      <w:r w:rsidR="000472E8">
        <w:rPr>
          <w:sz w:val="28"/>
          <w:szCs w:val="28"/>
        </w:rPr>
        <w:t xml:space="preserve"> </w:t>
      </w:r>
      <w:r w:rsidR="0043718E">
        <w:rPr>
          <w:sz w:val="28"/>
          <w:szCs w:val="28"/>
        </w:rPr>
        <w:t>‘</w:t>
      </w:r>
      <w:r w:rsidR="000472E8">
        <w:rPr>
          <w:sz w:val="28"/>
          <w:szCs w:val="28"/>
        </w:rPr>
        <w:t>We start with a class of things, such as the class of white things, each member of which is said “to have the same property”. This feature of the class is then explained in terms of the relation of resemblance holding between each memb</w:t>
      </w:r>
      <w:r w:rsidR="0043718E">
        <w:rPr>
          <w:sz w:val="28"/>
          <w:szCs w:val="28"/>
        </w:rPr>
        <w:t>er of the class and a paradigm.’</w:t>
      </w:r>
      <w:r w:rsidR="0043718E">
        <w:rPr>
          <w:rStyle w:val="FootnoteReference"/>
          <w:sz w:val="28"/>
          <w:szCs w:val="28"/>
        </w:rPr>
        <w:footnoteReference w:id="15"/>
      </w:r>
      <w:r w:rsidR="0043718E">
        <w:rPr>
          <w:sz w:val="28"/>
          <w:szCs w:val="28"/>
        </w:rPr>
        <w:t xml:space="preserve"> </w:t>
      </w:r>
      <w:r w:rsidR="00E05D0E">
        <w:rPr>
          <w:sz w:val="28"/>
          <w:szCs w:val="28"/>
        </w:rPr>
        <w:t xml:space="preserve">But these instances of the relation ‘are all different instances of the same </w:t>
      </w:r>
      <w:r w:rsidR="00E05D0E">
        <w:rPr>
          <w:i/>
          <w:sz w:val="28"/>
          <w:szCs w:val="28"/>
        </w:rPr>
        <w:t>type</w:t>
      </w:r>
      <w:r w:rsidR="00E05D0E">
        <w:rPr>
          <w:sz w:val="28"/>
          <w:szCs w:val="28"/>
        </w:rPr>
        <w:t xml:space="preserve"> of situation: a resemblance-situation’ as Russell puts it in his </w:t>
      </w:r>
      <w:r w:rsidR="00E05D0E">
        <w:rPr>
          <w:i/>
          <w:sz w:val="28"/>
          <w:szCs w:val="28"/>
        </w:rPr>
        <w:t>Problems of Philosophy.</w:t>
      </w:r>
      <w:r w:rsidR="00E05D0E">
        <w:rPr>
          <w:sz w:val="28"/>
          <w:szCs w:val="28"/>
        </w:rPr>
        <w:t xml:space="preserve"> How can the unity of this new class, the class of resemblance-situations, be accounted for without admitting a universal (relational)? Some philosophers point out here that these resemblance-situations do not involve anything identical, but they just </w:t>
      </w:r>
      <w:r w:rsidR="00E05D0E">
        <w:rPr>
          <w:i/>
          <w:sz w:val="28"/>
          <w:szCs w:val="28"/>
        </w:rPr>
        <w:lastRenderedPageBreak/>
        <w:t>resemble</w:t>
      </w:r>
      <w:r w:rsidR="00E05D0E">
        <w:rPr>
          <w:sz w:val="28"/>
          <w:szCs w:val="28"/>
        </w:rPr>
        <w:t xml:space="preserve"> each other. ‘More strictly, it should be said, all these resemblance-situations </w:t>
      </w:r>
      <w:r w:rsidR="002D1FE4">
        <w:rPr>
          <w:sz w:val="28"/>
          <w:szCs w:val="28"/>
        </w:rPr>
        <w:t xml:space="preserve">suitably resemble </w:t>
      </w:r>
      <w:r w:rsidR="002D1FE4">
        <w:rPr>
          <w:i/>
          <w:sz w:val="28"/>
          <w:szCs w:val="28"/>
        </w:rPr>
        <w:t>a paradigm resemblance-situation.’</w:t>
      </w:r>
      <w:r w:rsidR="002D1FE4">
        <w:rPr>
          <w:rStyle w:val="FootnoteReference"/>
          <w:i/>
          <w:sz w:val="28"/>
          <w:szCs w:val="28"/>
        </w:rPr>
        <w:footnoteReference w:id="16"/>
      </w:r>
      <w:r w:rsidR="002D1FE4">
        <w:rPr>
          <w:i/>
          <w:sz w:val="28"/>
          <w:szCs w:val="28"/>
        </w:rPr>
        <w:t xml:space="preserve"> </w:t>
      </w:r>
      <w:r w:rsidR="002D1FE4">
        <w:rPr>
          <w:sz w:val="28"/>
          <w:szCs w:val="28"/>
        </w:rPr>
        <w:t xml:space="preserve">This would then create second-order resemblance-situations and then the same problem can be raised again. This situation could then be unified by third-order resemblance-situations, and so </w:t>
      </w:r>
      <w:r w:rsidR="002D1FE4">
        <w:rPr>
          <w:i/>
          <w:sz w:val="28"/>
          <w:szCs w:val="28"/>
        </w:rPr>
        <w:t>ad infinitum</w:t>
      </w:r>
      <w:r w:rsidR="002D1FE4">
        <w:rPr>
          <w:sz w:val="28"/>
          <w:szCs w:val="28"/>
        </w:rPr>
        <w:t>.</w:t>
      </w:r>
    </w:p>
    <w:p w:rsidR="00977E26" w:rsidRDefault="00977E26" w:rsidP="00525960">
      <w:pPr>
        <w:rPr>
          <w:sz w:val="32"/>
          <w:szCs w:val="32"/>
        </w:rPr>
      </w:pPr>
      <w:r w:rsidRPr="00977E26">
        <w:rPr>
          <w:sz w:val="32"/>
          <w:szCs w:val="32"/>
        </w:rPr>
        <w:t xml:space="preserve">     </w:t>
      </w:r>
      <w:r w:rsidRPr="00977E26">
        <w:rPr>
          <w:sz w:val="32"/>
          <w:szCs w:val="32"/>
          <w:u w:val="single"/>
        </w:rPr>
        <w:t>Conclusion:</w:t>
      </w:r>
      <w:r w:rsidRPr="00977E26">
        <w:rPr>
          <w:sz w:val="32"/>
          <w:szCs w:val="32"/>
        </w:rPr>
        <w:t xml:space="preserve"> </w:t>
      </w:r>
    </w:p>
    <w:p w:rsidR="00977E26" w:rsidRPr="00977E26" w:rsidRDefault="00977E26" w:rsidP="00525960">
      <w:pPr>
        <w:rPr>
          <w:sz w:val="32"/>
          <w:szCs w:val="32"/>
        </w:rPr>
      </w:pPr>
      <w:r>
        <w:rPr>
          <w:sz w:val="32"/>
          <w:szCs w:val="32"/>
        </w:rPr>
        <w:t xml:space="preserve">       </w:t>
      </w:r>
      <w:r>
        <w:rPr>
          <w:sz w:val="28"/>
          <w:szCs w:val="28"/>
        </w:rPr>
        <w:t>S</w:t>
      </w:r>
      <w:r w:rsidRPr="00977E26">
        <w:rPr>
          <w:sz w:val="28"/>
          <w:szCs w:val="28"/>
        </w:rPr>
        <w:t>ince the arguments</w:t>
      </w:r>
      <w:r>
        <w:rPr>
          <w:sz w:val="28"/>
          <w:szCs w:val="28"/>
        </w:rPr>
        <w:t xml:space="preserve"> in this essay</w:t>
      </w:r>
      <w:r w:rsidRPr="00977E26">
        <w:rPr>
          <w:sz w:val="28"/>
          <w:szCs w:val="28"/>
        </w:rPr>
        <w:t xml:space="preserve"> seem to stand up</w:t>
      </w:r>
      <w:r>
        <w:rPr>
          <w:sz w:val="28"/>
          <w:szCs w:val="28"/>
        </w:rPr>
        <w:t>, I do not think Nominalism of any variety considered needs to be adhered to at all</w:t>
      </w:r>
      <w:r w:rsidR="00FA5C8D">
        <w:rPr>
          <w:sz w:val="28"/>
          <w:szCs w:val="28"/>
        </w:rPr>
        <w:t>, and that the world does not consist of particulars solely.</w:t>
      </w:r>
      <w:bookmarkStart w:id="0" w:name="_GoBack"/>
      <w:bookmarkEnd w:id="0"/>
    </w:p>
    <w:p w:rsidR="00977E26" w:rsidRPr="00977E26" w:rsidRDefault="00977E26" w:rsidP="00525960">
      <w:pPr>
        <w:rPr>
          <w:sz w:val="36"/>
          <w:szCs w:val="36"/>
        </w:rPr>
      </w:pPr>
      <w:r>
        <w:rPr>
          <w:sz w:val="36"/>
          <w:szCs w:val="36"/>
        </w:rPr>
        <w:t xml:space="preserve">                         </w:t>
      </w:r>
    </w:p>
    <w:p w:rsidR="00D820DD" w:rsidRPr="00B235E6" w:rsidRDefault="00892A94" w:rsidP="00525960">
      <w:pPr>
        <w:rPr>
          <w:sz w:val="28"/>
          <w:szCs w:val="28"/>
        </w:rPr>
      </w:pPr>
      <w:r>
        <w:rPr>
          <w:sz w:val="28"/>
          <w:szCs w:val="28"/>
        </w:rPr>
        <w:t xml:space="preserve">     </w:t>
      </w:r>
    </w:p>
    <w:p w:rsidR="00933E53" w:rsidRDefault="00933E53" w:rsidP="00525960">
      <w:pPr>
        <w:rPr>
          <w:sz w:val="28"/>
          <w:szCs w:val="28"/>
        </w:rPr>
      </w:pPr>
      <w:r>
        <w:rPr>
          <w:sz w:val="28"/>
          <w:szCs w:val="28"/>
        </w:rPr>
        <w:t xml:space="preserve">     </w:t>
      </w:r>
    </w:p>
    <w:p w:rsidR="0052055A" w:rsidRDefault="0052055A" w:rsidP="00525960">
      <w:pPr>
        <w:rPr>
          <w:sz w:val="28"/>
          <w:szCs w:val="28"/>
        </w:rPr>
      </w:pPr>
      <w:r>
        <w:rPr>
          <w:sz w:val="28"/>
          <w:szCs w:val="28"/>
        </w:rPr>
        <w:t xml:space="preserve">     </w:t>
      </w:r>
    </w:p>
    <w:p w:rsidR="00D071FF" w:rsidRDefault="0065707B" w:rsidP="000A38D7">
      <w:pPr>
        <w:rPr>
          <w:sz w:val="28"/>
          <w:szCs w:val="28"/>
        </w:rPr>
      </w:pPr>
      <w:r>
        <w:rPr>
          <w:sz w:val="28"/>
          <w:szCs w:val="28"/>
        </w:rPr>
        <w:t xml:space="preserve">     </w:t>
      </w:r>
    </w:p>
    <w:p w:rsidR="002A154C" w:rsidRDefault="002A154C" w:rsidP="000A38D7">
      <w:pPr>
        <w:rPr>
          <w:sz w:val="28"/>
          <w:szCs w:val="28"/>
        </w:rPr>
      </w:pPr>
      <w:r>
        <w:rPr>
          <w:sz w:val="28"/>
          <w:szCs w:val="28"/>
        </w:rPr>
        <w:t xml:space="preserve">     </w:t>
      </w:r>
    </w:p>
    <w:p w:rsidR="000A38D7" w:rsidRPr="000A38D7" w:rsidRDefault="000A38D7" w:rsidP="000A38D7">
      <w:pPr>
        <w:rPr>
          <w:sz w:val="28"/>
          <w:szCs w:val="28"/>
        </w:rPr>
      </w:pPr>
      <w:r>
        <w:rPr>
          <w:sz w:val="28"/>
          <w:szCs w:val="28"/>
        </w:rPr>
        <w:t xml:space="preserve">     </w:t>
      </w:r>
    </w:p>
    <w:sectPr w:rsidR="000A38D7" w:rsidRPr="000A38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623E" w:rsidRDefault="00DF623E" w:rsidP="00525960">
      <w:pPr>
        <w:spacing w:after="0" w:line="240" w:lineRule="auto"/>
      </w:pPr>
      <w:r>
        <w:separator/>
      </w:r>
    </w:p>
  </w:endnote>
  <w:endnote w:type="continuationSeparator" w:id="0">
    <w:p w:rsidR="00DF623E" w:rsidRDefault="00DF623E" w:rsidP="00525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623E" w:rsidRDefault="00DF623E" w:rsidP="00525960">
      <w:pPr>
        <w:spacing w:after="0" w:line="240" w:lineRule="auto"/>
      </w:pPr>
      <w:r>
        <w:separator/>
      </w:r>
    </w:p>
  </w:footnote>
  <w:footnote w:type="continuationSeparator" w:id="0">
    <w:p w:rsidR="00DF623E" w:rsidRDefault="00DF623E" w:rsidP="00525960">
      <w:pPr>
        <w:spacing w:after="0" w:line="240" w:lineRule="auto"/>
      </w:pPr>
      <w:r>
        <w:continuationSeparator/>
      </w:r>
    </w:p>
  </w:footnote>
  <w:footnote w:id="1">
    <w:p w:rsidR="00525960" w:rsidRPr="00525960" w:rsidRDefault="00525960">
      <w:pPr>
        <w:pStyle w:val="FootnoteText"/>
      </w:pPr>
      <w:r>
        <w:rPr>
          <w:rStyle w:val="FootnoteReference"/>
        </w:rPr>
        <w:footnoteRef/>
      </w:r>
      <w:r>
        <w:t xml:space="preserve"> D.M. Armstrong: </w:t>
      </w:r>
      <w:r>
        <w:rPr>
          <w:i/>
        </w:rPr>
        <w:t>Nominalism and Realism: Universals and Scientific Realism Volume 1</w:t>
      </w:r>
      <w:r>
        <w:t>, (Cambridge: Cambridge University Press, 1978) p.11.</w:t>
      </w:r>
    </w:p>
  </w:footnote>
  <w:footnote w:id="2">
    <w:p w:rsidR="00E56CD5" w:rsidRDefault="00E56CD5">
      <w:pPr>
        <w:pStyle w:val="FootnoteText"/>
      </w:pPr>
      <w:r>
        <w:rPr>
          <w:rStyle w:val="FootnoteReference"/>
        </w:rPr>
        <w:footnoteRef/>
      </w:r>
      <w:r>
        <w:t xml:space="preserve"> Ibid., pp. 12-3.</w:t>
      </w:r>
    </w:p>
  </w:footnote>
  <w:footnote w:id="3">
    <w:p w:rsidR="00494280" w:rsidRDefault="00494280">
      <w:pPr>
        <w:pStyle w:val="FootnoteText"/>
      </w:pPr>
      <w:r>
        <w:rPr>
          <w:rStyle w:val="FootnoteReference"/>
        </w:rPr>
        <w:footnoteRef/>
      </w:r>
      <w:r>
        <w:t xml:space="preserve"> Ibid., p. 19.</w:t>
      </w:r>
    </w:p>
  </w:footnote>
  <w:footnote w:id="4">
    <w:p w:rsidR="006E1ACE" w:rsidRDefault="006E1ACE">
      <w:pPr>
        <w:pStyle w:val="FootnoteText"/>
      </w:pPr>
      <w:r>
        <w:rPr>
          <w:rStyle w:val="FootnoteReference"/>
        </w:rPr>
        <w:footnoteRef/>
      </w:r>
      <w:r>
        <w:t xml:space="preserve"> Ibid., p. 19.</w:t>
      </w:r>
    </w:p>
  </w:footnote>
  <w:footnote w:id="5">
    <w:p w:rsidR="00122104" w:rsidRDefault="00122104">
      <w:pPr>
        <w:pStyle w:val="FootnoteText"/>
      </w:pPr>
      <w:r>
        <w:rPr>
          <w:rStyle w:val="FootnoteReference"/>
        </w:rPr>
        <w:footnoteRef/>
      </w:r>
      <w:r>
        <w:t xml:space="preserve"> Ibid., p. 25.</w:t>
      </w:r>
    </w:p>
  </w:footnote>
  <w:footnote w:id="6">
    <w:p w:rsidR="00F72980" w:rsidRDefault="00F72980">
      <w:pPr>
        <w:pStyle w:val="FootnoteText"/>
      </w:pPr>
      <w:r>
        <w:rPr>
          <w:rStyle w:val="FootnoteReference"/>
        </w:rPr>
        <w:footnoteRef/>
      </w:r>
      <w:r>
        <w:t xml:space="preserve"> Ibid., p. 25.</w:t>
      </w:r>
    </w:p>
  </w:footnote>
  <w:footnote w:id="7">
    <w:p w:rsidR="00F72980" w:rsidRDefault="00F72980">
      <w:pPr>
        <w:pStyle w:val="FootnoteText"/>
      </w:pPr>
      <w:r>
        <w:rPr>
          <w:rStyle w:val="FootnoteReference"/>
        </w:rPr>
        <w:footnoteRef/>
      </w:r>
      <w:r>
        <w:t xml:space="preserve"> Ibid., p. </w:t>
      </w:r>
      <w:r w:rsidR="00997FE5">
        <w:t>27.</w:t>
      </w:r>
    </w:p>
  </w:footnote>
  <w:footnote w:id="8">
    <w:p w:rsidR="00997FE5" w:rsidRDefault="00997FE5">
      <w:pPr>
        <w:pStyle w:val="FootnoteText"/>
      </w:pPr>
      <w:r>
        <w:rPr>
          <w:rStyle w:val="FootnoteReference"/>
        </w:rPr>
        <w:footnoteRef/>
      </w:r>
      <w:r>
        <w:t xml:space="preserve"> Ibid., p. 27.</w:t>
      </w:r>
    </w:p>
  </w:footnote>
  <w:footnote w:id="9">
    <w:p w:rsidR="00CE77D5" w:rsidRDefault="00CE77D5">
      <w:pPr>
        <w:pStyle w:val="FootnoteText"/>
      </w:pPr>
      <w:r>
        <w:rPr>
          <w:rStyle w:val="FootnoteReference"/>
        </w:rPr>
        <w:footnoteRef/>
      </w:r>
      <w:r>
        <w:t xml:space="preserve"> Ibid.</w:t>
      </w:r>
      <w:r w:rsidR="00DE6DD4">
        <w:t>,</w:t>
      </w:r>
      <w:r>
        <w:t xml:space="preserve"> p. 27.</w:t>
      </w:r>
    </w:p>
  </w:footnote>
  <w:footnote w:id="10">
    <w:p w:rsidR="00DE6DD4" w:rsidRDefault="00DE6DD4">
      <w:pPr>
        <w:pStyle w:val="FootnoteText"/>
      </w:pPr>
      <w:r>
        <w:rPr>
          <w:rStyle w:val="FootnoteReference"/>
        </w:rPr>
        <w:footnoteRef/>
      </w:r>
      <w:r>
        <w:t xml:space="preserve"> Ibid., p. 27</w:t>
      </w:r>
    </w:p>
  </w:footnote>
  <w:footnote w:id="11">
    <w:p w:rsidR="006118C9" w:rsidRDefault="006118C9">
      <w:pPr>
        <w:pStyle w:val="FootnoteText"/>
      </w:pPr>
      <w:r>
        <w:rPr>
          <w:rStyle w:val="FootnoteReference"/>
        </w:rPr>
        <w:footnoteRef/>
      </w:r>
      <w:r>
        <w:t xml:space="preserve"> Ibid., p. 28.</w:t>
      </w:r>
    </w:p>
  </w:footnote>
  <w:footnote w:id="12">
    <w:p w:rsidR="006835E7" w:rsidRDefault="006835E7">
      <w:pPr>
        <w:pStyle w:val="FootnoteText"/>
      </w:pPr>
      <w:r>
        <w:rPr>
          <w:rStyle w:val="FootnoteReference"/>
        </w:rPr>
        <w:footnoteRef/>
      </w:r>
      <w:r>
        <w:t xml:space="preserve"> Ibid., p. 28.</w:t>
      </w:r>
    </w:p>
  </w:footnote>
  <w:footnote w:id="13">
    <w:p w:rsidR="000927AE" w:rsidRDefault="000927AE">
      <w:pPr>
        <w:pStyle w:val="FootnoteText"/>
      </w:pPr>
      <w:r>
        <w:rPr>
          <w:rStyle w:val="FootnoteReference"/>
        </w:rPr>
        <w:footnoteRef/>
      </w:r>
      <w:r>
        <w:t xml:space="preserve"> Ibid., pp. 29-30.</w:t>
      </w:r>
    </w:p>
  </w:footnote>
  <w:footnote w:id="14">
    <w:p w:rsidR="006F431D" w:rsidRDefault="006F431D">
      <w:pPr>
        <w:pStyle w:val="FootnoteText"/>
      </w:pPr>
      <w:r>
        <w:rPr>
          <w:rStyle w:val="FootnoteReference"/>
        </w:rPr>
        <w:footnoteRef/>
      </w:r>
      <w:r>
        <w:t xml:space="preserve"> Ibid., p. 31.</w:t>
      </w:r>
    </w:p>
  </w:footnote>
  <w:footnote w:id="15">
    <w:p w:rsidR="0043718E" w:rsidRDefault="0043718E">
      <w:pPr>
        <w:pStyle w:val="FootnoteText"/>
      </w:pPr>
      <w:r>
        <w:rPr>
          <w:rStyle w:val="FootnoteReference"/>
        </w:rPr>
        <w:footnoteRef/>
      </w:r>
      <w:r>
        <w:t xml:space="preserve"> Ibid., p. 55.</w:t>
      </w:r>
    </w:p>
  </w:footnote>
  <w:footnote w:id="16">
    <w:p w:rsidR="002D1FE4" w:rsidRDefault="002D1FE4">
      <w:pPr>
        <w:pStyle w:val="FootnoteText"/>
      </w:pPr>
      <w:r>
        <w:rPr>
          <w:rStyle w:val="FootnoteReference"/>
        </w:rPr>
        <w:footnoteRef/>
      </w:r>
      <w:r>
        <w:t xml:space="preserve"> Ibid., p. 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38D7"/>
    <w:rsid w:val="00022798"/>
    <w:rsid w:val="000472E8"/>
    <w:rsid w:val="000927AE"/>
    <w:rsid w:val="000A38D7"/>
    <w:rsid w:val="000B44D7"/>
    <w:rsid w:val="00122104"/>
    <w:rsid w:val="001578AE"/>
    <w:rsid w:val="00202526"/>
    <w:rsid w:val="0022446D"/>
    <w:rsid w:val="002A154C"/>
    <w:rsid w:val="002D1FE4"/>
    <w:rsid w:val="0039152E"/>
    <w:rsid w:val="0043718E"/>
    <w:rsid w:val="00494280"/>
    <w:rsid w:val="00506024"/>
    <w:rsid w:val="0052055A"/>
    <w:rsid w:val="00525960"/>
    <w:rsid w:val="005A2229"/>
    <w:rsid w:val="005F2C5C"/>
    <w:rsid w:val="006118C9"/>
    <w:rsid w:val="0065707B"/>
    <w:rsid w:val="006756B3"/>
    <w:rsid w:val="006835E7"/>
    <w:rsid w:val="006A5F87"/>
    <w:rsid w:val="006B1F10"/>
    <w:rsid w:val="006E1ACE"/>
    <w:rsid w:val="006F431D"/>
    <w:rsid w:val="007974E5"/>
    <w:rsid w:val="00836533"/>
    <w:rsid w:val="00892A94"/>
    <w:rsid w:val="00903977"/>
    <w:rsid w:val="00933E53"/>
    <w:rsid w:val="00977E26"/>
    <w:rsid w:val="00997FE5"/>
    <w:rsid w:val="009E4300"/>
    <w:rsid w:val="00B174C1"/>
    <w:rsid w:val="00B235E6"/>
    <w:rsid w:val="00B700B1"/>
    <w:rsid w:val="00B7218B"/>
    <w:rsid w:val="00C830B9"/>
    <w:rsid w:val="00C938A5"/>
    <w:rsid w:val="00CB29A3"/>
    <w:rsid w:val="00CE77D5"/>
    <w:rsid w:val="00D071FF"/>
    <w:rsid w:val="00D820DD"/>
    <w:rsid w:val="00DC7A1C"/>
    <w:rsid w:val="00DE6DD4"/>
    <w:rsid w:val="00DF623E"/>
    <w:rsid w:val="00E05D0E"/>
    <w:rsid w:val="00E56CD5"/>
    <w:rsid w:val="00E65124"/>
    <w:rsid w:val="00F72980"/>
    <w:rsid w:val="00F835EC"/>
    <w:rsid w:val="00FA5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9C060E-5DCB-4C7F-88D9-081BAEFB8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2446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22446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2446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22446D"/>
    <w:rPr>
      <w:rFonts w:ascii="Tahoma" w:eastAsia="SimSun" w:hAnsi="Tahoma" w:cs="Tahoma"/>
      <w:b/>
      <w:bCs/>
      <w:sz w:val="20"/>
      <w:szCs w:val="20"/>
      <w:lang w:eastAsia="zh-CN"/>
    </w:rPr>
  </w:style>
  <w:style w:type="paragraph" w:styleId="NormalWeb">
    <w:name w:val="Normal (Web)"/>
    <w:basedOn w:val="Normal"/>
    <w:rsid w:val="0022446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5259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5960"/>
    <w:rPr>
      <w:sz w:val="20"/>
      <w:szCs w:val="20"/>
    </w:rPr>
  </w:style>
  <w:style w:type="character" w:styleId="FootnoteReference">
    <w:name w:val="footnote reference"/>
    <w:basedOn w:val="DefaultParagraphFont"/>
    <w:uiPriority w:val="99"/>
    <w:semiHidden/>
    <w:unhideWhenUsed/>
    <w:rsid w:val="005259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98584-2585-453C-8DB2-9DCD0960B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6</Pages>
  <Words>1585</Words>
  <Characters>9035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24</cp:revision>
  <dcterms:created xsi:type="dcterms:W3CDTF">2018-03-15T19:07:00Z</dcterms:created>
  <dcterms:modified xsi:type="dcterms:W3CDTF">2018-03-16T23:15:00Z</dcterms:modified>
</cp:coreProperties>
</file>