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F3CE9" w14:textId="665E9E3F" w:rsidR="00D35148" w:rsidRDefault="00D35148">
      <w:r>
        <w:t xml:space="preserve">Video link: </w:t>
      </w:r>
      <w:hyperlink r:id="rId5" w:history="1">
        <w:r w:rsidRPr="00F27A24">
          <w:rPr>
            <w:rStyle w:val="Hyperlink"/>
          </w:rPr>
          <w:t>https://youtu.be/EPTMyLvyjKM</w:t>
        </w:r>
      </w:hyperlink>
      <w:r>
        <w:t xml:space="preserve"> </w:t>
      </w:r>
    </w:p>
    <w:p w14:paraId="180199B2" w14:textId="77777777" w:rsidR="00D35148" w:rsidRDefault="00D35148"/>
    <w:p w14:paraId="44C24F05" w14:textId="6CD08EC2" w:rsidR="009B6905" w:rsidRDefault="00684998">
      <w:r>
        <w:t>Presentation Script</w:t>
      </w:r>
    </w:p>
    <w:p w14:paraId="48223D71" w14:textId="649BFD5A" w:rsidR="00890EAD" w:rsidRDefault="00890EAD"/>
    <w:p w14:paraId="4F5355B6" w14:textId="083EB16E" w:rsidR="00890EAD" w:rsidRPr="00890EAD" w:rsidRDefault="00890EAD">
      <w:pPr>
        <w:rPr>
          <w:u w:val="single"/>
        </w:rPr>
      </w:pPr>
      <w:r w:rsidRPr="00890EAD">
        <w:rPr>
          <w:u w:val="single"/>
        </w:rPr>
        <w:t>Title – Investigating how technology influences communities</w:t>
      </w:r>
    </w:p>
    <w:p w14:paraId="0085ABAE" w14:textId="26DAF8BF" w:rsidR="00684998" w:rsidRDefault="00684998"/>
    <w:p w14:paraId="39858610" w14:textId="451C4B0A" w:rsidR="00EC4ED0" w:rsidRPr="00EC4ED0" w:rsidRDefault="00EC4ED0">
      <w:pPr>
        <w:rPr>
          <w:u w:val="single"/>
        </w:rPr>
      </w:pPr>
      <w:r w:rsidRPr="00EC4ED0">
        <w:rPr>
          <w:u w:val="single"/>
        </w:rPr>
        <w:t>Slide 1</w:t>
      </w:r>
      <w:r w:rsidR="003A4D48">
        <w:rPr>
          <w:u w:val="single"/>
        </w:rPr>
        <w:t xml:space="preserve"> – Aims of this presentation</w:t>
      </w:r>
    </w:p>
    <w:p w14:paraId="21A8558C" w14:textId="77777777" w:rsidR="00907D8A" w:rsidRDefault="00907D8A"/>
    <w:p w14:paraId="648BDCDD" w14:textId="4ECA91C3" w:rsidR="00684998" w:rsidRDefault="00907D8A">
      <w:r>
        <w:t xml:space="preserve">In this presentation </w:t>
      </w:r>
      <w:r w:rsidR="00EC4ED0">
        <w:t xml:space="preserve">I will be talking to you about how modern technology can be used to improve the lives of people living in different communities. More specifically, I will be detailing how digital technology has been used to promote good health care in communities and how it has been used to prevent bad health. I will be explaining how campaigns have been used to influence views of certain health related practices within communities and how the success of these campaigns can be measured. The topic of interventions will be explained with examples </w:t>
      </w:r>
      <w:r w:rsidR="00C064FD">
        <w:t>and the complexity of interventions will be discussed. Furthermore, models that can be used as foundations for campaigns will be identified and the impact on which using a model will be shown.</w:t>
      </w:r>
      <w:r w:rsidR="00DE7BCB">
        <w:t xml:space="preserve"> Background will be provided about how data is used in public health campaigns, showing how the collection and use of data from reliable and relevant sources is beneficial to the campaign. Measuring the success of a campaign has changed over time, and the current methods will be detailed.</w:t>
      </w:r>
      <w:r w:rsidR="00277E09">
        <w:t xml:space="preserve"> Finally, I will make recommendations for how digital technology can be further utilised to create successful campaigns.</w:t>
      </w:r>
    </w:p>
    <w:p w14:paraId="3D5DA575" w14:textId="4CA158F6" w:rsidR="00DE7BCB" w:rsidRDefault="00DE7BCB"/>
    <w:p w14:paraId="64DEBEF0" w14:textId="2356E3CD" w:rsidR="00DE7BCB" w:rsidRDefault="00DE7BCB">
      <w:pPr>
        <w:rPr>
          <w:u w:val="single"/>
        </w:rPr>
      </w:pPr>
      <w:r w:rsidRPr="00DE7BCB">
        <w:rPr>
          <w:u w:val="single"/>
        </w:rPr>
        <w:t>Slide 2</w:t>
      </w:r>
      <w:r w:rsidR="003A4D48">
        <w:rPr>
          <w:u w:val="single"/>
        </w:rPr>
        <w:t xml:space="preserve"> – What is a community?</w:t>
      </w:r>
    </w:p>
    <w:p w14:paraId="4D361565" w14:textId="2EDF90DE" w:rsidR="00DE7BCB" w:rsidRDefault="00DE7BCB">
      <w:pPr>
        <w:rPr>
          <w:u w:val="single"/>
        </w:rPr>
      </w:pPr>
    </w:p>
    <w:p w14:paraId="51C571EF" w14:textId="6953E273" w:rsidR="00DE7BCB" w:rsidRDefault="001748FD">
      <w:r>
        <w:t xml:space="preserve">Before I can </w:t>
      </w:r>
      <w:r w:rsidR="006E71FE">
        <w:t xml:space="preserve">begin to explain how digital technology can influence communities, I must first explain what exactly a community is. According to </w:t>
      </w:r>
      <w:r w:rsidR="00B0263A">
        <w:t xml:space="preserve">James, P (2006), a community </w:t>
      </w:r>
      <w:r w:rsidR="008A71C4">
        <w:t xml:space="preserve">is </w:t>
      </w:r>
      <w:r w:rsidR="00B0263A">
        <w:t xml:space="preserve">made of people who are connected by personal features or geographical location. It is often seen that communities consist of people that have common protected characteristics. According to UK Legislation (2010), these characteristics are </w:t>
      </w:r>
      <w:r w:rsidR="00486710">
        <w:t xml:space="preserve">age, disability, gender reassignment, marriage, pregnancy, race, religion and belief, </w:t>
      </w:r>
      <w:proofErr w:type="gramStart"/>
      <w:r w:rsidR="00486710">
        <w:t>sex</w:t>
      </w:r>
      <w:proofErr w:type="gramEnd"/>
      <w:r w:rsidR="00486710">
        <w:t xml:space="preserve"> and sexual orientation. Examples of some communities that are derived from these characteristics are elderly people for age, ethnic minorities for race and mentally ill people for disability.</w:t>
      </w:r>
      <w:r w:rsidR="00277E09">
        <w:t xml:space="preserve"> This presentation will focus on elderly people as a community and the technology that has been used </w:t>
      </w:r>
      <w:proofErr w:type="gramStart"/>
      <w:r w:rsidR="00277E09">
        <w:t>in an effort to</w:t>
      </w:r>
      <w:proofErr w:type="gramEnd"/>
      <w:r w:rsidR="00277E09">
        <w:t xml:space="preserve"> improve the health of them.</w:t>
      </w:r>
      <w:r w:rsidR="00275646">
        <w:t xml:space="preserve"> In the case of elderly people, there are multiple aspects that can be helped with technology that are both medical and social. </w:t>
      </w:r>
      <w:r w:rsidR="008A71C4">
        <w:t>As stated by Schroder-</w:t>
      </w:r>
      <w:proofErr w:type="spellStart"/>
      <w:r w:rsidR="008A71C4">
        <w:t>Butterfill</w:t>
      </w:r>
      <w:proofErr w:type="spellEnd"/>
      <w:r w:rsidR="008A71C4">
        <w:t xml:space="preserve">, E and </w:t>
      </w:r>
      <w:proofErr w:type="spellStart"/>
      <w:r w:rsidR="008A71C4">
        <w:t>Marianti</w:t>
      </w:r>
      <w:proofErr w:type="spellEnd"/>
      <w:r w:rsidR="008A71C4">
        <w:t>, R (2006), the vulnerabilities of elderly people are defined by the risk of them having a</w:t>
      </w:r>
      <w:r w:rsidR="00970DE6">
        <w:t xml:space="preserve"> worsened</w:t>
      </w:r>
      <w:r w:rsidR="008A71C4">
        <w:t xml:space="preserve"> quality of life after being subject to them. An increased risk, therefore more vulnerability, can be seen with </w:t>
      </w:r>
      <w:r w:rsidR="00970DE6">
        <w:t>health as elderly people often have weaker immune systems along with socio-economic factors such as poor finance causing poor living conditions.</w:t>
      </w:r>
    </w:p>
    <w:p w14:paraId="77DFB8EE" w14:textId="5CC67ACB" w:rsidR="00277E09" w:rsidRDefault="00277E09"/>
    <w:p w14:paraId="4561B329" w14:textId="59F09542" w:rsidR="00277E09" w:rsidRPr="00277E09" w:rsidRDefault="00277E09">
      <w:pPr>
        <w:rPr>
          <w:u w:val="single"/>
        </w:rPr>
      </w:pPr>
      <w:r w:rsidRPr="00277E09">
        <w:rPr>
          <w:u w:val="single"/>
        </w:rPr>
        <w:t>Slide 3</w:t>
      </w:r>
      <w:r w:rsidR="003A4D48">
        <w:rPr>
          <w:u w:val="single"/>
        </w:rPr>
        <w:t xml:space="preserve"> – Major health concerns</w:t>
      </w:r>
    </w:p>
    <w:p w14:paraId="14F7A1A2" w14:textId="7B0085B6" w:rsidR="00277E09" w:rsidRDefault="00277E09"/>
    <w:p w14:paraId="5E168A5B" w14:textId="2E1E4E81" w:rsidR="00277E09" w:rsidRDefault="006656CE">
      <w:r>
        <w:t>There are health concerns throughout all communities for different reasons. For example, religious people are at risk of radicalisation caused by young people being influenced by radical beliefs</w:t>
      </w:r>
      <w:r w:rsidR="00533422">
        <w:t>,</w:t>
      </w:r>
      <w:r>
        <w:t xml:space="preserve"> and children are at risk of adverse childhood experiences if they are born into </w:t>
      </w:r>
      <w:r>
        <w:lastRenderedPageBreak/>
        <w:t xml:space="preserve">harsh living conditions or subject to other difficulties during their upbringing. </w:t>
      </w:r>
      <w:r w:rsidR="00B32FBF">
        <w:t xml:space="preserve">The community of elderly people also experiences many health concerns that are mainly related to their vulnerabilities caused by old age. Some of these health concerns include loneliness caused by isolation, </w:t>
      </w:r>
      <w:r w:rsidR="003B696D">
        <w:t xml:space="preserve">and a generally higher risk of developing serious diseases compared to young people. </w:t>
      </w:r>
      <w:r w:rsidR="002D5170">
        <w:t xml:space="preserve">As stated by the World Health Organization (2021), elderly people are also more likely to suffer from multiple conditions concurrently. These health concerns are not only amongst elderly people themselves, with families and friends often monitoring the health of their elderly friends and relatives. This involvement in the elderly community encourages the fair treatment of them because </w:t>
      </w:r>
      <w:r w:rsidR="00B94F00">
        <w:t xml:space="preserve">there is a larger number of people providing support. This also helps connect the elderly community because families with elderly relatives provide the means to </w:t>
      </w:r>
      <w:r w:rsidR="003A4D48">
        <w:t>take them to social events and similar activities. These also exist for elderly people that suffer from health problems such as dementia so that they are not singled-out due to an illness that is difficult to work with. The abundance of residential and care homes also contributes towards the creation of elderly communities because they are a safe space where elderly people can live with each other and go about their daily lives.</w:t>
      </w:r>
    </w:p>
    <w:p w14:paraId="69954989" w14:textId="1F3306C1" w:rsidR="003A4D48" w:rsidRDefault="003A4D48"/>
    <w:p w14:paraId="0396E8DE" w14:textId="44BECD6B" w:rsidR="003A4D48" w:rsidRPr="003A4D48" w:rsidRDefault="003A4D48">
      <w:pPr>
        <w:rPr>
          <w:u w:val="single"/>
        </w:rPr>
      </w:pPr>
      <w:r w:rsidRPr="003A4D48">
        <w:rPr>
          <w:u w:val="single"/>
        </w:rPr>
        <w:t>Slide 4</w:t>
      </w:r>
      <w:r>
        <w:rPr>
          <w:u w:val="single"/>
        </w:rPr>
        <w:t xml:space="preserve"> – Promoting good health</w:t>
      </w:r>
    </w:p>
    <w:p w14:paraId="7E43C79A" w14:textId="094D6452" w:rsidR="003A4D48" w:rsidRDefault="003A4D48"/>
    <w:p w14:paraId="790E5D8D" w14:textId="1DEAA024" w:rsidR="003A4D48" w:rsidRDefault="00444831">
      <w:r>
        <w:t xml:space="preserve">Despite the increased risk of poor health in the elderly community, there are many ways in which good health can be promoted using technology. </w:t>
      </w:r>
      <w:r w:rsidR="00A87FF0">
        <w:t xml:space="preserve">A common use of technology to promote good health is phone calls with loved ones to ensure that elderly people are not isolated and lonely. </w:t>
      </w:r>
      <w:r w:rsidR="00A20521">
        <w:t xml:space="preserve">Research by Petersen, J et al (2016) supports this claim, showing that more interaction with a phone correlated with less feelings of loneliness. </w:t>
      </w:r>
      <w:r w:rsidR="00A21F10">
        <w:t xml:space="preserve">Good health in the elderly community can also be promoted with the use of medicine. Although not directly involving technology, medicines to treat all kinds of health problems in elderly people have been created and often utilise computer tools during the trial and research phases. </w:t>
      </w:r>
      <w:r w:rsidR="008F60E2">
        <w:t xml:space="preserve">Technology has also been used to promote good health with the implementation of physical support devices such as stairlifts and alarms that notify healthcare services in an event of rapidly declining health. </w:t>
      </w:r>
      <w:r w:rsidR="001009F5">
        <w:t xml:space="preserve">It is noted by </w:t>
      </w:r>
      <w:proofErr w:type="spellStart"/>
      <w:r w:rsidR="001009F5">
        <w:t>Stokke</w:t>
      </w:r>
      <w:proofErr w:type="spellEnd"/>
      <w:r w:rsidR="001009F5">
        <w:t xml:space="preserve">, R (2016) that these alarm systems are effective for ensuring the safety of elderly people, </w:t>
      </w:r>
      <w:proofErr w:type="gramStart"/>
      <w:r w:rsidR="001009F5">
        <w:t>however</w:t>
      </w:r>
      <w:proofErr w:type="gramEnd"/>
      <w:r w:rsidR="001009F5">
        <w:t xml:space="preserve"> have flaws in their implementation as they are expected to be used by the elderly community which is sometimes challenging. A significant way to use technology </w:t>
      </w:r>
      <w:r w:rsidR="00E0276A">
        <w:t>to promote good health is with campaigns that aim to address health concerns to the public with the intention of seeking support from them.</w:t>
      </w:r>
    </w:p>
    <w:p w14:paraId="4D0E4B10" w14:textId="38627151" w:rsidR="00E0276A" w:rsidRDefault="00E0276A"/>
    <w:p w14:paraId="33A1F55C" w14:textId="673FB2D7" w:rsidR="00E0276A" w:rsidRPr="002629AC" w:rsidRDefault="00E0276A">
      <w:pPr>
        <w:rPr>
          <w:u w:val="single"/>
        </w:rPr>
      </w:pPr>
      <w:r w:rsidRPr="002629AC">
        <w:rPr>
          <w:u w:val="single"/>
        </w:rPr>
        <w:t>Slide 5 – Using campaigns</w:t>
      </w:r>
    </w:p>
    <w:p w14:paraId="6149A67C" w14:textId="6184CF04" w:rsidR="00E0276A" w:rsidRDefault="00E0276A"/>
    <w:p w14:paraId="3F06C2D7" w14:textId="0CDE0761" w:rsidR="00E0276A" w:rsidRDefault="002629AC">
      <w:r>
        <w:t>Campaigns make use of eye-catching material such as images and bold statements to acquire interest from members of the public. They are not always used to encourage the public to take immediate action, rather they are used to change public attitudes towards certain topics.</w:t>
      </w:r>
      <w:r w:rsidR="00E216F1">
        <w:t xml:space="preserve"> Campaigns</w:t>
      </w:r>
      <w:r w:rsidR="00792FE2">
        <w:t xml:space="preserve"> that aim to improve the health of communities are known as public health campaigns. </w:t>
      </w:r>
      <w:r w:rsidR="007971A6">
        <w:t xml:space="preserve">According to Walls, H et al (2011), public health campaigns are a form of intervention which has a target audience of at least an entire community, with an intervention being an attempt to change an existing process or way of living. </w:t>
      </w:r>
      <w:r w:rsidR="00C968D1">
        <w:t>Some examples of</w:t>
      </w:r>
      <w:r w:rsidR="00FE5436">
        <w:t xml:space="preserve"> public health campaigns directed towards the elderly community include </w:t>
      </w:r>
      <w:r w:rsidR="00C968D1">
        <w:t xml:space="preserve">encouraging elderly people to talk about their mental health issues, fixing the healthcare system and motivating the government to support elderly people with household fuel </w:t>
      </w:r>
      <w:r w:rsidR="00C968D1">
        <w:lastRenderedPageBreak/>
        <w:t xml:space="preserve">payments, as noted by Age UK (2022). </w:t>
      </w:r>
      <w:r w:rsidR="002A2EAC">
        <w:t xml:space="preserve">It is detailed by </w:t>
      </w:r>
      <w:proofErr w:type="spellStart"/>
      <w:r w:rsidR="003E172B">
        <w:t>Golinowska</w:t>
      </w:r>
      <w:proofErr w:type="spellEnd"/>
      <w:r w:rsidR="003E172B">
        <w:t xml:space="preserve">, S et al (2016) that the purpose of these campaigns </w:t>
      </w:r>
      <w:r w:rsidR="009E5757">
        <w:t>is</w:t>
      </w:r>
      <w:r w:rsidR="003E172B">
        <w:t xml:space="preserve"> to </w:t>
      </w:r>
      <w:r w:rsidR="009E5757">
        <w:t>emphasise the importance of social interaction amongst elderly people and to improve their capacity to care for themselves whenever possible.</w:t>
      </w:r>
    </w:p>
    <w:p w14:paraId="3CCDD547" w14:textId="3F7BD1BF" w:rsidR="009E5757" w:rsidRDefault="009E5757"/>
    <w:p w14:paraId="0C2A54C5" w14:textId="31CC2B65" w:rsidR="009E5757" w:rsidRPr="00081D45" w:rsidRDefault="00081D45">
      <w:pPr>
        <w:rPr>
          <w:u w:val="single"/>
        </w:rPr>
      </w:pPr>
      <w:r w:rsidRPr="00081D45">
        <w:rPr>
          <w:u w:val="single"/>
        </w:rPr>
        <w:t xml:space="preserve">Slide 6 – Influence with </w:t>
      </w:r>
      <w:r w:rsidR="00C6518B">
        <w:rPr>
          <w:u w:val="single"/>
        </w:rPr>
        <w:t>i</w:t>
      </w:r>
      <w:r w:rsidRPr="00081D45">
        <w:rPr>
          <w:u w:val="single"/>
        </w:rPr>
        <w:t>nterventions</w:t>
      </w:r>
    </w:p>
    <w:p w14:paraId="3398D8F5" w14:textId="09C7F032" w:rsidR="00081D45" w:rsidRDefault="00081D45"/>
    <w:p w14:paraId="565662B0" w14:textId="55AF5AAA" w:rsidR="00081D45" w:rsidRDefault="00081D45">
      <w:r>
        <w:t xml:space="preserve">Interventions in the health and social care industry take place in many ways depending on the objective of </w:t>
      </w:r>
      <w:r w:rsidR="002D105A">
        <w:t>a given</w:t>
      </w:r>
      <w:r>
        <w:t xml:space="preserve"> intervention.</w:t>
      </w:r>
      <w:r w:rsidR="00E76D55">
        <w:t xml:space="preserve"> </w:t>
      </w:r>
      <w:r w:rsidR="00DD42A2">
        <w:t xml:space="preserve">It is important that an intervention as a campaign is planned correctly so that it can reach the maximum possible amount of people and have the most influence </w:t>
      </w:r>
      <w:r w:rsidR="00431DD7">
        <w:t xml:space="preserve">on public attitudes and behaviours. An effective public health campaign makes use of images that are sometimes unpleasant but impactful so that people can see the negative consequences of inadequate health-related behaviour. </w:t>
      </w:r>
      <w:r w:rsidR="00653904">
        <w:t xml:space="preserve">As described by Fairchild, A et al (2018), images are used to create fear amongst the public to influence their behaviour into avoiding the cause of those images. Similarly, the use of realism has proved to be successful in campaigns for the same reasons as images because of the fear that is created. It is a priority for campaigns to ensure that they do not instil too much fear in the public otherwise they may dismiss it as unrealistic, thus there will be no changes in public behaviour. </w:t>
      </w:r>
      <w:r w:rsidR="00BE7346">
        <w:t xml:space="preserve">Campaigns must also make information specific to elderly people if it is to be well-received amongst them. As noted by </w:t>
      </w:r>
      <w:proofErr w:type="spellStart"/>
      <w:r w:rsidR="00BE7346">
        <w:t>Kamada</w:t>
      </w:r>
      <w:proofErr w:type="spellEnd"/>
      <w:r w:rsidR="00BE7346">
        <w:t>, M et al (2013), there is a difference between awareness of a topic and action being taken which would determine a successful intervention. Making elderly people aware of the consequences of isolation would not necessarily be enough to decrease the number of isolated people</w:t>
      </w:r>
      <w:r w:rsidR="00C6518B">
        <w:t>.</w:t>
      </w:r>
    </w:p>
    <w:p w14:paraId="433611F6" w14:textId="0C5BDAEB" w:rsidR="00C6518B" w:rsidRDefault="00C6518B"/>
    <w:p w14:paraId="3AEA26F6" w14:textId="02A6CCE4" w:rsidR="00C6518B" w:rsidRPr="00C6518B" w:rsidRDefault="00C6518B">
      <w:pPr>
        <w:rPr>
          <w:u w:val="single"/>
        </w:rPr>
      </w:pPr>
      <w:r w:rsidRPr="00C6518B">
        <w:rPr>
          <w:u w:val="single"/>
        </w:rPr>
        <w:t>Slide 7 – Models that shape campaigns</w:t>
      </w:r>
    </w:p>
    <w:p w14:paraId="540EF728" w14:textId="5D2C9971" w:rsidR="00C6518B" w:rsidRDefault="00C6518B"/>
    <w:p w14:paraId="130761B7" w14:textId="34C22ECD" w:rsidR="00C6518B" w:rsidRDefault="00634D5F">
      <w:r>
        <w:t xml:space="preserve">Planning an intervention requires knowledge of budgets, available media, and deployment resources to ensure it is as accessible as possible. </w:t>
      </w:r>
      <w:r w:rsidR="00BC4C83">
        <w:t xml:space="preserve">As part of the intervention creation process, organisations should make use of models that </w:t>
      </w:r>
      <w:r w:rsidR="0002209F">
        <w:t xml:space="preserve">represent public behaviour because if they can predict how the public will react to their intervention then they can ensure that it is informative enough. The theory of planned behaviour is one model that should be used, </w:t>
      </w:r>
      <w:r w:rsidR="00687D49">
        <w:t>which</w:t>
      </w:r>
      <w:r w:rsidR="0002209F">
        <w:t xml:space="preserve"> as explained by </w:t>
      </w:r>
      <w:r w:rsidR="00687D49">
        <w:t xml:space="preserve">Ajzen, I (2011), consists of six constructs that represent how a person feels about the control over their behaviour. Interventions that target these constructs will make the public feel in-control of their behaviour towards elderly people and so the intervention will be more successful. If the public perceived from a campaign that they have no control over the elderly community, then no positive actions would be taken. Public health campaigns should also consider the health belief model. As stated by </w:t>
      </w:r>
      <w:r w:rsidR="0090386E">
        <w:t xml:space="preserve">Green, E et al (2020), this is used to predict changes in health-related behaviours. </w:t>
      </w:r>
      <w:r w:rsidR="00981085">
        <w:t xml:space="preserve">Interventions that use this model have shown development in the areas that they aimed to </w:t>
      </w:r>
      <w:r w:rsidR="00891822">
        <w:t xml:space="preserve">change behaviours in, with evidence from </w:t>
      </w:r>
      <w:proofErr w:type="spellStart"/>
      <w:r w:rsidR="00891822">
        <w:t>Khorsandi</w:t>
      </w:r>
      <w:proofErr w:type="spellEnd"/>
      <w:r w:rsidR="00891822">
        <w:t xml:space="preserve">, M et al (2017) showing that an intervention that made use of the health belief model had more success in reducing hypertension than one that did not. </w:t>
      </w:r>
      <w:r w:rsidR="00CA4D17">
        <w:t>This is particularly useful regarding self-care behaviours in elderly people because they often become less willing to care for themselves when their health worsens.</w:t>
      </w:r>
    </w:p>
    <w:p w14:paraId="3600A0CB" w14:textId="51256270" w:rsidR="00CA4D17" w:rsidRDefault="00CA4D17"/>
    <w:p w14:paraId="223E4299" w14:textId="027F5603" w:rsidR="00CA4D17" w:rsidRPr="00CA4D17" w:rsidRDefault="00CA4D17">
      <w:pPr>
        <w:rPr>
          <w:u w:val="single"/>
        </w:rPr>
      </w:pPr>
      <w:r w:rsidRPr="00CA4D17">
        <w:rPr>
          <w:u w:val="single"/>
        </w:rPr>
        <w:t>Slide 8 – Assessing campaign success</w:t>
      </w:r>
    </w:p>
    <w:p w14:paraId="6A135581" w14:textId="02C41A59" w:rsidR="00CA4D17" w:rsidRDefault="00CA4D17"/>
    <w:p w14:paraId="383382B4" w14:textId="07FB1BDD" w:rsidR="00CA4D17" w:rsidRDefault="00020A43">
      <w:r>
        <w:t xml:space="preserve">It is not possible to determine how well a campaign has influenced the behaviour of elderly people without </w:t>
      </w:r>
      <w:r w:rsidR="0015076F">
        <w:t xml:space="preserve">reflection and retrospective. Before this can be done, there must be clearly </w:t>
      </w:r>
      <w:r w:rsidR="0015076F">
        <w:lastRenderedPageBreak/>
        <w:t xml:space="preserve">defined deliverables that state exactly what the aims of the campaign was and who were the primary targets of it. Furthermore, the platforms, media and other technology used should be decided before the roll-out of the campaign begins. </w:t>
      </w:r>
      <w:r w:rsidR="007F4E0E">
        <w:t xml:space="preserve">In accordance with work by </w:t>
      </w:r>
      <w:proofErr w:type="spellStart"/>
      <w:r w:rsidR="007F4E0E">
        <w:t>Abroms</w:t>
      </w:r>
      <w:proofErr w:type="spellEnd"/>
      <w:r w:rsidR="007F4E0E">
        <w:t xml:space="preserve">, L and </w:t>
      </w:r>
      <w:proofErr w:type="spellStart"/>
      <w:r w:rsidR="007F4E0E">
        <w:t>Maibach</w:t>
      </w:r>
      <w:proofErr w:type="spellEnd"/>
      <w:r w:rsidR="007F4E0E">
        <w:t xml:space="preserve">, E (2008), interventions that target elderly people should </w:t>
      </w:r>
      <w:r w:rsidR="00AB6989">
        <w:t xml:space="preserve">make use of the current initiatives that already exist to ensure that the campaign is most effective. For example, criteria for success may be a campaign that works alongside current efforts to connect elderly people with their families. </w:t>
      </w:r>
      <w:r w:rsidR="00CA3C52">
        <w:t xml:space="preserve">The importance of well-defined goals is noted in research by </w:t>
      </w:r>
      <w:proofErr w:type="spellStart"/>
      <w:r w:rsidR="00CA3C52">
        <w:t>Noar</w:t>
      </w:r>
      <w:proofErr w:type="spellEnd"/>
      <w:r w:rsidR="00CA3C52">
        <w:t>, S (2006), whereby the success of an intervention will be minimal if a strict plan is not followed.</w:t>
      </w:r>
    </w:p>
    <w:p w14:paraId="47689512" w14:textId="122BBEB1" w:rsidR="00CA3C52" w:rsidRDefault="00CA3C52"/>
    <w:p w14:paraId="333F3609" w14:textId="1CE05455" w:rsidR="00CA3C52" w:rsidRPr="00CA3C52" w:rsidRDefault="00CA3C52">
      <w:pPr>
        <w:rPr>
          <w:u w:val="single"/>
        </w:rPr>
      </w:pPr>
      <w:r w:rsidRPr="00CA3C52">
        <w:rPr>
          <w:u w:val="single"/>
        </w:rPr>
        <w:t>Slide 9 – Data collection</w:t>
      </w:r>
    </w:p>
    <w:p w14:paraId="65101253" w14:textId="349BE500" w:rsidR="00CA3C52" w:rsidRDefault="00CA3C52"/>
    <w:p w14:paraId="5BAD0B96" w14:textId="1F630A3F" w:rsidR="00CA3C52" w:rsidRDefault="000C7CDC">
      <w:r>
        <w:t>Measuring the success of a campaign is not only possible through comparisons of end results to initial objectives. It can also be done with data that has been collected throughout the duration of the campaign and represented to identify trends in public behaviour change. Tables of data can be used to show simple metrics such as the average engagement with a campaign</w:t>
      </w:r>
      <w:r w:rsidR="007C415B">
        <w:t xml:space="preserve">, although data about the campaign must still be collected to produce this. Methods of data collection could include tracking the number of devices that have interacted with the campaign online or monitoring the amount of elderly people that have had access to it in some form. </w:t>
      </w:r>
      <w:r w:rsidR="006F6B71">
        <w:t xml:space="preserve">The identification of trends can also be done by visually plotting the data that has been gathered in graphs. Depending on the type of data that has been collected, a bar chart may be used to show different categories such as positive behavioural change by age in five-year intervals. Similarly, a pie chart could be used to visualise the percentage of </w:t>
      </w:r>
      <w:r w:rsidR="000E3F95">
        <w:t xml:space="preserve">engagement with the intervention </w:t>
      </w:r>
      <w:r w:rsidR="009C7738">
        <w:t xml:space="preserve">by a similar demographic variable to age such as gender. </w:t>
      </w:r>
      <w:r w:rsidR="00D46FC1">
        <w:t>The accuracy of data gathered must also be established, with criticism of data collection methods to ensure that no inaccurate conclusions are reached.</w:t>
      </w:r>
    </w:p>
    <w:p w14:paraId="358CCCBB" w14:textId="75970476" w:rsidR="00D46FC1" w:rsidRDefault="00D46FC1"/>
    <w:p w14:paraId="3D931D9A" w14:textId="451EA936" w:rsidR="00D46FC1" w:rsidRPr="00D46FC1" w:rsidRDefault="00D46FC1">
      <w:pPr>
        <w:rPr>
          <w:u w:val="single"/>
        </w:rPr>
      </w:pPr>
      <w:r w:rsidRPr="00D46FC1">
        <w:rPr>
          <w:u w:val="single"/>
        </w:rPr>
        <w:t>Slide 10 – Recommendations</w:t>
      </w:r>
    </w:p>
    <w:p w14:paraId="1128CA60" w14:textId="444E63F2" w:rsidR="00D46FC1" w:rsidRDefault="00D46FC1"/>
    <w:p w14:paraId="0E5D00E7" w14:textId="51FA1279" w:rsidR="00D46FC1" w:rsidRDefault="00D65A8C">
      <w:r>
        <w:t xml:space="preserve">Although this presentation has not discussed the effectiveness of specific interventions in </w:t>
      </w:r>
      <w:proofErr w:type="gramStart"/>
      <w:r>
        <w:t>great detail</w:t>
      </w:r>
      <w:proofErr w:type="gramEnd"/>
      <w:r>
        <w:t>, it is still possible to give recommendations for future interventions to follow so that they influence as much public behaviour as possible.</w:t>
      </w:r>
      <w:r w:rsidR="00DD4114">
        <w:t xml:space="preserve"> </w:t>
      </w:r>
      <w:r w:rsidR="00454B70">
        <w:t xml:space="preserve">It is evident that campaigns are an effective intervention to change the behaviours of elderly people, however </w:t>
      </w:r>
      <w:r w:rsidR="00BB4947">
        <w:t>they must follow fundamental concepts to be successful. These concepts are the theory of planned behaviour and health belief model which are essential to public health interventions because they can be used to accurately predict how the target audience will react to change</w:t>
      </w:r>
      <w:r w:rsidR="00FC45B7">
        <w:t xml:space="preserve">s in their perceived </w:t>
      </w:r>
      <w:r w:rsidR="00AE30BA">
        <w:t>influential</w:t>
      </w:r>
      <w:r w:rsidR="00FC45B7">
        <w:t xml:space="preserve"> power. </w:t>
      </w:r>
      <w:r w:rsidR="00AE30BA">
        <w:t>In addition to this, standard campaign tools should be used such as realism and impactful images without creating too much fear. The use of data gathering technology should also be prioritised so that accurate conclusions can be drawn about the actual changes in behaviours.</w:t>
      </w:r>
    </w:p>
    <w:p w14:paraId="30B25E3A" w14:textId="45D5B4BB" w:rsidR="006E71FE" w:rsidRDefault="006E71FE"/>
    <w:p w14:paraId="328345B9" w14:textId="60C89903" w:rsidR="006E71FE" w:rsidRPr="006E71FE" w:rsidRDefault="006E71FE">
      <w:pPr>
        <w:rPr>
          <w:u w:val="single"/>
        </w:rPr>
      </w:pPr>
      <w:r w:rsidRPr="006E71FE">
        <w:rPr>
          <w:u w:val="single"/>
        </w:rPr>
        <w:t>References</w:t>
      </w:r>
    </w:p>
    <w:p w14:paraId="0AA2FEEE" w14:textId="2A1AA716" w:rsidR="006E71FE" w:rsidRDefault="006E71FE"/>
    <w:p w14:paraId="77F93D88" w14:textId="77777777" w:rsidR="00463530" w:rsidRDefault="00463530" w:rsidP="006E71FE">
      <w:pPr>
        <w:pStyle w:val="ListParagraph"/>
        <w:numPr>
          <w:ilvl w:val="0"/>
          <w:numId w:val="1"/>
        </w:numPr>
      </w:pPr>
      <w:proofErr w:type="spellStart"/>
      <w:r>
        <w:t>Abroms</w:t>
      </w:r>
      <w:proofErr w:type="spellEnd"/>
      <w:r>
        <w:t xml:space="preserve">, L. </w:t>
      </w:r>
      <w:proofErr w:type="spellStart"/>
      <w:r>
        <w:t>Maibach</w:t>
      </w:r>
      <w:proofErr w:type="spellEnd"/>
      <w:r>
        <w:t xml:space="preserve">, E. (2008). The Effectiveness of Mass Communication to Change Public Behaviour. </w:t>
      </w:r>
      <w:r>
        <w:rPr>
          <w:i/>
          <w:iCs/>
        </w:rPr>
        <w:t xml:space="preserve">Annual Review of Public Health. </w:t>
      </w:r>
      <w:r>
        <w:t xml:space="preserve">Available at: </w:t>
      </w:r>
      <w:hyperlink r:id="rId6" w:history="1">
        <w:r w:rsidRPr="00F6581A">
          <w:rPr>
            <w:rStyle w:val="Hyperlink"/>
          </w:rPr>
          <w:t>https://www.annualreviews.org/doi/abs/10.1146/annurev.publhealth.29.020907.090824</w:t>
        </w:r>
      </w:hyperlink>
      <w:r>
        <w:t xml:space="preserve"> [Accessed 24/03/2022]</w:t>
      </w:r>
    </w:p>
    <w:p w14:paraId="2FBA8810" w14:textId="77777777" w:rsidR="00463530" w:rsidRDefault="00463530" w:rsidP="006E71FE">
      <w:pPr>
        <w:pStyle w:val="ListParagraph"/>
        <w:numPr>
          <w:ilvl w:val="0"/>
          <w:numId w:val="1"/>
        </w:numPr>
      </w:pPr>
      <w:r>
        <w:lastRenderedPageBreak/>
        <w:t xml:space="preserve">Age UK. (2022). Campaign with us. Available at: </w:t>
      </w:r>
      <w:hyperlink r:id="rId7" w:history="1">
        <w:r w:rsidRPr="00F6581A">
          <w:rPr>
            <w:rStyle w:val="Hyperlink"/>
          </w:rPr>
          <w:t>https://www.ageuk.org.uk/our-impact/campaigning/</w:t>
        </w:r>
      </w:hyperlink>
      <w:r>
        <w:t xml:space="preserve"> [Accessed 24/03/2022]</w:t>
      </w:r>
    </w:p>
    <w:p w14:paraId="220298D1" w14:textId="77777777" w:rsidR="00463530" w:rsidRDefault="00463530" w:rsidP="006E71FE">
      <w:pPr>
        <w:pStyle w:val="ListParagraph"/>
        <w:numPr>
          <w:ilvl w:val="0"/>
          <w:numId w:val="1"/>
        </w:numPr>
      </w:pPr>
      <w:r>
        <w:t xml:space="preserve">Ajzen, I. (2011). The theory of planned behaviour: Reactions and reflections. </w:t>
      </w:r>
      <w:r>
        <w:rPr>
          <w:i/>
          <w:iCs/>
        </w:rPr>
        <w:t xml:space="preserve">Psychology &amp; Health. </w:t>
      </w:r>
      <w:r>
        <w:t xml:space="preserve">Volume 26, Issue 9. Available at: </w:t>
      </w:r>
      <w:hyperlink r:id="rId8" w:history="1">
        <w:r w:rsidRPr="00F6581A">
          <w:rPr>
            <w:rStyle w:val="Hyperlink"/>
          </w:rPr>
          <w:t>https://www.tandfonline.com/doi/full/10.1080/08870446.2011.613995</w:t>
        </w:r>
      </w:hyperlink>
      <w:r>
        <w:t xml:space="preserve"> [Accessed 24/03/2022]</w:t>
      </w:r>
    </w:p>
    <w:p w14:paraId="58AD5CF2" w14:textId="77777777" w:rsidR="00463530" w:rsidRDefault="00463530" w:rsidP="006E71FE">
      <w:pPr>
        <w:pStyle w:val="ListParagraph"/>
        <w:numPr>
          <w:ilvl w:val="0"/>
          <w:numId w:val="1"/>
        </w:numPr>
      </w:pPr>
      <w:r>
        <w:t xml:space="preserve">Fairchild, A. Bayer, R. Green, S. </w:t>
      </w:r>
      <w:proofErr w:type="spellStart"/>
      <w:r>
        <w:t>Colgrove</w:t>
      </w:r>
      <w:proofErr w:type="spellEnd"/>
      <w:r>
        <w:t xml:space="preserve">, J. Kilgore, E. Sweeney, M. Varma, J. (2018). The Two Faces of Fear: A History of Hard-Hitting Public Health Campaigns Against Tobacco and AIDS. </w:t>
      </w:r>
      <w:r>
        <w:rPr>
          <w:i/>
          <w:iCs/>
        </w:rPr>
        <w:t xml:space="preserve">American Journal of Public Health. </w:t>
      </w:r>
      <w:r>
        <w:t xml:space="preserve">Available at: </w:t>
      </w:r>
      <w:hyperlink r:id="rId9" w:history="1">
        <w:r w:rsidRPr="00F6581A">
          <w:rPr>
            <w:rStyle w:val="Hyperlink"/>
          </w:rPr>
          <w:t>https://ajph.aphapublications.org/doi/abs/10.2105/AJPH.2018.304516</w:t>
        </w:r>
      </w:hyperlink>
      <w:r>
        <w:t xml:space="preserve"> [Accessed 24/03/2022]</w:t>
      </w:r>
    </w:p>
    <w:p w14:paraId="0DD393A6" w14:textId="77777777" w:rsidR="00463530" w:rsidRDefault="00463530" w:rsidP="006E71FE">
      <w:pPr>
        <w:pStyle w:val="ListParagraph"/>
        <w:numPr>
          <w:ilvl w:val="0"/>
          <w:numId w:val="1"/>
        </w:numPr>
      </w:pPr>
      <w:proofErr w:type="spellStart"/>
      <w:r>
        <w:t>Golinowska</w:t>
      </w:r>
      <w:proofErr w:type="spellEnd"/>
      <w:r>
        <w:t xml:space="preserve">, S. Groot, W. </w:t>
      </w:r>
      <w:proofErr w:type="spellStart"/>
      <w:r>
        <w:t>Baji</w:t>
      </w:r>
      <w:proofErr w:type="spellEnd"/>
      <w:r>
        <w:t xml:space="preserve">, P. Pavlova, M. (2016). Health promotion targeting older people. </w:t>
      </w:r>
      <w:r>
        <w:rPr>
          <w:i/>
          <w:iCs/>
        </w:rPr>
        <w:t xml:space="preserve">BMC Health Services Research. </w:t>
      </w:r>
      <w:r>
        <w:t xml:space="preserve">Available at: </w:t>
      </w:r>
      <w:hyperlink r:id="rId10" w:history="1">
        <w:r w:rsidRPr="00F6581A">
          <w:rPr>
            <w:rStyle w:val="Hyperlink"/>
          </w:rPr>
          <w:t>https://www.ncbi.nlm.nih.gov/pmc/articles/PMC5016724/</w:t>
        </w:r>
      </w:hyperlink>
      <w:r>
        <w:t xml:space="preserve"> [Accessed 24/03/2022]</w:t>
      </w:r>
    </w:p>
    <w:p w14:paraId="08D3F1B8" w14:textId="77777777" w:rsidR="00463530" w:rsidRDefault="00463530" w:rsidP="006E71FE">
      <w:pPr>
        <w:pStyle w:val="ListParagraph"/>
        <w:numPr>
          <w:ilvl w:val="0"/>
          <w:numId w:val="1"/>
        </w:numPr>
      </w:pPr>
      <w:r>
        <w:t xml:space="preserve">Green, E. Murphy, E. </w:t>
      </w:r>
      <w:proofErr w:type="spellStart"/>
      <w:r>
        <w:t>Gryboski</w:t>
      </w:r>
      <w:proofErr w:type="spellEnd"/>
      <w:r>
        <w:t xml:space="preserve">, K. (2020). The Health Belief Model. </w:t>
      </w:r>
      <w:r>
        <w:rPr>
          <w:i/>
          <w:iCs/>
        </w:rPr>
        <w:t xml:space="preserve">The Wiley </w:t>
      </w:r>
      <w:proofErr w:type="spellStart"/>
      <w:r>
        <w:rPr>
          <w:i/>
          <w:iCs/>
        </w:rPr>
        <w:t>Encyclopedia</w:t>
      </w:r>
      <w:proofErr w:type="spellEnd"/>
      <w:r>
        <w:rPr>
          <w:i/>
          <w:iCs/>
        </w:rPr>
        <w:t xml:space="preserve"> of Health Psychology. </w:t>
      </w:r>
      <w:r>
        <w:t xml:space="preserve">Available at: </w:t>
      </w:r>
      <w:hyperlink r:id="rId11" w:history="1">
        <w:r w:rsidRPr="00F6581A">
          <w:rPr>
            <w:rStyle w:val="Hyperlink"/>
          </w:rPr>
          <w:t>https://onlinelibrary.wiley.com/doi/abs/10.1002/9781119057840.ch68</w:t>
        </w:r>
      </w:hyperlink>
      <w:r>
        <w:t xml:space="preserve"> [Accessed 24/03/2022]</w:t>
      </w:r>
    </w:p>
    <w:p w14:paraId="45ECCBFA" w14:textId="77777777" w:rsidR="00463530" w:rsidRPr="006E71FE" w:rsidRDefault="00463530" w:rsidP="006E71FE">
      <w:pPr>
        <w:pStyle w:val="ListParagraph"/>
        <w:numPr>
          <w:ilvl w:val="0"/>
          <w:numId w:val="1"/>
        </w:numPr>
      </w:pPr>
      <w:r>
        <w:t xml:space="preserve">James, P. (2006). Globalism, Nationalism, Tribalism: Bringing Theory Back In – Towards a Theory of Abstract Community Volume 2. </w:t>
      </w:r>
      <w:r>
        <w:rPr>
          <w:i/>
          <w:iCs/>
        </w:rPr>
        <w:t>Sage Publications.</w:t>
      </w:r>
    </w:p>
    <w:p w14:paraId="285A0F23" w14:textId="77777777" w:rsidR="00463530" w:rsidRDefault="00463530" w:rsidP="006E71FE">
      <w:pPr>
        <w:pStyle w:val="ListParagraph"/>
        <w:numPr>
          <w:ilvl w:val="0"/>
          <w:numId w:val="1"/>
        </w:numPr>
      </w:pPr>
      <w:proofErr w:type="spellStart"/>
      <w:r>
        <w:t>Kamada</w:t>
      </w:r>
      <w:proofErr w:type="spellEnd"/>
      <w:r>
        <w:t xml:space="preserve">, M. </w:t>
      </w:r>
      <w:proofErr w:type="spellStart"/>
      <w:r>
        <w:t>Kitayuguchi</w:t>
      </w:r>
      <w:proofErr w:type="spellEnd"/>
      <w:r>
        <w:t xml:space="preserve">, J. Inoue, S. Ishikawa, Y. </w:t>
      </w:r>
      <w:proofErr w:type="spellStart"/>
      <w:r>
        <w:t>Nishiuchi</w:t>
      </w:r>
      <w:proofErr w:type="spellEnd"/>
      <w:r>
        <w:t xml:space="preserve">, H. Okada, S. Harada, K. </w:t>
      </w:r>
      <w:proofErr w:type="spellStart"/>
      <w:r>
        <w:t>Kamioka</w:t>
      </w:r>
      <w:proofErr w:type="spellEnd"/>
      <w:r>
        <w:t xml:space="preserve">, H. </w:t>
      </w:r>
      <w:proofErr w:type="spellStart"/>
      <w:r>
        <w:t>Shiwaku</w:t>
      </w:r>
      <w:proofErr w:type="spellEnd"/>
      <w:r>
        <w:t xml:space="preserve">, K. (2013). A community-wide </w:t>
      </w:r>
      <w:proofErr w:type="spellStart"/>
      <w:r>
        <w:t>compaign</w:t>
      </w:r>
      <w:proofErr w:type="spellEnd"/>
      <w:r>
        <w:t xml:space="preserve"> to promote physical activity in middle-aged and elderly people: a cluster randomized controlled trial. </w:t>
      </w:r>
      <w:r>
        <w:rPr>
          <w:i/>
          <w:iCs/>
        </w:rPr>
        <w:t xml:space="preserve">International Journal of Behavioural Nutrition and Physical Activity. </w:t>
      </w:r>
      <w:r>
        <w:t xml:space="preserve">Available at: </w:t>
      </w:r>
      <w:hyperlink r:id="rId12" w:anchor="Sec17" w:history="1">
        <w:r w:rsidRPr="00F6581A">
          <w:rPr>
            <w:rStyle w:val="Hyperlink"/>
          </w:rPr>
          <w:t>https://link.springer.com/article/10.1186/1479-5868-10-44#Sec17</w:t>
        </w:r>
      </w:hyperlink>
      <w:r>
        <w:t xml:space="preserve"> [Accessed 24/03/2022]</w:t>
      </w:r>
    </w:p>
    <w:p w14:paraId="220378F9" w14:textId="77777777" w:rsidR="00463530" w:rsidRDefault="00463530" w:rsidP="006E71FE">
      <w:pPr>
        <w:pStyle w:val="ListParagraph"/>
        <w:numPr>
          <w:ilvl w:val="0"/>
          <w:numId w:val="1"/>
        </w:numPr>
      </w:pPr>
      <w:proofErr w:type="spellStart"/>
      <w:r>
        <w:t>Khorsandi</w:t>
      </w:r>
      <w:proofErr w:type="spellEnd"/>
      <w:r>
        <w:t xml:space="preserve">, M. </w:t>
      </w:r>
      <w:proofErr w:type="spellStart"/>
      <w:r>
        <w:t>Fekrizadeh</w:t>
      </w:r>
      <w:proofErr w:type="spellEnd"/>
      <w:r>
        <w:t xml:space="preserve">, Z. </w:t>
      </w:r>
      <w:proofErr w:type="spellStart"/>
      <w:r>
        <w:t>Roozbahani</w:t>
      </w:r>
      <w:proofErr w:type="spellEnd"/>
      <w:r>
        <w:t xml:space="preserve">, N. (2017). Investigation of the effect of education based on the health belief model on the adoption of hypertension-controlling behaviours in the elderly. </w:t>
      </w:r>
      <w:r>
        <w:rPr>
          <w:i/>
          <w:iCs/>
        </w:rPr>
        <w:t xml:space="preserve">Clinical Interventions in Aging. </w:t>
      </w:r>
      <w:r>
        <w:t xml:space="preserve">Volume 12. Available at: </w:t>
      </w:r>
      <w:hyperlink r:id="rId13" w:history="1">
        <w:r w:rsidRPr="00F6581A">
          <w:rPr>
            <w:rStyle w:val="Hyperlink"/>
          </w:rPr>
          <w:t>https://www.ncbi.nlm.nih.gov/pmc/articles/PMC5291452/</w:t>
        </w:r>
      </w:hyperlink>
      <w:r>
        <w:t xml:space="preserve"> [Accessed 24/03/2022]</w:t>
      </w:r>
    </w:p>
    <w:p w14:paraId="7A44B854" w14:textId="77777777" w:rsidR="00463530" w:rsidRPr="00DE7BCB" w:rsidRDefault="00463530" w:rsidP="00DD4114">
      <w:pPr>
        <w:pStyle w:val="ListParagraph"/>
        <w:numPr>
          <w:ilvl w:val="0"/>
          <w:numId w:val="1"/>
        </w:numPr>
      </w:pPr>
      <w:proofErr w:type="spellStart"/>
      <w:r>
        <w:t>Noar</w:t>
      </w:r>
      <w:proofErr w:type="spellEnd"/>
      <w:r>
        <w:t xml:space="preserve">, S. (2006). A 10-Year Retrospective of Research in Health Mass Media Campaigns: Where Do We Go </w:t>
      </w:r>
      <w:proofErr w:type="gramStart"/>
      <w:r>
        <w:t>From</w:t>
      </w:r>
      <w:proofErr w:type="gramEnd"/>
      <w:r>
        <w:t xml:space="preserve"> Here? </w:t>
      </w:r>
      <w:r>
        <w:rPr>
          <w:i/>
          <w:iCs/>
        </w:rPr>
        <w:t xml:space="preserve">Journal of Health Communication. </w:t>
      </w:r>
      <w:r>
        <w:t xml:space="preserve">Volume 11, Issue 1. Available at: </w:t>
      </w:r>
      <w:hyperlink r:id="rId14" w:history="1">
        <w:r w:rsidRPr="00F6581A">
          <w:rPr>
            <w:rStyle w:val="Hyperlink"/>
          </w:rPr>
          <w:t>https://www.tandfonline.com/doi/abs/10.1080/10810730500461059</w:t>
        </w:r>
      </w:hyperlink>
      <w:r>
        <w:t xml:space="preserve"> [Accessed 24/03/2022]</w:t>
      </w:r>
    </w:p>
    <w:p w14:paraId="3960607B" w14:textId="77777777" w:rsidR="00463530" w:rsidRDefault="00463530" w:rsidP="006E71FE">
      <w:pPr>
        <w:pStyle w:val="ListParagraph"/>
        <w:numPr>
          <w:ilvl w:val="0"/>
          <w:numId w:val="1"/>
        </w:numPr>
      </w:pPr>
      <w:r>
        <w:t xml:space="preserve">Petersen, J. </w:t>
      </w:r>
      <w:proofErr w:type="spellStart"/>
      <w:r>
        <w:t>Thielke</w:t>
      </w:r>
      <w:proofErr w:type="spellEnd"/>
      <w:r>
        <w:t xml:space="preserve">, S. Austin, D. Kaye, J. (2016). Phone behaviour and its relationship to loneliness in older adults. </w:t>
      </w:r>
      <w:r>
        <w:rPr>
          <w:i/>
          <w:iCs/>
        </w:rPr>
        <w:t xml:space="preserve">Aging &amp; Mental Health. </w:t>
      </w:r>
      <w:r>
        <w:t xml:space="preserve">Volume 20, Issue 10. Available at: </w:t>
      </w:r>
      <w:hyperlink r:id="rId15" w:history="1">
        <w:r w:rsidRPr="00F6581A">
          <w:rPr>
            <w:rStyle w:val="Hyperlink"/>
          </w:rPr>
          <w:t>https://www.tandfonline.com/doi/abs/10.1080/13607863.2015.1060947</w:t>
        </w:r>
      </w:hyperlink>
      <w:r>
        <w:t xml:space="preserve"> [Accessed 24/03/2022]</w:t>
      </w:r>
    </w:p>
    <w:p w14:paraId="4162332A" w14:textId="77777777" w:rsidR="00463530" w:rsidRDefault="00463530" w:rsidP="006E71FE">
      <w:pPr>
        <w:pStyle w:val="ListParagraph"/>
        <w:numPr>
          <w:ilvl w:val="0"/>
          <w:numId w:val="1"/>
        </w:numPr>
      </w:pPr>
      <w:r>
        <w:t>Schroder-</w:t>
      </w:r>
      <w:proofErr w:type="spellStart"/>
      <w:r>
        <w:t>Butterfill</w:t>
      </w:r>
      <w:proofErr w:type="spellEnd"/>
      <w:r>
        <w:t xml:space="preserve">, E. </w:t>
      </w:r>
      <w:proofErr w:type="spellStart"/>
      <w:r>
        <w:t>Marianti</w:t>
      </w:r>
      <w:proofErr w:type="spellEnd"/>
      <w:r>
        <w:t xml:space="preserve">, R. (2006). A framework for understanding old-age vulnerabilities. </w:t>
      </w:r>
      <w:r>
        <w:rPr>
          <w:i/>
          <w:iCs/>
        </w:rPr>
        <w:t xml:space="preserve">Ageing and Society. </w:t>
      </w:r>
      <w:r>
        <w:t xml:space="preserve">Volume 26, Issue 1. Available at: </w:t>
      </w:r>
      <w:hyperlink r:id="rId16" w:history="1">
        <w:r w:rsidRPr="00F6581A">
          <w:rPr>
            <w:rStyle w:val="Hyperlink"/>
          </w:rPr>
          <w:t>https://www.ncbi.nlm.nih.gov/pmc/articles/PMC3672844/</w:t>
        </w:r>
      </w:hyperlink>
      <w:r>
        <w:t xml:space="preserve"> [Accessed 24/03/2022]</w:t>
      </w:r>
    </w:p>
    <w:p w14:paraId="6F519BFC" w14:textId="77777777" w:rsidR="00463530" w:rsidRDefault="00463530" w:rsidP="006E71FE">
      <w:pPr>
        <w:pStyle w:val="ListParagraph"/>
        <w:numPr>
          <w:ilvl w:val="0"/>
          <w:numId w:val="1"/>
        </w:numPr>
      </w:pPr>
      <w:proofErr w:type="spellStart"/>
      <w:r>
        <w:t>Stokke</w:t>
      </w:r>
      <w:proofErr w:type="spellEnd"/>
      <w:r>
        <w:t xml:space="preserve">, R. (2016). The Personal Emergency Response System as a Technology Innovation in Primary Health Care Services: An Integrative Review. </w:t>
      </w:r>
      <w:r>
        <w:rPr>
          <w:i/>
          <w:iCs/>
        </w:rPr>
        <w:t xml:space="preserve">Journal of </w:t>
      </w:r>
      <w:r>
        <w:rPr>
          <w:i/>
          <w:iCs/>
        </w:rPr>
        <w:lastRenderedPageBreak/>
        <w:t xml:space="preserve">Medical Internet Research. </w:t>
      </w:r>
      <w:r>
        <w:t xml:space="preserve">Volume 17, Issue 7. Available at: </w:t>
      </w:r>
      <w:hyperlink r:id="rId17" w:history="1">
        <w:r w:rsidRPr="00F6581A">
          <w:rPr>
            <w:rStyle w:val="Hyperlink"/>
          </w:rPr>
          <w:t>https://www.ncbi.nlm.nih.gov/pmc/articles/PMC4965612/</w:t>
        </w:r>
      </w:hyperlink>
      <w:r>
        <w:t xml:space="preserve"> [Accessed 24/03/2022]</w:t>
      </w:r>
    </w:p>
    <w:p w14:paraId="28DA0890" w14:textId="77777777" w:rsidR="00463530" w:rsidRDefault="00463530" w:rsidP="006E71FE">
      <w:pPr>
        <w:pStyle w:val="ListParagraph"/>
        <w:numPr>
          <w:ilvl w:val="0"/>
          <w:numId w:val="1"/>
        </w:numPr>
      </w:pPr>
      <w:r>
        <w:t xml:space="preserve">UK Legislation. (2010). </w:t>
      </w:r>
      <w:r>
        <w:rPr>
          <w:i/>
          <w:iCs/>
        </w:rPr>
        <w:t xml:space="preserve">Equality Act 2010. </w:t>
      </w:r>
      <w:r>
        <w:t xml:space="preserve">Available at: </w:t>
      </w:r>
      <w:hyperlink r:id="rId18" w:history="1">
        <w:r w:rsidRPr="0037609A">
          <w:rPr>
            <w:rStyle w:val="Hyperlink"/>
          </w:rPr>
          <w:t>https://www.legislation.gov.uk/ukpga/2010/15/section/4</w:t>
        </w:r>
      </w:hyperlink>
      <w:r>
        <w:t xml:space="preserve"> [Accessed 24/03/2022]</w:t>
      </w:r>
    </w:p>
    <w:p w14:paraId="4F873316" w14:textId="77777777" w:rsidR="00463530" w:rsidRDefault="00463530" w:rsidP="006E71FE">
      <w:pPr>
        <w:pStyle w:val="ListParagraph"/>
        <w:numPr>
          <w:ilvl w:val="0"/>
          <w:numId w:val="1"/>
        </w:numPr>
      </w:pPr>
      <w:r>
        <w:t xml:space="preserve">Walls, H. </w:t>
      </w:r>
      <w:proofErr w:type="spellStart"/>
      <w:r>
        <w:t>Peeters</w:t>
      </w:r>
      <w:proofErr w:type="spellEnd"/>
      <w:r>
        <w:t xml:space="preserve">, A. </w:t>
      </w:r>
      <w:proofErr w:type="spellStart"/>
      <w:r>
        <w:t>Proietto</w:t>
      </w:r>
      <w:proofErr w:type="spellEnd"/>
      <w:r>
        <w:t xml:space="preserve">, J. McNeil, J. (2011). Public health campaigns and obesity – a critique. </w:t>
      </w:r>
      <w:r>
        <w:rPr>
          <w:i/>
          <w:iCs/>
        </w:rPr>
        <w:t xml:space="preserve">BMC Public Health. </w:t>
      </w:r>
      <w:r>
        <w:t xml:space="preserve">Available at: </w:t>
      </w:r>
      <w:hyperlink r:id="rId19" w:history="1">
        <w:r w:rsidRPr="00F6581A">
          <w:rPr>
            <w:rStyle w:val="Hyperlink"/>
          </w:rPr>
          <w:t>https://bmcpublichealth.biomedcentral.com/articles/10.1186/1471-2458-11-136</w:t>
        </w:r>
      </w:hyperlink>
      <w:r>
        <w:t xml:space="preserve"> [Accessed 24/03/2022]</w:t>
      </w:r>
    </w:p>
    <w:p w14:paraId="10BFA45E" w14:textId="77777777" w:rsidR="00463530" w:rsidRDefault="00463530" w:rsidP="006E71FE">
      <w:pPr>
        <w:pStyle w:val="ListParagraph"/>
        <w:numPr>
          <w:ilvl w:val="0"/>
          <w:numId w:val="1"/>
        </w:numPr>
      </w:pPr>
      <w:r>
        <w:t xml:space="preserve">World Health Organization. (2021). Ageing and health. Available at: </w:t>
      </w:r>
      <w:hyperlink r:id="rId20" w:history="1">
        <w:r w:rsidRPr="00F6581A">
          <w:rPr>
            <w:rStyle w:val="Hyperlink"/>
          </w:rPr>
          <w:t>https://www.who.int/news-room/fact-sheets/detail/ageing-and-health</w:t>
        </w:r>
      </w:hyperlink>
      <w:r>
        <w:t xml:space="preserve"> [Accessed 24/03/2022]</w:t>
      </w:r>
    </w:p>
    <w:sectPr w:rsidR="00463530" w:rsidSect="000913F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CB5FD5"/>
    <w:multiLevelType w:val="hybridMultilevel"/>
    <w:tmpl w:val="E0060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0749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998"/>
    <w:rsid w:val="00020A43"/>
    <w:rsid w:val="0002209F"/>
    <w:rsid w:val="00081D45"/>
    <w:rsid w:val="000913FE"/>
    <w:rsid w:val="000C7CDC"/>
    <w:rsid w:val="000E3F95"/>
    <w:rsid w:val="001009F5"/>
    <w:rsid w:val="0015076F"/>
    <w:rsid w:val="001748FD"/>
    <w:rsid w:val="002629AC"/>
    <w:rsid w:val="00275646"/>
    <w:rsid w:val="00277E09"/>
    <w:rsid w:val="002A2EAC"/>
    <w:rsid w:val="002D105A"/>
    <w:rsid w:val="002D5170"/>
    <w:rsid w:val="0032723A"/>
    <w:rsid w:val="003962F4"/>
    <w:rsid w:val="003A4D48"/>
    <w:rsid w:val="003B696D"/>
    <w:rsid w:val="003D034B"/>
    <w:rsid w:val="003E172B"/>
    <w:rsid w:val="00431DD7"/>
    <w:rsid w:val="00444831"/>
    <w:rsid w:val="00454B70"/>
    <w:rsid w:val="00463530"/>
    <w:rsid w:val="00486710"/>
    <w:rsid w:val="004E0546"/>
    <w:rsid w:val="00533422"/>
    <w:rsid w:val="00634D5F"/>
    <w:rsid w:val="00653904"/>
    <w:rsid w:val="006656CE"/>
    <w:rsid w:val="00677C18"/>
    <w:rsid w:val="00682BBE"/>
    <w:rsid w:val="00684998"/>
    <w:rsid w:val="00687D49"/>
    <w:rsid w:val="006E71FE"/>
    <w:rsid w:val="006F6B71"/>
    <w:rsid w:val="00792FE2"/>
    <w:rsid w:val="007971A6"/>
    <w:rsid w:val="007C415B"/>
    <w:rsid w:val="007F4E0E"/>
    <w:rsid w:val="00890EAD"/>
    <w:rsid w:val="00891822"/>
    <w:rsid w:val="008A71C4"/>
    <w:rsid w:val="008F60E2"/>
    <w:rsid w:val="0090386E"/>
    <w:rsid w:val="00907D8A"/>
    <w:rsid w:val="00970DE6"/>
    <w:rsid w:val="00981085"/>
    <w:rsid w:val="009B6905"/>
    <w:rsid w:val="009C7738"/>
    <w:rsid w:val="009E5757"/>
    <w:rsid w:val="009F54DD"/>
    <w:rsid w:val="00A20521"/>
    <w:rsid w:val="00A21F10"/>
    <w:rsid w:val="00A87FF0"/>
    <w:rsid w:val="00AB6989"/>
    <w:rsid w:val="00AE30BA"/>
    <w:rsid w:val="00B0263A"/>
    <w:rsid w:val="00B32FBF"/>
    <w:rsid w:val="00B94F00"/>
    <w:rsid w:val="00BB4947"/>
    <w:rsid w:val="00BC4C83"/>
    <w:rsid w:val="00BE7346"/>
    <w:rsid w:val="00C064FD"/>
    <w:rsid w:val="00C6518B"/>
    <w:rsid w:val="00C968D1"/>
    <w:rsid w:val="00CA3C52"/>
    <w:rsid w:val="00CA4D17"/>
    <w:rsid w:val="00D35148"/>
    <w:rsid w:val="00D46FC1"/>
    <w:rsid w:val="00D65A8C"/>
    <w:rsid w:val="00D77AC4"/>
    <w:rsid w:val="00DD4114"/>
    <w:rsid w:val="00DD42A2"/>
    <w:rsid w:val="00DE7BCB"/>
    <w:rsid w:val="00E0276A"/>
    <w:rsid w:val="00E216F1"/>
    <w:rsid w:val="00E76D55"/>
    <w:rsid w:val="00EC4ED0"/>
    <w:rsid w:val="00FC45B7"/>
    <w:rsid w:val="00FE5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87B388"/>
  <w15:chartTrackingRefBased/>
  <w15:docId w15:val="{6769F0D1-A415-9D49-831C-63CA07CE5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1FE"/>
    <w:pPr>
      <w:ind w:left="720"/>
      <w:contextualSpacing/>
    </w:pPr>
  </w:style>
  <w:style w:type="character" w:styleId="Hyperlink">
    <w:name w:val="Hyperlink"/>
    <w:basedOn w:val="DefaultParagraphFont"/>
    <w:uiPriority w:val="99"/>
    <w:unhideWhenUsed/>
    <w:rsid w:val="00B0263A"/>
    <w:rPr>
      <w:color w:val="0563C1" w:themeColor="hyperlink"/>
      <w:u w:val="single"/>
    </w:rPr>
  </w:style>
  <w:style w:type="character" w:styleId="UnresolvedMention">
    <w:name w:val="Unresolved Mention"/>
    <w:basedOn w:val="DefaultParagraphFont"/>
    <w:uiPriority w:val="99"/>
    <w:semiHidden/>
    <w:unhideWhenUsed/>
    <w:rsid w:val="00B026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8870446.2011.613995" TargetMode="External"/><Relationship Id="rId13" Type="http://schemas.openxmlformats.org/officeDocument/2006/relationships/hyperlink" Target="https://www.ncbi.nlm.nih.gov/pmc/articles/PMC5291452/" TargetMode="External"/><Relationship Id="rId18" Type="http://schemas.openxmlformats.org/officeDocument/2006/relationships/hyperlink" Target="https://www.legislation.gov.uk/ukpga/2010/15/section/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geuk.org.uk/our-impact/campaigning/" TargetMode="External"/><Relationship Id="rId12" Type="http://schemas.openxmlformats.org/officeDocument/2006/relationships/hyperlink" Target="https://link.springer.com/article/10.1186/1479-5868-10-44" TargetMode="External"/><Relationship Id="rId17" Type="http://schemas.openxmlformats.org/officeDocument/2006/relationships/hyperlink" Target="https://www.ncbi.nlm.nih.gov/pmc/articles/PMC4965612/" TargetMode="External"/><Relationship Id="rId2" Type="http://schemas.openxmlformats.org/officeDocument/2006/relationships/styles" Target="styles.xml"/><Relationship Id="rId16" Type="http://schemas.openxmlformats.org/officeDocument/2006/relationships/hyperlink" Target="https://www.ncbi.nlm.nih.gov/pmc/articles/PMC3672844/" TargetMode="External"/><Relationship Id="rId20" Type="http://schemas.openxmlformats.org/officeDocument/2006/relationships/hyperlink" Target="https://www.who.int/news-room/fact-sheets/detail/ageing-and-health" TargetMode="External"/><Relationship Id="rId1" Type="http://schemas.openxmlformats.org/officeDocument/2006/relationships/numbering" Target="numbering.xml"/><Relationship Id="rId6" Type="http://schemas.openxmlformats.org/officeDocument/2006/relationships/hyperlink" Target="https://www.annualreviews.org/doi/abs/10.1146/annurev.publhealth.29.020907.090824" TargetMode="External"/><Relationship Id="rId11" Type="http://schemas.openxmlformats.org/officeDocument/2006/relationships/hyperlink" Target="https://onlinelibrary.wiley.com/doi/abs/10.1002/9781119057840.ch68" TargetMode="External"/><Relationship Id="rId5" Type="http://schemas.openxmlformats.org/officeDocument/2006/relationships/hyperlink" Target="https://youtu.be/EPTMyLvyjKM" TargetMode="External"/><Relationship Id="rId15" Type="http://schemas.openxmlformats.org/officeDocument/2006/relationships/hyperlink" Target="https://www.tandfonline.com/doi/abs/10.1080/13607863.2015.1060947" TargetMode="External"/><Relationship Id="rId10" Type="http://schemas.openxmlformats.org/officeDocument/2006/relationships/hyperlink" Target="https://www.ncbi.nlm.nih.gov/pmc/articles/PMC5016724/" TargetMode="External"/><Relationship Id="rId19" Type="http://schemas.openxmlformats.org/officeDocument/2006/relationships/hyperlink" Target="https://bmcpublichealth.biomedcentral.com/articles/10.1186/1471-2458-11-136" TargetMode="External"/><Relationship Id="rId4" Type="http://schemas.openxmlformats.org/officeDocument/2006/relationships/webSettings" Target="webSettings.xml"/><Relationship Id="rId9" Type="http://schemas.openxmlformats.org/officeDocument/2006/relationships/hyperlink" Target="https://ajph.aphapublications.org/doi/abs/10.2105/AJPH.2018.304516" TargetMode="External"/><Relationship Id="rId14" Type="http://schemas.openxmlformats.org/officeDocument/2006/relationships/hyperlink" Target="https://www.tandfonline.com/doi/abs/10.1080/1081073050046105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6</Pages>
  <Words>2717</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46</cp:revision>
  <dcterms:created xsi:type="dcterms:W3CDTF">2021-11-24T16:53:00Z</dcterms:created>
  <dcterms:modified xsi:type="dcterms:W3CDTF">2022-04-05T17:12:00Z</dcterms:modified>
</cp:coreProperties>
</file>