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5531C" w14:textId="77777777" w:rsidR="00423C98" w:rsidRDefault="00423C98" w:rsidP="0041318A">
      <w:pPr>
        <w:pStyle w:val="Heading1"/>
        <w:numPr>
          <w:ilvl w:val="0"/>
          <w:numId w:val="0"/>
        </w:numPr>
      </w:pPr>
    </w:p>
    <w:p w14:paraId="636C1A38" w14:textId="77777777" w:rsidR="005C599A" w:rsidRDefault="005C599A" w:rsidP="0041318A">
      <w:pPr>
        <w:pStyle w:val="Heading1"/>
        <w:numPr>
          <w:ilvl w:val="0"/>
          <w:numId w:val="0"/>
        </w:numPr>
        <w:spacing w:line="278" w:lineRule="auto"/>
        <w:ind w:left="432"/>
      </w:pPr>
      <w:bookmarkStart w:id="0" w:name="_Toc207409110"/>
      <w:r>
        <w:rPr>
          <w:noProof/>
        </w:rPr>
        <w:drawing>
          <wp:inline distT="0" distB="0" distL="0" distR="0" wp14:anchorId="063E7EC6" wp14:editId="269225EF">
            <wp:extent cx="3286125" cy="1352550"/>
            <wp:effectExtent l="0" t="0" r="0" b="0"/>
            <wp:docPr id="350901424" name="drawing"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901424" name=""/>
                    <pic:cNvPicPr/>
                  </pic:nvPicPr>
                  <pic:blipFill>
                    <a:blip r:embed="rId5">
                      <a:extLst>
                        <a:ext uri="{28A0092B-C50C-407E-A947-70E740481C1C}">
                          <a14:useLocalDpi xmlns:a14="http://schemas.microsoft.com/office/drawing/2010/main" val="0"/>
                        </a:ext>
                      </a:extLst>
                    </a:blip>
                    <a:stretch>
                      <a:fillRect/>
                    </a:stretch>
                  </pic:blipFill>
                  <pic:spPr>
                    <a:xfrm>
                      <a:off x="0" y="0"/>
                      <a:ext cx="3286125" cy="1352550"/>
                    </a:xfrm>
                    <a:prstGeom prst="rect">
                      <a:avLst/>
                    </a:prstGeom>
                  </pic:spPr>
                </pic:pic>
              </a:graphicData>
            </a:graphic>
          </wp:inline>
        </w:drawing>
      </w:r>
      <w:bookmarkEnd w:id="0"/>
    </w:p>
    <w:p w14:paraId="4536CA1C" w14:textId="77777777" w:rsidR="005C599A" w:rsidRDefault="005C599A" w:rsidP="005C599A">
      <w:pPr>
        <w:spacing w:line="278" w:lineRule="auto"/>
      </w:pPr>
      <w:r w:rsidRPr="05AEFE4D">
        <w:rPr>
          <w:rFonts w:ascii="Aptos" w:eastAsia="Aptos" w:hAnsi="Aptos" w:cs="Aptos"/>
          <w:sz w:val="40"/>
          <w:szCs w:val="40"/>
        </w:rPr>
        <w:t xml:space="preserve"> </w:t>
      </w:r>
    </w:p>
    <w:p w14:paraId="61F45FFF" w14:textId="77777777" w:rsidR="005C599A" w:rsidRDefault="005C599A" w:rsidP="005C599A">
      <w:pPr>
        <w:spacing w:line="278" w:lineRule="auto"/>
      </w:pPr>
      <w:r w:rsidRPr="05AEFE4D">
        <w:rPr>
          <w:rFonts w:ascii="Aptos" w:eastAsia="Aptos" w:hAnsi="Aptos" w:cs="Aptos"/>
          <w:sz w:val="40"/>
          <w:szCs w:val="40"/>
        </w:rPr>
        <w:t xml:space="preserve"> </w:t>
      </w:r>
    </w:p>
    <w:p w14:paraId="7713B2F1" w14:textId="0077FFF9" w:rsidR="005C599A" w:rsidRPr="00C53A12" w:rsidRDefault="005C599A" w:rsidP="005C599A">
      <w:pPr>
        <w:jc w:val="center"/>
        <w:rPr>
          <w:rFonts w:ascii="Arial" w:eastAsia="Arial" w:hAnsi="Arial" w:cs="Arial"/>
          <w:b/>
          <w:bCs/>
          <w:sz w:val="40"/>
          <w:szCs w:val="40"/>
        </w:rPr>
      </w:pPr>
      <w:r w:rsidRPr="05AEFE4D">
        <w:rPr>
          <w:rFonts w:ascii="Arial" w:eastAsia="Arial" w:hAnsi="Arial" w:cs="Arial"/>
          <w:color w:val="000000" w:themeColor="text1"/>
          <w:sz w:val="40"/>
          <w:szCs w:val="40"/>
        </w:rPr>
        <w:t>Student name:</w:t>
      </w:r>
      <w:r>
        <w:rPr>
          <w:rFonts w:ascii="Arial" w:eastAsia="Arial" w:hAnsi="Arial" w:cs="Arial"/>
          <w:color w:val="000000" w:themeColor="text1"/>
          <w:sz w:val="40"/>
          <w:szCs w:val="40"/>
        </w:rPr>
        <w:t xml:space="preserve"> Cecile Abuzour</w:t>
      </w:r>
    </w:p>
    <w:p w14:paraId="49C4CAAD" w14:textId="01CB1C37" w:rsidR="005C599A" w:rsidRDefault="005C599A" w:rsidP="005C599A">
      <w:pPr>
        <w:spacing w:after="0"/>
        <w:jc w:val="center"/>
      </w:pPr>
      <w:r w:rsidRPr="05AEFE4D">
        <w:rPr>
          <w:rFonts w:ascii="Arial" w:eastAsia="Arial" w:hAnsi="Arial" w:cs="Arial"/>
          <w:color w:val="000000" w:themeColor="text1"/>
          <w:sz w:val="40"/>
          <w:szCs w:val="40"/>
        </w:rPr>
        <w:t>Student ID:</w:t>
      </w:r>
      <w:r w:rsidR="0041318A" w:rsidRPr="0041318A">
        <w:t xml:space="preserve"> </w:t>
      </w:r>
      <w:hyperlink r:id="rId6" w:history="1">
        <w:r w:rsidR="0041318A" w:rsidRPr="0041318A">
          <w:rPr>
            <w:rStyle w:val="Hyperlink"/>
            <w:rFonts w:ascii="Arial" w:eastAsia="Arial" w:hAnsi="Arial" w:cs="Arial"/>
            <w:color w:val="auto"/>
            <w:sz w:val="40"/>
            <w:szCs w:val="40"/>
            <w:u w:val="none"/>
          </w:rPr>
          <w:t>2218610</w:t>
        </w:r>
      </w:hyperlink>
    </w:p>
    <w:p w14:paraId="1DA023E5" w14:textId="66153EF4" w:rsidR="005C599A" w:rsidRPr="0041318A" w:rsidRDefault="005C599A" w:rsidP="005C599A">
      <w:pPr>
        <w:spacing w:after="0"/>
        <w:jc w:val="center"/>
        <w:rPr>
          <w:b/>
          <w:bCs/>
        </w:rPr>
      </w:pPr>
      <w:r w:rsidRPr="05AEFE4D">
        <w:rPr>
          <w:rFonts w:ascii="Arial" w:eastAsia="Arial" w:hAnsi="Arial" w:cs="Arial"/>
          <w:color w:val="000000" w:themeColor="text1"/>
          <w:sz w:val="40"/>
          <w:szCs w:val="40"/>
        </w:rPr>
        <w:t xml:space="preserve">Lecturer: </w:t>
      </w:r>
      <w:r w:rsidR="0041318A" w:rsidRPr="0041318A">
        <w:rPr>
          <w:rFonts w:ascii="Arial" w:eastAsia="Arial" w:hAnsi="Arial" w:cs="Arial"/>
          <w:color w:val="000000" w:themeColor="text1"/>
          <w:sz w:val="40"/>
          <w:szCs w:val="40"/>
        </w:rPr>
        <w:t>Dr Zainab Atta</w:t>
      </w:r>
    </w:p>
    <w:p w14:paraId="238DC1E3" w14:textId="31889DD0" w:rsidR="005C599A" w:rsidRDefault="005C599A" w:rsidP="005C599A">
      <w:pPr>
        <w:spacing w:after="0"/>
        <w:jc w:val="center"/>
      </w:pPr>
      <w:r w:rsidRPr="05AEFE4D">
        <w:rPr>
          <w:rFonts w:ascii="Arial" w:eastAsia="Arial" w:hAnsi="Arial" w:cs="Arial"/>
          <w:color w:val="000000" w:themeColor="text1"/>
          <w:sz w:val="40"/>
          <w:szCs w:val="40"/>
        </w:rPr>
        <w:t xml:space="preserve">Module Name: </w:t>
      </w:r>
      <w:r w:rsidR="0041318A">
        <w:rPr>
          <w:rFonts w:ascii="Arial" w:eastAsia="Arial" w:hAnsi="Arial" w:cs="Arial"/>
          <w:sz w:val="40"/>
          <w:szCs w:val="40"/>
        </w:rPr>
        <w:t>Project</w:t>
      </w:r>
      <w:r w:rsidRPr="05AEFE4D">
        <w:rPr>
          <w:rFonts w:ascii="Arial" w:eastAsia="Arial" w:hAnsi="Arial" w:cs="Arial"/>
          <w:sz w:val="40"/>
          <w:szCs w:val="40"/>
        </w:rPr>
        <w:t xml:space="preserve"> Management</w:t>
      </w:r>
      <w:r w:rsidRPr="05AEFE4D">
        <w:rPr>
          <w:rFonts w:ascii="Arial" w:eastAsia="Arial" w:hAnsi="Arial" w:cs="Arial"/>
          <w:color w:val="000000" w:themeColor="text1"/>
          <w:sz w:val="40"/>
          <w:szCs w:val="40"/>
        </w:rPr>
        <w:t xml:space="preserve"> </w:t>
      </w:r>
    </w:p>
    <w:p w14:paraId="1053F610" w14:textId="198226A8" w:rsidR="005C599A" w:rsidRDefault="005C599A" w:rsidP="005C599A">
      <w:pPr>
        <w:spacing w:after="0"/>
        <w:jc w:val="center"/>
      </w:pPr>
      <w:r w:rsidRPr="05AEFE4D">
        <w:rPr>
          <w:rFonts w:ascii="Arial" w:eastAsia="Arial" w:hAnsi="Arial" w:cs="Arial"/>
          <w:color w:val="000000" w:themeColor="text1"/>
          <w:sz w:val="40"/>
          <w:szCs w:val="40"/>
        </w:rPr>
        <w:t xml:space="preserve">Module code: </w:t>
      </w:r>
      <w:r w:rsidRPr="05AEFE4D">
        <w:rPr>
          <w:rFonts w:ascii="Arial" w:eastAsia="Arial" w:hAnsi="Arial" w:cs="Arial"/>
          <w:sz w:val="40"/>
          <w:szCs w:val="40"/>
        </w:rPr>
        <w:t>LCB</w:t>
      </w:r>
      <w:r w:rsidR="0041318A">
        <w:rPr>
          <w:rFonts w:ascii="Arial" w:eastAsia="Arial" w:hAnsi="Arial" w:cs="Arial"/>
          <w:sz w:val="40"/>
          <w:szCs w:val="40"/>
        </w:rPr>
        <w:t>B6006_LON</w:t>
      </w:r>
    </w:p>
    <w:p w14:paraId="00137A11" w14:textId="5F668D45" w:rsidR="005C599A" w:rsidRDefault="005C599A" w:rsidP="005C599A">
      <w:pPr>
        <w:spacing w:after="0"/>
        <w:jc w:val="center"/>
      </w:pPr>
      <w:r w:rsidRPr="05AEFE4D">
        <w:rPr>
          <w:rFonts w:ascii="Arial" w:eastAsia="Arial" w:hAnsi="Arial" w:cs="Arial"/>
          <w:sz w:val="40"/>
          <w:szCs w:val="40"/>
        </w:rPr>
        <w:t xml:space="preserve">Component 2: Coursework: </w:t>
      </w:r>
      <w:r w:rsidR="0041318A">
        <w:rPr>
          <w:rFonts w:ascii="Arial" w:eastAsia="Arial" w:hAnsi="Arial" w:cs="Arial"/>
          <w:sz w:val="40"/>
          <w:szCs w:val="40"/>
        </w:rPr>
        <w:t>Essay</w:t>
      </w:r>
    </w:p>
    <w:p w14:paraId="2F2176B3" w14:textId="77777777" w:rsidR="00423C98" w:rsidRDefault="00423C98" w:rsidP="00423C98">
      <w:pPr>
        <w:pStyle w:val="Heading1"/>
        <w:numPr>
          <w:ilvl w:val="0"/>
          <w:numId w:val="0"/>
        </w:numPr>
        <w:ind w:left="432"/>
      </w:pPr>
    </w:p>
    <w:p w14:paraId="19838F58" w14:textId="77777777" w:rsidR="00423C98" w:rsidRDefault="00423C98" w:rsidP="00423C98">
      <w:pPr>
        <w:pStyle w:val="Heading1"/>
        <w:numPr>
          <w:ilvl w:val="0"/>
          <w:numId w:val="0"/>
        </w:numPr>
        <w:ind w:left="432"/>
      </w:pPr>
    </w:p>
    <w:p w14:paraId="25B69DD8" w14:textId="77777777" w:rsidR="00423C98" w:rsidRDefault="00423C98" w:rsidP="00423C98">
      <w:pPr>
        <w:pStyle w:val="Heading1"/>
        <w:numPr>
          <w:ilvl w:val="0"/>
          <w:numId w:val="0"/>
        </w:numPr>
        <w:ind w:left="432"/>
      </w:pPr>
    </w:p>
    <w:p w14:paraId="41F8072F" w14:textId="77777777" w:rsidR="00423C98" w:rsidRDefault="00423C98" w:rsidP="00423C98">
      <w:pPr>
        <w:pStyle w:val="Heading1"/>
        <w:numPr>
          <w:ilvl w:val="0"/>
          <w:numId w:val="0"/>
        </w:numPr>
        <w:ind w:left="432"/>
      </w:pPr>
    </w:p>
    <w:p w14:paraId="34875078" w14:textId="77777777" w:rsidR="00423C98" w:rsidRDefault="00423C98" w:rsidP="0041318A">
      <w:pPr>
        <w:pStyle w:val="Heading1"/>
        <w:numPr>
          <w:ilvl w:val="0"/>
          <w:numId w:val="0"/>
        </w:numPr>
        <w:ind w:firstLine="720"/>
      </w:pPr>
    </w:p>
    <w:p w14:paraId="34C1364C" w14:textId="77777777" w:rsidR="0041318A" w:rsidRPr="0041318A" w:rsidRDefault="0041318A" w:rsidP="0041318A"/>
    <w:p w14:paraId="77D38B1F" w14:textId="77777777" w:rsidR="0041318A" w:rsidRDefault="0041318A" w:rsidP="0041318A"/>
    <w:p w14:paraId="04A0534B" w14:textId="77777777" w:rsidR="0041318A" w:rsidRPr="0041318A" w:rsidRDefault="0041318A" w:rsidP="0041318A"/>
    <w:sdt>
      <w:sdtPr>
        <w:id w:val="-108753940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5D418EA" w14:textId="222E26E5" w:rsidR="00423C98" w:rsidRDefault="00423C98">
          <w:pPr>
            <w:pStyle w:val="TOCHeading"/>
          </w:pPr>
          <w:r>
            <w:t>Table of Contents</w:t>
          </w:r>
        </w:p>
        <w:p w14:paraId="4FFE4533" w14:textId="2BA34E12" w:rsidR="00423C98" w:rsidRDefault="00423C98">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898421" w:history="1">
            <w:r w:rsidRPr="009F1536">
              <w:rPr>
                <w:rStyle w:val="Hyperlink"/>
                <w:noProof/>
              </w:rPr>
              <w:t>1</w:t>
            </w:r>
            <w:r>
              <w:rPr>
                <w:rFonts w:eastAsiaTheme="minorEastAsia"/>
                <w:noProof/>
                <w:sz w:val="24"/>
                <w:szCs w:val="24"/>
                <w:lang w:eastAsia="en-GB"/>
              </w:rPr>
              <w:tab/>
            </w:r>
            <w:r w:rsidRPr="009F1536">
              <w:rPr>
                <w:rStyle w:val="Hyperlink"/>
                <w:noProof/>
              </w:rPr>
              <w:t>Introduction</w:t>
            </w:r>
            <w:r>
              <w:rPr>
                <w:noProof/>
                <w:webHidden/>
              </w:rPr>
              <w:tab/>
            </w:r>
            <w:r>
              <w:rPr>
                <w:noProof/>
                <w:webHidden/>
              </w:rPr>
              <w:fldChar w:fldCharType="begin"/>
            </w:r>
            <w:r>
              <w:rPr>
                <w:noProof/>
                <w:webHidden/>
              </w:rPr>
              <w:instrText xml:space="preserve"> PAGEREF _Toc216898421 \h </w:instrText>
            </w:r>
            <w:r>
              <w:rPr>
                <w:noProof/>
                <w:webHidden/>
              </w:rPr>
            </w:r>
            <w:r>
              <w:rPr>
                <w:noProof/>
                <w:webHidden/>
              </w:rPr>
              <w:fldChar w:fldCharType="separate"/>
            </w:r>
            <w:r>
              <w:rPr>
                <w:noProof/>
                <w:webHidden/>
              </w:rPr>
              <w:t>3</w:t>
            </w:r>
            <w:r>
              <w:rPr>
                <w:noProof/>
                <w:webHidden/>
              </w:rPr>
              <w:fldChar w:fldCharType="end"/>
            </w:r>
          </w:hyperlink>
        </w:p>
        <w:p w14:paraId="68B1A372" w14:textId="408620E2" w:rsidR="00423C98" w:rsidRDefault="00423C98">
          <w:pPr>
            <w:pStyle w:val="TOC1"/>
            <w:tabs>
              <w:tab w:val="left" w:pos="480"/>
              <w:tab w:val="right" w:leader="dot" w:pos="9016"/>
            </w:tabs>
            <w:rPr>
              <w:rFonts w:eastAsiaTheme="minorEastAsia"/>
              <w:noProof/>
              <w:sz w:val="24"/>
              <w:szCs w:val="24"/>
              <w:lang w:eastAsia="en-GB"/>
            </w:rPr>
          </w:pPr>
          <w:hyperlink w:anchor="_Toc216898422" w:history="1">
            <w:r w:rsidRPr="009F1536">
              <w:rPr>
                <w:rStyle w:val="Hyperlink"/>
                <w:noProof/>
              </w:rPr>
              <w:t>2</w:t>
            </w:r>
            <w:r>
              <w:rPr>
                <w:rFonts w:eastAsiaTheme="minorEastAsia"/>
                <w:noProof/>
                <w:sz w:val="24"/>
                <w:szCs w:val="24"/>
                <w:lang w:eastAsia="en-GB"/>
              </w:rPr>
              <w:tab/>
            </w:r>
            <w:r w:rsidRPr="009F1536">
              <w:rPr>
                <w:rStyle w:val="Hyperlink"/>
                <w:noProof/>
              </w:rPr>
              <w:t>The Strategic Context of Project Contracting</w:t>
            </w:r>
            <w:r>
              <w:rPr>
                <w:noProof/>
                <w:webHidden/>
              </w:rPr>
              <w:tab/>
            </w:r>
            <w:r>
              <w:rPr>
                <w:noProof/>
                <w:webHidden/>
              </w:rPr>
              <w:fldChar w:fldCharType="begin"/>
            </w:r>
            <w:r>
              <w:rPr>
                <w:noProof/>
                <w:webHidden/>
              </w:rPr>
              <w:instrText xml:space="preserve"> PAGEREF _Toc216898422 \h </w:instrText>
            </w:r>
            <w:r>
              <w:rPr>
                <w:noProof/>
                <w:webHidden/>
              </w:rPr>
            </w:r>
            <w:r>
              <w:rPr>
                <w:noProof/>
                <w:webHidden/>
              </w:rPr>
              <w:fldChar w:fldCharType="separate"/>
            </w:r>
            <w:r>
              <w:rPr>
                <w:noProof/>
                <w:webHidden/>
              </w:rPr>
              <w:t>3</w:t>
            </w:r>
            <w:r>
              <w:rPr>
                <w:noProof/>
                <w:webHidden/>
              </w:rPr>
              <w:fldChar w:fldCharType="end"/>
            </w:r>
          </w:hyperlink>
        </w:p>
        <w:p w14:paraId="01D8382A" w14:textId="7673EA8D" w:rsidR="00423C98" w:rsidRDefault="00423C98">
          <w:pPr>
            <w:pStyle w:val="TOC1"/>
            <w:tabs>
              <w:tab w:val="left" w:pos="480"/>
              <w:tab w:val="right" w:leader="dot" w:pos="9016"/>
            </w:tabs>
            <w:rPr>
              <w:rFonts w:eastAsiaTheme="minorEastAsia"/>
              <w:noProof/>
              <w:sz w:val="24"/>
              <w:szCs w:val="24"/>
              <w:lang w:eastAsia="en-GB"/>
            </w:rPr>
          </w:pPr>
          <w:hyperlink w:anchor="_Toc216898423" w:history="1">
            <w:r w:rsidRPr="009F1536">
              <w:rPr>
                <w:rStyle w:val="Hyperlink"/>
                <w:noProof/>
              </w:rPr>
              <w:t>3</w:t>
            </w:r>
            <w:r>
              <w:rPr>
                <w:rFonts w:eastAsiaTheme="minorEastAsia"/>
                <w:noProof/>
                <w:sz w:val="24"/>
                <w:szCs w:val="24"/>
                <w:lang w:eastAsia="en-GB"/>
              </w:rPr>
              <w:tab/>
            </w:r>
            <w:r w:rsidRPr="009F1536">
              <w:rPr>
                <w:rStyle w:val="Hyperlink"/>
                <w:noProof/>
              </w:rPr>
              <w:t>Turnkey Contracting: The Illusion of Simplicity</w:t>
            </w:r>
            <w:r>
              <w:rPr>
                <w:noProof/>
                <w:webHidden/>
              </w:rPr>
              <w:tab/>
            </w:r>
            <w:r>
              <w:rPr>
                <w:noProof/>
                <w:webHidden/>
              </w:rPr>
              <w:fldChar w:fldCharType="begin"/>
            </w:r>
            <w:r>
              <w:rPr>
                <w:noProof/>
                <w:webHidden/>
              </w:rPr>
              <w:instrText xml:space="preserve"> PAGEREF _Toc216898423 \h </w:instrText>
            </w:r>
            <w:r>
              <w:rPr>
                <w:noProof/>
                <w:webHidden/>
              </w:rPr>
            </w:r>
            <w:r>
              <w:rPr>
                <w:noProof/>
                <w:webHidden/>
              </w:rPr>
              <w:fldChar w:fldCharType="separate"/>
            </w:r>
            <w:r>
              <w:rPr>
                <w:noProof/>
                <w:webHidden/>
              </w:rPr>
              <w:t>4</w:t>
            </w:r>
            <w:r>
              <w:rPr>
                <w:noProof/>
                <w:webHidden/>
              </w:rPr>
              <w:fldChar w:fldCharType="end"/>
            </w:r>
          </w:hyperlink>
        </w:p>
        <w:p w14:paraId="5EEF5E60" w14:textId="3147E8B1" w:rsidR="00423C98" w:rsidRDefault="00423C98">
          <w:pPr>
            <w:pStyle w:val="TOC2"/>
            <w:tabs>
              <w:tab w:val="left" w:pos="960"/>
              <w:tab w:val="right" w:leader="dot" w:pos="9016"/>
            </w:tabs>
            <w:rPr>
              <w:rFonts w:eastAsiaTheme="minorEastAsia"/>
              <w:noProof/>
              <w:sz w:val="24"/>
              <w:szCs w:val="24"/>
              <w:lang w:eastAsia="en-GB"/>
            </w:rPr>
          </w:pPr>
          <w:hyperlink w:anchor="_Toc216898424" w:history="1">
            <w:r w:rsidRPr="009F1536">
              <w:rPr>
                <w:rStyle w:val="Hyperlink"/>
                <w:noProof/>
              </w:rPr>
              <w:t>3.1</w:t>
            </w:r>
            <w:r>
              <w:rPr>
                <w:rFonts w:eastAsiaTheme="minorEastAsia"/>
                <w:noProof/>
                <w:sz w:val="24"/>
                <w:szCs w:val="24"/>
                <w:lang w:eastAsia="en-GB"/>
              </w:rPr>
              <w:tab/>
            </w:r>
            <w:r w:rsidRPr="009F1536">
              <w:rPr>
                <w:rStyle w:val="Hyperlink"/>
                <w:noProof/>
              </w:rPr>
              <w:t>Theoretical Advantages and Risk Transfer</w:t>
            </w:r>
            <w:r>
              <w:rPr>
                <w:noProof/>
                <w:webHidden/>
              </w:rPr>
              <w:tab/>
            </w:r>
            <w:r>
              <w:rPr>
                <w:noProof/>
                <w:webHidden/>
              </w:rPr>
              <w:fldChar w:fldCharType="begin"/>
            </w:r>
            <w:r>
              <w:rPr>
                <w:noProof/>
                <w:webHidden/>
              </w:rPr>
              <w:instrText xml:space="preserve"> PAGEREF _Toc216898424 \h </w:instrText>
            </w:r>
            <w:r>
              <w:rPr>
                <w:noProof/>
                <w:webHidden/>
              </w:rPr>
            </w:r>
            <w:r>
              <w:rPr>
                <w:noProof/>
                <w:webHidden/>
              </w:rPr>
              <w:fldChar w:fldCharType="separate"/>
            </w:r>
            <w:r>
              <w:rPr>
                <w:noProof/>
                <w:webHidden/>
              </w:rPr>
              <w:t>4</w:t>
            </w:r>
            <w:r>
              <w:rPr>
                <w:noProof/>
                <w:webHidden/>
              </w:rPr>
              <w:fldChar w:fldCharType="end"/>
            </w:r>
          </w:hyperlink>
        </w:p>
        <w:p w14:paraId="20046EC8" w14:textId="2F016E66" w:rsidR="00423C98" w:rsidRDefault="00423C98">
          <w:pPr>
            <w:pStyle w:val="TOC2"/>
            <w:tabs>
              <w:tab w:val="left" w:pos="960"/>
              <w:tab w:val="right" w:leader="dot" w:pos="9016"/>
            </w:tabs>
            <w:rPr>
              <w:rFonts w:eastAsiaTheme="minorEastAsia"/>
              <w:noProof/>
              <w:sz w:val="24"/>
              <w:szCs w:val="24"/>
              <w:lang w:eastAsia="en-GB"/>
            </w:rPr>
          </w:pPr>
          <w:hyperlink w:anchor="_Toc216898425" w:history="1">
            <w:r w:rsidRPr="009F1536">
              <w:rPr>
                <w:rStyle w:val="Hyperlink"/>
                <w:noProof/>
              </w:rPr>
              <w:t>3.2</w:t>
            </w:r>
            <w:r>
              <w:rPr>
                <w:rFonts w:eastAsiaTheme="minorEastAsia"/>
                <w:noProof/>
                <w:sz w:val="24"/>
                <w:szCs w:val="24"/>
                <w:lang w:eastAsia="en-GB"/>
              </w:rPr>
              <w:tab/>
            </w:r>
            <w:r w:rsidRPr="009F1536">
              <w:rPr>
                <w:rStyle w:val="Hyperlink"/>
                <w:noProof/>
              </w:rPr>
              <w:t>Critical Contradictions in Practice</w:t>
            </w:r>
            <w:r>
              <w:rPr>
                <w:noProof/>
                <w:webHidden/>
              </w:rPr>
              <w:tab/>
            </w:r>
            <w:r>
              <w:rPr>
                <w:noProof/>
                <w:webHidden/>
              </w:rPr>
              <w:fldChar w:fldCharType="begin"/>
            </w:r>
            <w:r>
              <w:rPr>
                <w:noProof/>
                <w:webHidden/>
              </w:rPr>
              <w:instrText xml:space="preserve"> PAGEREF _Toc216898425 \h </w:instrText>
            </w:r>
            <w:r>
              <w:rPr>
                <w:noProof/>
                <w:webHidden/>
              </w:rPr>
            </w:r>
            <w:r>
              <w:rPr>
                <w:noProof/>
                <w:webHidden/>
              </w:rPr>
              <w:fldChar w:fldCharType="separate"/>
            </w:r>
            <w:r>
              <w:rPr>
                <w:noProof/>
                <w:webHidden/>
              </w:rPr>
              <w:t>4</w:t>
            </w:r>
            <w:r>
              <w:rPr>
                <w:noProof/>
                <w:webHidden/>
              </w:rPr>
              <w:fldChar w:fldCharType="end"/>
            </w:r>
          </w:hyperlink>
        </w:p>
        <w:p w14:paraId="651ABA55" w14:textId="29B4BBC5" w:rsidR="00423C98" w:rsidRDefault="00423C98">
          <w:pPr>
            <w:pStyle w:val="TOC1"/>
            <w:tabs>
              <w:tab w:val="left" w:pos="480"/>
              <w:tab w:val="right" w:leader="dot" w:pos="9016"/>
            </w:tabs>
            <w:rPr>
              <w:rFonts w:eastAsiaTheme="minorEastAsia"/>
              <w:noProof/>
              <w:sz w:val="24"/>
              <w:szCs w:val="24"/>
              <w:lang w:eastAsia="en-GB"/>
            </w:rPr>
          </w:pPr>
          <w:hyperlink w:anchor="_Toc216898426" w:history="1">
            <w:r w:rsidRPr="009F1536">
              <w:rPr>
                <w:rStyle w:val="Hyperlink"/>
                <w:noProof/>
              </w:rPr>
              <w:t>4</w:t>
            </w:r>
            <w:r>
              <w:rPr>
                <w:rFonts w:eastAsiaTheme="minorEastAsia"/>
                <w:noProof/>
                <w:sz w:val="24"/>
                <w:szCs w:val="24"/>
                <w:lang w:eastAsia="en-GB"/>
              </w:rPr>
              <w:tab/>
            </w:r>
            <w:r w:rsidRPr="009F1536">
              <w:rPr>
                <w:rStyle w:val="Hyperlink"/>
                <w:noProof/>
              </w:rPr>
              <w:t>Multicontract Contracting: The Coordination Paradox</w:t>
            </w:r>
            <w:r>
              <w:rPr>
                <w:noProof/>
                <w:webHidden/>
              </w:rPr>
              <w:tab/>
            </w:r>
            <w:r>
              <w:rPr>
                <w:noProof/>
                <w:webHidden/>
              </w:rPr>
              <w:fldChar w:fldCharType="begin"/>
            </w:r>
            <w:r>
              <w:rPr>
                <w:noProof/>
                <w:webHidden/>
              </w:rPr>
              <w:instrText xml:space="preserve"> PAGEREF _Toc216898426 \h </w:instrText>
            </w:r>
            <w:r>
              <w:rPr>
                <w:noProof/>
                <w:webHidden/>
              </w:rPr>
            </w:r>
            <w:r>
              <w:rPr>
                <w:noProof/>
                <w:webHidden/>
              </w:rPr>
              <w:fldChar w:fldCharType="separate"/>
            </w:r>
            <w:r>
              <w:rPr>
                <w:noProof/>
                <w:webHidden/>
              </w:rPr>
              <w:t>5</w:t>
            </w:r>
            <w:r>
              <w:rPr>
                <w:noProof/>
                <w:webHidden/>
              </w:rPr>
              <w:fldChar w:fldCharType="end"/>
            </w:r>
          </w:hyperlink>
        </w:p>
        <w:p w14:paraId="4D6B3A40" w14:textId="74126EA7" w:rsidR="00423C98" w:rsidRDefault="00423C98">
          <w:pPr>
            <w:pStyle w:val="TOC2"/>
            <w:tabs>
              <w:tab w:val="left" w:pos="960"/>
              <w:tab w:val="right" w:leader="dot" w:pos="9016"/>
            </w:tabs>
            <w:rPr>
              <w:rFonts w:eastAsiaTheme="minorEastAsia"/>
              <w:noProof/>
              <w:sz w:val="24"/>
              <w:szCs w:val="24"/>
              <w:lang w:eastAsia="en-GB"/>
            </w:rPr>
          </w:pPr>
          <w:hyperlink w:anchor="_Toc216898427" w:history="1">
            <w:r w:rsidRPr="009F1536">
              <w:rPr>
                <w:rStyle w:val="Hyperlink"/>
                <w:noProof/>
              </w:rPr>
              <w:t>4.1</w:t>
            </w:r>
            <w:r>
              <w:rPr>
                <w:rFonts w:eastAsiaTheme="minorEastAsia"/>
                <w:noProof/>
                <w:sz w:val="24"/>
                <w:szCs w:val="24"/>
                <w:lang w:eastAsia="en-GB"/>
              </w:rPr>
              <w:tab/>
            </w:r>
            <w:r w:rsidRPr="009F1536">
              <w:rPr>
                <w:rStyle w:val="Hyperlink"/>
                <w:noProof/>
              </w:rPr>
              <w:t>Enhanced Control and Cost Considerations</w:t>
            </w:r>
            <w:r>
              <w:rPr>
                <w:noProof/>
                <w:webHidden/>
              </w:rPr>
              <w:tab/>
            </w:r>
            <w:r>
              <w:rPr>
                <w:noProof/>
                <w:webHidden/>
              </w:rPr>
              <w:fldChar w:fldCharType="begin"/>
            </w:r>
            <w:r>
              <w:rPr>
                <w:noProof/>
                <w:webHidden/>
              </w:rPr>
              <w:instrText xml:space="preserve"> PAGEREF _Toc216898427 \h </w:instrText>
            </w:r>
            <w:r>
              <w:rPr>
                <w:noProof/>
                <w:webHidden/>
              </w:rPr>
            </w:r>
            <w:r>
              <w:rPr>
                <w:noProof/>
                <w:webHidden/>
              </w:rPr>
              <w:fldChar w:fldCharType="separate"/>
            </w:r>
            <w:r>
              <w:rPr>
                <w:noProof/>
                <w:webHidden/>
              </w:rPr>
              <w:t>5</w:t>
            </w:r>
            <w:r>
              <w:rPr>
                <w:noProof/>
                <w:webHidden/>
              </w:rPr>
              <w:fldChar w:fldCharType="end"/>
            </w:r>
          </w:hyperlink>
        </w:p>
        <w:p w14:paraId="25A68E41" w14:textId="686658A9" w:rsidR="00423C98" w:rsidRDefault="00423C98">
          <w:pPr>
            <w:pStyle w:val="TOC2"/>
            <w:tabs>
              <w:tab w:val="left" w:pos="960"/>
              <w:tab w:val="right" w:leader="dot" w:pos="9016"/>
            </w:tabs>
            <w:rPr>
              <w:rFonts w:eastAsiaTheme="minorEastAsia"/>
              <w:noProof/>
              <w:sz w:val="24"/>
              <w:szCs w:val="24"/>
              <w:lang w:eastAsia="en-GB"/>
            </w:rPr>
          </w:pPr>
          <w:hyperlink w:anchor="_Toc216898428" w:history="1">
            <w:r w:rsidRPr="009F1536">
              <w:rPr>
                <w:rStyle w:val="Hyperlink"/>
                <w:noProof/>
              </w:rPr>
              <w:t>4.2</w:t>
            </w:r>
            <w:r>
              <w:rPr>
                <w:rFonts w:eastAsiaTheme="minorEastAsia"/>
                <w:noProof/>
                <w:sz w:val="24"/>
                <w:szCs w:val="24"/>
                <w:lang w:eastAsia="en-GB"/>
              </w:rPr>
              <w:tab/>
            </w:r>
            <w:r w:rsidRPr="009F1536">
              <w:rPr>
                <w:rStyle w:val="Hyperlink"/>
                <w:noProof/>
              </w:rPr>
              <w:t>The Interface Management Challenge</w:t>
            </w:r>
            <w:r>
              <w:rPr>
                <w:noProof/>
                <w:webHidden/>
              </w:rPr>
              <w:tab/>
            </w:r>
            <w:r>
              <w:rPr>
                <w:noProof/>
                <w:webHidden/>
              </w:rPr>
              <w:fldChar w:fldCharType="begin"/>
            </w:r>
            <w:r>
              <w:rPr>
                <w:noProof/>
                <w:webHidden/>
              </w:rPr>
              <w:instrText xml:space="preserve"> PAGEREF _Toc216898428 \h </w:instrText>
            </w:r>
            <w:r>
              <w:rPr>
                <w:noProof/>
                <w:webHidden/>
              </w:rPr>
            </w:r>
            <w:r>
              <w:rPr>
                <w:noProof/>
                <w:webHidden/>
              </w:rPr>
              <w:fldChar w:fldCharType="separate"/>
            </w:r>
            <w:r>
              <w:rPr>
                <w:noProof/>
                <w:webHidden/>
              </w:rPr>
              <w:t>5</w:t>
            </w:r>
            <w:r>
              <w:rPr>
                <w:noProof/>
                <w:webHidden/>
              </w:rPr>
              <w:fldChar w:fldCharType="end"/>
            </w:r>
          </w:hyperlink>
        </w:p>
        <w:p w14:paraId="01AC27C3" w14:textId="56CC3FBB" w:rsidR="00423C98" w:rsidRDefault="00423C98">
          <w:pPr>
            <w:pStyle w:val="TOC2"/>
            <w:tabs>
              <w:tab w:val="left" w:pos="960"/>
              <w:tab w:val="right" w:leader="dot" w:pos="9016"/>
            </w:tabs>
            <w:rPr>
              <w:rFonts w:eastAsiaTheme="minorEastAsia"/>
              <w:noProof/>
              <w:sz w:val="24"/>
              <w:szCs w:val="24"/>
              <w:lang w:eastAsia="en-GB"/>
            </w:rPr>
          </w:pPr>
          <w:hyperlink w:anchor="_Toc216898429" w:history="1">
            <w:r w:rsidRPr="009F1536">
              <w:rPr>
                <w:rStyle w:val="Hyperlink"/>
                <w:noProof/>
              </w:rPr>
              <w:t>4.3</w:t>
            </w:r>
            <w:r>
              <w:rPr>
                <w:rFonts w:eastAsiaTheme="minorEastAsia"/>
                <w:noProof/>
                <w:sz w:val="24"/>
                <w:szCs w:val="24"/>
                <w:lang w:eastAsia="en-GB"/>
              </w:rPr>
              <w:tab/>
            </w:r>
            <w:r w:rsidRPr="009F1536">
              <w:rPr>
                <w:rStyle w:val="Hyperlink"/>
                <w:noProof/>
              </w:rPr>
              <w:t>Contextual Effectiveness and Risk Implications</w:t>
            </w:r>
            <w:r>
              <w:rPr>
                <w:noProof/>
                <w:webHidden/>
              </w:rPr>
              <w:tab/>
            </w:r>
            <w:r>
              <w:rPr>
                <w:noProof/>
                <w:webHidden/>
              </w:rPr>
              <w:fldChar w:fldCharType="begin"/>
            </w:r>
            <w:r>
              <w:rPr>
                <w:noProof/>
                <w:webHidden/>
              </w:rPr>
              <w:instrText xml:space="preserve"> PAGEREF _Toc216898429 \h </w:instrText>
            </w:r>
            <w:r>
              <w:rPr>
                <w:noProof/>
                <w:webHidden/>
              </w:rPr>
            </w:r>
            <w:r>
              <w:rPr>
                <w:noProof/>
                <w:webHidden/>
              </w:rPr>
              <w:fldChar w:fldCharType="separate"/>
            </w:r>
            <w:r>
              <w:rPr>
                <w:noProof/>
                <w:webHidden/>
              </w:rPr>
              <w:t>5</w:t>
            </w:r>
            <w:r>
              <w:rPr>
                <w:noProof/>
                <w:webHidden/>
              </w:rPr>
              <w:fldChar w:fldCharType="end"/>
            </w:r>
          </w:hyperlink>
        </w:p>
        <w:p w14:paraId="447E16A4" w14:textId="7E98D998" w:rsidR="00423C98" w:rsidRDefault="00423C98">
          <w:pPr>
            <w:pStyle w:val="TOC2"/>
            <w:tabs>
              <w:tab w:val="left" w:pos="960"/>
              <w:tab w:val="right" w:leader="dot" w:pos="9016"/>
            </w:tabs>
            <w:rPr>
              <w:rFonts w:eastAsiaTheme="minorEastAsia"/>
              <w:noProof/>
              <w:sz w:val="24"/>
              <w:szCs w:val="24"/>
              <w:lang w:eastAsia="en-GB"/>
            </w:rPr>
          </w:pPr>
          <w:hyperlink w:anchor="_Toc216898430" w:history="1">
            <w:r w:rsidRPr="009F1536">
              <w:rPr>
                <w:rStyle w:val="Hyperlink"/>
                <w:noProof/>
              </w:rPr>
              <w:t>4.4</w:t>
            </w:r>
            <w:r>
              <w:rPr>
                <w:rFonts w:eastAsiaTheme="minorEastAsia"/>
                <w:noProof/>
                <w:sz w:val="24"/>
                <w:szCs w:val="24"/>
                <w:lang w:eastAsia="en-GB"/>
              </w:rPr>
              <w:tab/>
            </w:r>
            <w:r w:rsidRPr="009F1536">
              <w:rPr>
                <w:rStyle w:val="Hyperlink"/>
                <w:noProof/>
              </w:rPr>
              <w:t>Internal Control and Knowledge Retention</w:t>
            </w:r>
            <w:r>
              <w:rPr>
                <w:noProof/>
                <w:webHidden/>
              </w:rPr>
              <w:tab/>
            </w:r>
            <w:r>
              <w:rPr>
                <w:noProof/>
                <w:webHidden/>
              </w:rPr>
              <w:fldChar w:fldCharType="begin"/>
            </w:r>
            <w:r>
              <w:rPr>
                <w:noProof/>
                <w:webHidden/>
              </w:rPr>
              <w:instrText xml:space="preserve"> PAGEREF _Toc216898430 \h </w:instrText>
            </w:r>
            <w:r>
              <w:rPr>
                <w:noProof/>
                <w:webHidden/>
              </w:rPr>
            </w:r>
            <w:r>
              <w:rPr>
                <w:noProof/>
                <w:webHidden/>
              </w:rPr>
              <w:fldChar w:fldCharType="separate"/>
            </w:r>
            <w:r>
              <w:rPr>
                <w:noProof/>
                <w:webHidden/>
              </w:rPr>
              <w:t>5</w:t>
            </w:r>
            <w:r>
              <w:rPr>
                <w:noProof/>
                <w:webHidden/>
              </w:rPr>
              <w:fldChar w:fldCharType="end"/>
            </w:r>
          </w:hyperlink>
        </w:p>
        <w:p w14:paraId="34377144" w14:textId="6C452853" w:rsidR="00423C98" w:rsidRDefault="00423C98">
          <w:pPr>
            <w:pStyle w:val="TOC2"/>
            <w:tabs>
              <w:tab w:val="left" w:pos="960"/>
              <w:tab w:val="right" w:leader="dot" w:pos="9016"/>
            </w:tabs>
            <w:rPr>
              <w:rFonts w:eastAsiaTheme="minorEastAsia"/>
              <w:noProof/>
              <w:sz w:val="24"/>
              <w:szCs w:val="24"/>
              <w:lang w:eastAsia="en-GB"/>
            </w:rPr>
          </w:pPr>
          <w:hyperlink w:anchor="_Toc216898431" w:history="1">
            <w:r w:rsidRPr="009F1536">
              <w:rPr>
                <w:rStyle w:val="Hyperlink"/>
                <w:noProof/>
              </w:rPr>
              <w:t>4.5</w:t>
            </w:r>
            <w:r>
              <w:rPr>
                <w:rFonts w:eastAsiaTheme="minorEastAsia"/>
                <w:noProof/>
                <w:sz w:val="24"/>
                <w:szCs w:val="24"/>
                <w:lang w:eastAsia="en-GB"/>
              </w:rPr>
              <w:tab/>
            </w:r>
            <w:r w:rsidRPr="009F1536">
              <w:rPr>
                <w:rStyle w:val="Hyperlink"/>
                <w:noProof/>
              </w:rPr>
              <w:t>Hidden Costs and Opportunity Analysis</w:t>
            </w:r>
            <w:r>
              <w:rPr>
                <w:noProof/>
                <w:webHidden/>
              </w:rPr>
              <w:tab/>
            </w:r>
            <w:r>
              <w:rPr>
                <w:noProof/>
                <w:webHidden/>
              </w:rPr>
              <w:fldChar w:fldCharType="begin"/>
            </w:r>
            <w:r>
              <w:rPr>
                <w:noProof/>
                <w:webHidden/>
              </w:rPr>
              <w:instrText xml:space="preserve"> PAGEREF _Toc216898431 \h </w:instrText>
            </w:r>
            <w:r>
              <w:rPr>
                <w:noProof/>
                <w:webHidden/>
              </w:rPr>
            </w:r>
            <w:r>
              <w:rPr>
                <w:noProof/>
                <w:webHidden/>
              </w:rPr>
              <w:fldChar w:fldCharType="separate"/>
            </w:r>
            <w:r>
              <w:rPr>
                <w:noProof/>
                <w:webHidden/>
              </w:rPr>
              <w:t>6</w:t>
            </w:r>
            <w:r>
              <w:rPr>
                <w:noProof/>
                <w:webHidden/>
              </w:rPr>
              <w:fldChar w:fldCharType="end"/>
            </w:r>
          </w:hyperlink>
        </w:p>
        <w:p w14:paraId="4E010675" w14:textId="1ECA5B0D" w:rsidR="00423C98" w:rsidRDefault="00423C98">
          <w:pPr>
            <w:pStyle w:val="TOC2"/>
            <w:tabs>
              <w:tab w:val="left" w:pos="960"/>
              <w:tab w:val="right" w:leader="dot" w:pos="9016"/>
            </w:tabs>
            <w:rPr>
              <w:rFonts w:eastAsiaTheme="minorEastAsia"/>
              <w:noProof/>
              <w:sz w:val="24"/>
              <w:szCs w:val="24"/>
              <w:lang w:eastAsia="en-GB"/>
            </w:rPr>
          </w:pPr>
          <w:hyperlink w:anchor="_Toc216898432" w:history="1">
            <w:r w:rsidRPr="009F1536">
              <w:rPr>
                <w:rStyle w:val="Hyperlink"/>
                <w:noProof/>
              </w:rPr>
              <w:t>4.6</w:t>
            </w:r>
            <w:r>
              <w:rPr>
                <w:rFonts w:eastAsiaTheme="minorEastAsia"/>
                <w:noProof/>
                <w:sz w:val="24"/>
                <w:szCs w:val="24"/>
                <w:lang w:eastAsia="en-GB"/>
              </w:rPr>
              <w:tab/>
            </w:r>
            <w:r w:rsidRPr="009F1536">
              <w:rPr>
                <w:rStyle w:val="Hyperlink"/>
                <w:noProof/>
              </w:rPr>
              <w:t>Core Competency Alignment</w:t>
            </w:r>
            <w:r>
              <w:rPr>
                <w:noProof/>
                <w:webHidden/>
              </w:rPr>
              <w:tab/>
            </w:r>
            <w:r>
              <w:rPr>
                <w:noProof/>
                <w:webHidden/>
              </w:rPr>
              <w:fldChar w:fldCharType="begin"/>
            </w:r>
            <w:r>
              <w:rPr>
                <w:noProof/>
                <w:webHidden/>
              </w:rPr>
              <w:instrText xml:space="preserve"> PAGEREF _Toc216898432 \h </w:instrText>
            </w:r>
            <w:r>
              <w:rPr>
                <w:noProof/>
                <w:webHidden/>
              </w:rPr>
            </w:r>
            <w:r>
              <w:rPr>
                <w:noProof/>
                <w:webHidden/>
              </w:rPr>
              <w:fldChar w:fldCharType="separate"/>
            </w:r>
            <w:r>
              <w:rPr>
                <w:noProof/>
                <w:webHidden/>
              </w:rPr>
              <w:t>6</w:t>
            </w:r>
            <w:r>
              <w:rPr>
                <w:noProof/>
                <w:webHidden/>
              </w:rPr>
              <w:fldChar w:fldCharType="end"/>
            </w:r>
          </w:hyperlink>
        </w:p>
        <w:p w14:paraId="18619EA8" w14:textId="172328C6" w:rsidR="00423C98" w:rsidRDefault="00423C98">
          <w:pPr>
            <w:pStyle w:val="TOC1"/>
            <w:tabs>
              <w:tab w:val="left" w:pos="480"/>
              <w:tab w:val="right" w:leader="dot" w:pos="9016"/>
            </w:tabs>
            <w:rPr>
              <w:rFonts w:eastAsiaTheme="minorEastAsia"/>
              <w:noProof/>
              <w:sz w:val="24"/>
              <w:szCs w:val="24"/>
              <w:lang w:eastAsia="en-GB"/>
            </w:rPr>
          </w:pPr>
          <w:hyperlink w:anchor="_Toc216898433" w:history="1">
            <w:r w:rsidRPr="009F1536">
              <w:rPr>
                <w:rStyle w:val="Hyperlink"/>
                <w:noProof/>
              </w:rPr>
              <w:t>5</w:t>
            </w:r>
            <w:r>
              <w:rPr>
                <w:rFonts w:eastAsiaTheme="minorEastAsia"/>
                <w:noProof/>
                <w:sz w:val="24"/>
                <w:szCs w:val="24"/>
                <w:lang w:eastAsia="en-GB"/>
              </w:rPr>
              <w:tab/>
            </w:r>
            <w:r w:rsidRPr="009F1536">
              <w:rPr>
                <w:rStyle w:val="Hyperlink"/>
                <w:noProof/>
              </w:rPr>
              <w:t>Multicontract and DIY: The Integration Challenge</w:t>
            </w:r>
            <w:r>
              <w:rPr>
                <w:noProof/>
                <w:webHidden/>
              </w:rPr>
              <w:tab/>
            </w:r>
            <w:r>
              <w:rPr>
                <w:noProof/>
                <w:webHidden/>
              </w:rPr>
              <w:fldChar w:fldCharType="begin"/>
            </w:r>
            <w:r>
              <w:rPr>
                <w:noProof/>
                <w:webHidden/>
              </w:rPr>
              <w:instrText xml:space="preserve"> PAGEREF _Toc216898433 \h </w:instrText>
            </w:r>
            <w:r>
              <w:rPr>
                <w:noProof/>
                <w:webHidden/>
              </w:rPr>
            </w:r>
            <w:r>
              <w:rPr>
                <w:noProof/>
                <w:webHidden/>
              </w:rPr>
              <w:fldChar w:fldCharType="separate"/>
            </w:r>
            <w:r>
              <w:rPr>
                <w:noProof/>
                <w:webHidden/>
              </w:rPr>
              <w:t>6</w:t>
            </w:r>
            <w:r>
              <w:rPr>
                <w:noProof/>
                <w:webHidden/>
              </w:rPr>
              <w:fldChar w:fldCharType="end"/>
            </w:r>
          </w:hyperlink>
        </w:p>
        <w:p w14:paraId="741058F0" w14:textId="3D2D1664" w:rsidR="00423C98" w:rsidRDefault="00423C98">
          <w:pPr>
            <w:pStyle w:val="TOC2"/>
            <w:tabs>
              <w:tab w:val="left" w:pos="960"/>
              <w:tab w:val="right" w:leader="dot" w:pos="9016"/>
            </w:tabs>
            <w:rPr>
              <w:rFonts w:eastAsiaTheme="minorEastAsia"/>
              <w:noProof/>
              <w:sz w:val="24"/>
              <w:szCs w:val="24"/>
              <w:lang w:eastAsia="en-GB"/>
            </w:rPr>
          </w:pPr>
          <w:hyperlink w:anchor="_Toc216898434" w:history="1">
            <w:r w:rsidRPr="009F1536">
              <w:rPr>
                <w:rStyle w:val="Hyperlink"/>
                <w:noProof/>
              </w:rPr>
              <w:t>5.1</w:t>
            </w:r>
            <w:r>
              <w:rPr>
                <w:rFonts w:eastAsiaTheme="minorEastAsia"/>
                <w:noProof/>
                <w:sz w:val="24"/>
                <w:szCs w:val="24"/>
                <w:lang w:eastAsia="en-GB"/>
              </w:rPr>
              <w:tab/>
            </w:r>
            <w:r w:rsidRPr="009F1536">
              <w:rPr>
                <w:rStyle w:val="Hyperlink"/>
                <w:noProof/>
              </w:rPr>
              <w:t>Hybrid Optimization Strategies</w:t>
            </w:r>
            <w:r>
              <w:rPr>
                <w:noProof/>
                <w:webHidden/>
              </w:rPr>
              <w:tab/>
            </w:r>
            <w:r>
              <w:rPr>
                <w:noProof/>
                <w:webHidden/>
              </w:rPr>
              <w:fldChar w:fldCharType="begin"/>
            </w:r>
            <w:r>
              <w:rPr>
                <w:noProof/>
                <w:webHidden/>
              </w:rPr>
              <w:instrText xml:space="preserve"> PAGEREF _Toc216898434 \h </w:instrText>
            </w:r>
            <w:r>
              <w:rPr>
                <w:noProof/>
                <w:webHidden/>
              </w:rPr>
            </w:r>
            <w:r>
              <w:rPr>
                <w:noProof/>
                <w:webHidden/>
              </w:rPr>
              <w:fldChar w:fldCharType="separate"/>
            </w:r>
            <w:r>
              <w:rPr>
                <w:noProof/>
                <w:webHidden/>
              </w:rPr>
              <w:t>6</w:t>
            </w:r>
            <w:r>
              <w:rPr>
                <w:noProof/>
                <w:webHidden/>
              </w:rPr>
              <w:fldChar w:fldCharType="end"/>
            </w:r>
          </w:hyperlink>
        </w:p>
        <w:p w14:paraId="3230DB16" w14:textId="4FBDFCA2" w:rsidR="00423C98" w:rsidRDefault="00423C98">
          <w:pPr>
            <w:pStyle w:val="TOC2"/>
            <w:tabs>
              <w:tab w:val="left" w:pos="960"/>
              <w:tab w:val="right" w:leader="dot" w:pos="9016"/>
            </w:tabs>
            <w:rPr>
              <w:rFonts w:eastAsiaTheme="minorEastAsia"/>
              <w:noProof/>
              <w:sz w:val="24"/>
              <w:szCs w:val="24"/>
              <w:lang w:eastAsia="en-GB"/>
            </w:rPr>
          </w:pPr>
          <w:hyperlink w:anchor="_Toc216898435" w:history="1">
            <w:r w:rsidRPr="009F1536">
              <w:rPr>
                <w:rStyle w:val="Hyperlink"/>
                <w:noProof/>
              </w:rPr>
              <w:t>5.2</w:t>
            </w:r>
            <w:r>
              <w:rPr>
                <w:rFonts w:eastAsiaTheme="minorEastAsia"/>
                <w:noProof/>
                <w:sz w:val="24"/>
                <w:szCs w:val="24"/>
                <w:lang w:eastAsia="en-GB"/>
              </w:rPr>
              <w:tab/>
            </w:r>
            <w:r w:rsidRPr="009F1536">
              <w:rPr>
                <w:rStyle w:val="Hyperlink"/>
                <w:noProof/>
              </w:rPr>
              <w:t>Interface Complexity and Boundary Management</w:t>
            </w:r>
            <w:r>
              <w:rPr>
                <w:noProof/>
                <w:webHidden/>
              </w:rPr>
              <w:tab/>
            </w:r>
            <w:r>
              <w:rPr>
                <w:noProof/>
                <w:webHidden/>
              </w:rPr>
              <w:fldChar w:fldCharType="begin"/>
            </w:r>
            <w:r>
              <w:rPr>
                <w:noProof/>
                <w:webHidden/>
              </w:rPr>
              <w:instrText xml:space="preserve"> PAGEREF _Toc216898435 \h </w:instrText>
            </w:r>
            <w:r>
              <w:rPr>
                <w:noProof/>
                <w:webHidden/>
              </w:rPr>
            </w:r>
            <w:r>
              <w:rPr>
                <w:noProof/>
                <w:webHidden/>
              </w:rPr>
              <w:fldChar w:fldCharType="separate"/>
            </w:r>
            <w:r>
              <w:rPr>
                <w:noProof/>
                <w:webHidden/>
              </w:rPr>
              <w:t>7</w:t>
            </w:r>
            <w:r>
              <w:rPr>
                <w:noProof/>
                <w:webHidden/>
              </w:rPr>
              <w:fldChar w:fldCharType="end"/>
            </w:r>
          </w:hyperlink>
        </w:p>
        <w:p w14:paraId="1751A40D" w14:textId="5BF446FB" w:rsidR="00423C98" w:rsidRDefault="00423C98">
          <w:pPr>
            <w:pStyle w:val="TOC2"/>
            <w:tabs>
              <w:tab w:val="left" w:pos="960"/>
              <w:tab w:val="right" w:leader="dot" w:pos="9016"/>
            </w:tabs>
            <w:rPr>
              <w:rFonts w:eastAsiaTheme="minorEastAsia"/>
              <w:noProof/>
              <w:sz w:val="24"/>
              <w:szCs w:val="24"/>
              <w:lang w:eastAsia="en-GB"/>
            </w:rPr>
          </w:pPr>
          <w:hyperlink w:anchor="_Toc216898436" w:history="1">
            <w:r w:rsidRPr="009F1536">
              <w:rPr>
                <w:rStyle w:val="Hyperlink"/>
                <w:noProof/>
              </w:rPr>
              <w:t>5.3</w:t>
            </w:r>
            <w:r>
              <w:rPr>
                <w:rFonts w:eastAsiaTheme="minorEastAsia"/>
                <w:noProof/>
                <w:sz w:val="24"/>
                <w:szCs w:val="24"/>
                <w:lang w:eastAsia="en-GB"/>
              </w:rPr>
              <w:tab/>
            </w:r>
            <w:r w:rsidRPr="009F1536">
              <w:rPr>
                <w:rStyle w:val="Hyperlink"/>
                <w:noProof/>
              </w:rPr>
              <w:t>Strategic Implementation Considerations</w:t>
            </w:r>
            <w:r>
              <w:rPr>
                <w:noProof/>
                <w:webHidden/>
              </w:rPr>
              <w:tab/>
            </w:r>
            <w:r>
              <w:rPr>
                <w:noProof/>
                <w:webHidden/>
              </w:rPr>
              <w:fldChar w:fldCharType="begin"/>
            </w:r>
            <w:r>
              <w:rPr>
                <w:noProof/>
                <w:webHidden/>
              </w:rPr>
              <w:instrText xml:space="preserve"> PAGEREF _Toc216898436 \h </w:instrText>
            </w:r>
            <w:r>
              <w:rPr>
                <w:noProof/>
                <w:webHidden/>
              </w:rPr>
            </w:r>
            <w:r>
              <w:rPr>
                <w:noProof/>
                <w:webHidden/>
              </w:rPr>
              <w:fldChar w:fldCharType="separate"/>
            </w:r>
            <w:r>
              <w:rPr>
                <w:noProof/>
                <w:webHidden/>
              </w:rPr>
              <w:t>7</w:t>
            </w:r>
            <w:r>
              <w:rPr>
                <w:noProof/>
                <w:webHidden/>
              </w:rPr>
              <w:fldChar w:fldCharType="end"/>
            </w:r>
          </w:hyperlink>
        </w:p>
        <w:p w14:paraId="320F3E05" w14:textId="4300D540" w:rsidR="00423C98" w:rsidRDefault="00423C98">
          <w:pPr>
            <w:pStyle w:val="TOC1"/>
            <w:tabs>
              <w:tab w:val="left" w:pos="480"/>
              <w:tab w:val="right" w:leader="dot" w:pos="9016"/>
            </w:tabs>
            <w:rPr>
              <w:rFonts w:eastAsiaTheme="minorEastAsia"/>
              <w:noProof/>
              <w:sz w:val="24"/>
              <w:szCs w:val="24"/>
              <w:lang w:eastAsia="en-GB"/>
            </w:rPr>
          </w:pPr>
          <w:hyperlink w:anchor="_Toc216898437" w:history="1">
            <w:r w:rsidRPr="009F1536">
              <w:rPr>
                <w:rStyle w:val="Hyperlink"/>
                <w:noProof/>
              </w:rPr>
              <w:t>6</w:t>
            </w:r>
            <w:r>
              <w:rPr>
                <w:rFonts w:eastAsiaTheme="minorEastAsia"/>
                <w:noProof/>
                <w:sz w:val="24"/>
                <w:szCs w:val="24"/>
                <w:lang w:eastAsia="en-GB"/>
              </w:rPr>
              <w:tab/>
            </w:r>
            <w:r w:rsidRPr="009F1536">
              <w:rPr>
                <w:rStyle w:val="Hyperlink"/>
                <w:noProof/>
              </w:rPr>
              <w:t>Contextual Analysis and Strategic Implications</w:t>
            </w:r>
            <w:r>
              <w:rPr>
                <w:noProof/>
                <w:webHidden/>
              </w:rPr>
              <w:tab/>
            </w:r>
            <w:r>
              <w:rPr>
                <w:noProof/>
                <w:webHidden/>
              </w:rPr>
              <w:fldChar w:fldCharType="begin"/>
            </w:r>
            <w:r>
              <w:rPr>
                <w:noProof/>
                <w:webHidden/>
              </w:rPr>
              <w:instrText xml:space="preserve"> PAGEREF _Toc216898437 \h </w:instrText>
            </w:r>
            <w:r>
              <w:rPr>
                <w:noProof/>
                <w:webHidden/>
              </w:rPr>
            </w:r>
            <w:r>
              <w:rPr>
                <w:noProof/>
                <w:webHidden/>
              </w:rPr>
              <w:fldChar w:fldCharType="separate"/>
            </w:r>
            <w:r>
              <w:rPr>
                <w:noProof/>
                <w:webHidden/>
              </w:rPr>
              <w:t>7</w:t>
            </w:r>
            <w:r>
              <w:rPr>
                <w:noProof/>
                <w:webHidden/>
              </w:rPr>
              <w:fldChar w:fldCharType="end"/>
            </w:r>
          </w:hyperlink>
        </w:p>
        <w:p w14:paraId="0DCB219B" w14:textId="6BA0659E" w:rsidR="00423C98" w:rsidRDefault="00423C98">
          <w:pPr>
            <w:pStyle w:val="TOC2"/>
            <w:tabs>
              <w:tab w:val="left" w:pos="960"/>
              <w:tab w:val="right" w:leader="dot" w:pos="9016"/>
            </w:tabs>
            <w:rPr>
              <w:rFonts w:eastAsiaTheme="minorEastAsia"/>
              <w:noProof/>
              <w:sz w:val="24"/>
              <w:szCs w:val="24"/>
              <w:lang w:eastAsia="en-GB"/>
            </w:rPr>
          </w:pPr>
          <w:hyperlink w:anchor="_Toc216898438" w:history="1">
            <w:r w:rsidRPr="009F1536">
              <w:rPr>
                <w:rStyle w:val="Hyperlink"/>
                <w:noProof/>
              </w:rPr>
              <w:t>6.1</w:t>
            </w:r>
            <w:r>
              <w:rPr>
                <w:rFonts w:eastAsiaTheme="minorEastAsia"/>
                <w:noProof/>
                <w:sz w:val="24"/>
                <w:szCs w:val="24"/>
                <w:lang w:eastAsia="en-GB"/>
              </w:rPr>
              <w:tab/>
            </w:r>
            <w:r w:rsidRPr="009F1536">
              <w:rPr>
                <w:rStyle w:val="Hyperlink"/>
                <w:noProof/>
              </w:rPr>
              <w:t>Project Complexity and Organizational Maturity</w:t>
            </w:r>
            <w:r>
              <w:rPr>
                <w:noProof/>
                <w:webHidden/>
              </w:rPr>
              <w:tab/>
            </w:r>
            <w:r>
              <w:rPr>
                <w:noProof/>
                <w:webHidden/>
              </w:rPr>
              <w:fldChar w:fldCharType="begin"/>
            </w:r>
            <w:r>
              <w:rPr>
                <w:noProof/>
                <w:webHidden/>
              </w:rPr>
              <w:instrText xml:space="preserve"> PAGEREF _Toc216898438 \h </w:instrText>
            </w:r>
            <w:r>
              <w:rPr>
                <w:noProof/>
                <w:webHidden/>
              </w:rPr>
            </w:r>
            <w:r>
              <w:rPr>
                <w:noProof/>
                <w:webHidden/>
              </w:rPr>
              <w:fldChar w:fldCharType="separate"/>
            </w:r>
            <w:r>
              <w:rPr>
                <w:noProof/>
                <w:webHidden/>
              </w:rPr>
              <w:t>8</w:t>
            </w:r>
            <w:r>
              <w:rPr>
                <w:noProof/>
                <w:webHidden/>
              </w:rPr>
              <w:fldChar w:fldCharType="end"/>
            </w:r>
          </w:hyperlink>
        </w:p>
        <w:p w14:paraId="44D4FE57" w14:textId="2FADAB61" w:rsidR="00423C98" w:rsidRDefault="00423C98">
          <w:pPr>
            <w:pStyle w:val="TOC2"/>
            <w:tabs>
              <w:tab w:val="left" w:pos="960"/>
              <w:tab w:val="right" w:leader="dot" w:pos="9016"/>
            </w:tabs>
            <w:rPr>
              <w:rFonts w:eastAsiaTheme="minorEastAsia"/>
              <w:noProof/>
              <w:sz w:val="24"/>
              <w:szCs w:val="24"/>
              <w:lang w:eastAsia="en-GB"/>
            </w:rPr>
          </w:pPr>
          <w:hyperlink w:anchor="_Toc216898439" w:history="1">
            <w:r w:rsidRPr="009F1536">
              <w:rPr>
                <w:rStyle w:val="Hyperlink"/>
                <w:noProof/>
              </w:rPr>
              <w:t>6.2</w:t>
            </w:r>
            <w:r>
              <w:rPr>
                <w:rFonts w:eastAsiaTheme="minorEastAsia"/>
                <w:noProof/>
                <w:sz w:val="24"/>
                <w:szCs w:val="24"/>
                <w:lang w:eastAsia="en-GB"/>
              </w:rPr>
              <w:tab/>
            </w:r>
            <w:r w:rsidRPr="009F1536">
              <w:rPr>
                <w:rStyle w:val="Hyperlink"/>
                <w:noProof/>
              </w:rPr>
              <w:t>Market Conditions and Temporal Dynamics</w:t>
            </w:r>
            <w:r>
              <w:rPr>
                <w:noProof/>
                <w:webHidden/>
              </w:rPr>
              <w:tab/>
            </w:r>
            <w:r>
              <w:rPr>
                <w:noProof/>
                <w:webHidden/>
              </w:rPr>
              <w:fldChar w:fldCharType="begin"/>
            </w:r>
            <w:r>
              <w:rPr>
                <w:noProof/>
                <w:webHidden/>
              </w:rPr>
              <w:instrText xml:space="preserve"> PAGEREF _Toc216898439 \h </w:instrText>
            </w:r>
            <w:r>
              <w:rPr>
                <w:noProof/>
                <w:webHidden/>
              </w:rPr>
            </w:r>
            <w:r>
              <w:rPr>
                <w:noProof/>
                <w:webHidden/>
              </w:rPr>
              <w:fldChar w:fldCharType="separate"/>
            </w:r>
            <w:r>
              <w:rPr>
                <w:noProof/>
                <w:webHidden/>
              </w:rPr>
              <w:t>8</w:t>
            </w:r>
            <w:r>
              <w:rPr>
                <w:noProof/>
                <w:webHidden/>
              </w:rPr>
              <w:fldChar w:fldCharType="end"/>
            </w:r>
          </w:hyperlink>
        </w:p>
        <w:p w14:paraId="3A2E30F0" w14:textId="407A28FF" w:rsidR="00423C98" w:rsidRDefault="00423C98">
          <w:pPr>
            <w:pStyle w:val="TOC2"/>
            <w:tabs>
              <w:tab w:val="left" w:pos="960"/>
              <w:tab w:val="right" w:leader="dot" w:pos="9016"/>
            </w:tabs>
            <w:rPr>
              <w:rFonts w:eastAsiaTheme="minorEastAsia"/>
              <w:noProof/>
              <w:sz w:val="24"/>
              <w:szCs w:val="24"/>
              <w:lang w:eastAsia="en-GB"/>
            </w:rPr>
          </w:pPr>
          <w:hyperlink w:anchor="_Toc216898440" w:history="1">
            <w:r w:rsidRPr="009F1536">
              <w:rPr>
                <w:rStyle w:val="Hyperlink"/>
                <w:noProof/>
              </w:rPr>
              <w:t>6.3</w:t>
            </w:r>
            <w:r>
              <w:rPr>
                <w:rFonts w:eastAsiaTheme="minorEastAsia"/>
                <w:noProof/>
                <w:sz w:val="24"/>
                <w:szCs w:val="24"/>
                <w:lang w:eastAsia="en-GB"/>
              </w:rPr>
              <w:tab/>
            </w:r>
            <w:r w:rsidRPr="009F1536">
              <w:rPr>
                <w:rStyle w:val="Hyperlink"/>
                <w:rFonts w:ascii="Arial" w:hAnsi="Arial" w:cs="Arial"/>
                <w:noProof/>
              </w:rPr>
              <w:t>.</w:t>
            </w:r>
            <w:r w:rsidRPr="009F1536">
              <w:rPr>
                <w:rStyle w:val="Hyperlink"/>
                <w:noProof/>
              </w:rPr>
              <w:t>Decision Framework Evolution</w:t>
            </w:r>
            <w:r>
              <w:rPr>
                <w:noProof/>
                <w:webHidden/>
              </w:rPr>
              <w:tab/>
            </w:r>
            <w:r>
              <w:rPr>
                <w:noProof/>
                <w:webHidden/>
              </w:rPr>
              <w:fldChar w:fldCharType="begin"/>
            </w:r>
            <w:r>
              <w:rPr>
                <w:noProof/>
                <w:webHidden/>
              </w:rPr>
              <w:instrText xml:space="preserve"> PAGEREF _Toc216898440 \h </w:instrText>
            </w:r>
            <w:r>
              <w:rPr>
                <w:noProof/>
                <w:webHidden/>
              </w:rPr>
            </w:r>
            <w:r>
              <w:rPr>
                <w:noProof/>
                <w:webHidden/>
              </w:rPr>
              <w:fldChar w:fldCharType="separate"/>
            </w:r>
            <w:r>
              <w:rPr>
                <w:noProof/>
                <w:webHidden/>
              </w:rPr>
              <w:t>8</w:t>
            </w:r>
            <w:r>
              <w:rPr>
                <w:noProof/>
                <w:webHidden/>
              </w:rPr>
              <w:fldChar w:fldCharType="end"/>
            </w:r>
          </w:hyperlink>
        </w:p>
        <w:p w14:paraId="19183F28" w14:textId="3AA81908" w:rsidR="00423C98" w:rsidRDefault="00423C98">
          <w:pPr>
            <w:pStyle w:val="TOC1"/>
            <w:tabs>
              <w:tab w:val="left" w:pos="480"/>
              <w:tab w:val="right" w:leader="dot" w:pos="9016"/>
            </w:tabs>
            <w:rPr>
              <w:rFonts w:eastAsiaTheme="minorEastAsia"/>
              <w:noProof/>
              <w:sz w:val="24"/>
              <w:szCs w:val="24"/>
              <w:lang w:eastAsia="en-GB"/>
            </w:rPr>
          </w:pPr>
          <w:hyperlink w:anchor="_Toc216898441" w:history="1">
            <w:r w:rsidRPr="009F1536">
              <w:rPr>
                <w:rStyle w:val="Hyperlink"/>
                <w:noProof/>
              </w:rPr>
              <w:t>7</w:t>
            </w:r>
            <w:r>
              <w:rPr>
                <w:rFonts w:eastAsiaTheme="minorEastAsia"/>
                <w:noProof/>
                <w:sz w:val="24"/>
                <w:szCs w:val="24"/>
                <w:lang w:eastAsia="en-GB"/>
              </w:rPr>
              <w:tab/>
            </w:r>
            <w:r w:rsidRPr="009F1536">
              <w:rPr>
                <w:rStyle w:val="Hyperlink"/>
                <w:noProof/>
              </w:rPr>
              <w:t>Conclusion</w:t>
            </w:r>
            <w:r>
              <w:rPr>
                <w:noProof/>
                <w:webHidden/>
              </w:rPr>
              <w:tab/>
            </w:r>
            <w:r>
              <w:rPr>
                <w:noProof/>
                <w:webHidden/>
              </w:rPr>
              <w:fldChar w:fldCharType="begin"/>
            </w:r>
            <w:r>
              <w:rPr>
                <w:noProof/>
                <w:webHidden/>
              </w:rPr>
              <w:instrText xml:space="preserve"> PAGEREF _Toc216898441 \h </w:instrText>
            </w:r>
            <w:r>
              <w:rPr>
                <w:noProof/>
                <w:webHidden/>
              </w:rPr>
            </w:r>
            <w:r>
              <w:rPr>
                <w:noProof/>
                <w:webHidden/>
              </w:rPr>
              <w:fldChar w:fldCharType="separate"/>
            </w:r>
            <w:r>
              <w:rPr>
                <w:noProof/>
                <w:webHidden/>
              </w:rPr>
              <w:t>9</w:t>
            </w:r>
            <w:r>
              <w:rPr>
                <w:noProof/>
                <w:webHidden/>
              </w:rPr>
              <w:fldChar w:fldCharType="end"/>
            </w:r>
          </w:hyperlink>
        </w:p>
        <w:p w14:paraId="523B9E72" w14:textId="55F4FD1E" w:rsidR="00423C98" w:rsidRDefault="00423C98">
          <w:pPr>
            <w:pStyle w:val="TOC1"/>
            <w:tabs>
              <w:tab w:val="left" w:pos="480"/>
              <w:tab w:val="right" w:leader="dot" w:pos="9016"/>
            </w:tabs>
            <w:rPr>
              <w:rFonts w:eastAsiaTheme="minorEastAsia"/>
              <w:noProof/>
              <w:sz w:val="24"/>
              <w:szCs w:val="24"/>
              <w:lang w:eastAsia="en-GB"/>
            </w:rPr>
          </w:pPr>
          <w:hyperlink w:anchor="_Toc216898442" w:history="1">
            <w:r w:rsidRPr="009F1536">
              <w:rPr>
                <w:rStyle w:val="Hyperlink"/>
                <w:noProof/>
              </w:rPr>
              <w:t>8</w:t>
            </w:r>
            <w:r>
              <w:rPr>
                <w:rFonts w:eastAsiaTheme="minorEastAsia"/>
                <w:noProof/>
                <w:sz w:val="24"/>
                <w:szCs w:val="24"/>
                <w:lang w:eastAsia="en-GB"/>
              </w:rPr>
              <w:tab/>
            </w:r>
            <w:r w:rsidRPr="009F1536">
              <w:rPr>
                <w:rStyle w:val="Hyperlink"/>
                <w:noProof/>
              </w:rPr>
              <w:t>References</w:t>
            </w:r>
            <w:r>
              <w:rPr>
                <w:noProof/>
                <w:webHidden/>
              </w:rPr>
              <w:tab/>
            </w:r>
            <w:r>
              <w:rPr>
                <w:noProof/>
                <w:webHidden/>
              </w:rPr>
              <w:fldChar w:fldCharType="begin"/>
            </w:r>
            <w:r>
              <w:rPr>
                <w:noProof/>
                <w:webHidden/>
              </w:rPr>
              <w:instrText xml:space="preserve"> PAGEREF _Toc216898442 \h </w:instrText>
            </w:r>
            <w:r>
              <w:rPr>
                <w:noProof/>
                <w:webHidden/>
              </w:rPr>
            </w:r>
            <w:r>
              <w:rPr>
                <w:noProof/>
                <w:webHidden/>
              </w:rPr>
              <w:fldChar w:fldCharType="separate"/>
            </w:r>
            <w:r>
              <w:rPr>
                <w:noProof/>
                <w:webHidden/>
              </w:rPr>
              <w:t>9</w:t>
            </w:r>
            <w:r>
              <w:rPr>
                <w:noProof/>
                <w:webHidden/>
              </w:rPr>
              <w:fldChar w:fldCharType="end"/>
            </w:r>
          </w:hyperlink>
        </w:p>
        <w:p w14:paraId="34CC6C86" w14:textId="329F3E84" w:rsidR="00423C98" w:rsidRDefault="00423C98">
          <w:r>
            <w:rPr>
              <w:b/>
              <w:bCs/>
            </w:rPr>
            <w:fldChar w:fldCharType="end"/>
          </w:r>
        </w:p>
      </w:sdtContent>
    </w:sdt>
    <w:p w14:paraId="6AEE6834" w14:textId="77777777" w:rsidR="00423C98" w:rsidRDefault="00423C98" w:rsidP="00423C98">
      <w:pPr>
        <w:pStyle w:val="Heading1"/>
        <w:numPr>
          <w:ilvl w:val="0"/>
          <w:numId w:val="0"/>
        </w:numPr>
        <w:ind w:left="432"/>
      </w:pPr>
    </w:p>
    <w:p w14:paraId="1EB5F1EE" w14:textId="734CE03E" w:rsidR="00423C98" w:rsidRDefault="0041318A" w:rsidP="0041318A">
      <w:pPr>
        <w:pStyle w:val="Heading1"/>
        <w:numPr>
          <w:ilvl w:val="0"/>
          <w:numId w:val="0"/>
        </w:numPr>
        <w:tabs>
          <w:tab w:val="left" w:pos="2685"/>
        </w:tabs>
      </w:pPr>
      <w:r>
        <w:tab/>
      </w:r>
    </w:p>
    <w:p w14:paraId="7F4BBE0A" w14:textId="77777777" w:rsidR="00423C98" w:rsidRDefault="00423C98" w:rsidP="00423C98"/>
    <w:p w14:paraId="6EBC6DB1" w14:textId="77777777" w:rsidR="0041318A" w:rsidRDefault="0041318A" w:rsidP="00423C98"/>
    <w:p w14:paraId="3737D022" w14:textId="77777777" w:rsidR="0041318A" w:rsidRDefault="0041318A" w:rsidP="00423C98"/>
    <w:p w14:paraId="56D6A6C7" w14:textId="77777777" w:rsidR="0041318A" w:rsidRDefault="0041318A" w:rsidP="00423C98"/>
    <w:p w14:paraId="365F709C" w14:textId="77777777" w:rsidR="00423C98" w:rsidRPr="00423C98" w:rsidRDefault="00423C98" w:rsidP="00423C98"/>
    <w:p w14:paraId="10CD3FB1" w14:textId="74A82D67" w:rsidR="00395B45" w:rsidRDefault="000C0782" w:rsidP="001D50BB">
      <w:pPr>
        <w:pStyle w:val="Heading1"/>
      </w:pPr>
      <w:bookmarkStart w:id="1" w:name="_Toc216898421"/>
      <w:r w:rsidRPr="00D15CF8">
        <w:lastRenderedPageBreak/>
        <w:t>Introduction</w:t>
      </w:r>
      <w:bookmarkEnd w:id="1"/>
    </w:p>
    <w:p w14:paraId="7AA9FC15" w14:textId="0C1D1200" w:rsidR="00423C98" w:rsidRPr="00423C98" w:rsidRDefault="00423C98" w:rsidP="00423C98">
      <w:pPr>
        <w:jc w:val="both"/>
        <w:rPr>
          <w:rFonts w:ascii="Arial" w:eastAsiaTheme="majorEastAsia" w:hAnsi="Arial" w:cs="Arial"/>
          <w:color w:val="0F4761" w:themeColor="accent1" w:themeShade="BF"/>
          <w:sz w:val="24"/>
          <w:szCs w:val="24"/>
        </w:rPr>
      </w:pPr>
      <w:r w:rsidRPr="00423C98">
        <w:rPr>
          <w:rFonts w:ascii="Arial" w:hAnsi="Arial" w:cs="Arial"/>
          <w:sz w:val="24"/>
          <w:szCs w:val="24"/>
        </w:rPr>
        <w:t xml:space="preserve">Contracting decisions influence the outcome of a project as much as they do the technical design, if not more. This </w:t>
      </w:r>
      <w:r w:rsidR="00C413FA">
        <w:rPr>
          <w:rFonts w:ascii="Arial" w:hAnsi="Arial" w:cs="Arial"/>
          <w:sz w:val="24"/>
          <w:szCs w:val="24"/>
        </w:rPr>
        <w:t>essay</w:t>
      </w:r>
      <w:r w:rsidRPr="00423C98">
        <w:rPr>
          <w:rFonts w:ascii="Arial" w:hAnsi="Arial" w:cs="Arial"/>
          <w:sz w:val="24"/>
          <w:szCs w:val="24"/>
        </w:rPr>
        <w:t xml:space="preserve"> explains that the use of Turnkey, </w:t>
      </w:r>
      <w:proofErr w:type="spellStart"/>
      <w:r w:rsidRPr="00423C98">
        <w:rPr>
          <w:rFonts w:ascii="Arial" w:hAnsi="Arial" w:cs="Arial"/>
          <w:sz w:val="24"/>
          <w:szCs w:val="24"/>
        </w:rPr>
        <w:t>Multicontract</w:t>
      </w:r>
      <w:proofErr w:type="spellEnd"/>
      <w:r w:rsidRPr="00423C98">
        <w:rPr>
          <w:rFonts w:ascii="Arial" w:hAnsi="Arial" w:cs="Arial"/>
          <w:sz w:val="24"/>
          <w:szCs w:val="24"/>
        </w:rPr>
        <w:t xml:space="preserve">, DIY and Hybrid contracts has its benefits, which are influenced by context, organisational maturity and interface management. Contracting is typically viewed as a straightforward choice between outsourcing and insourcing. </w:t>
      </w:r>
      <w:r w:rsidR="00C413FA" w:rsidRPr="00423C98">
        <w:rPr>
          <w:rFonts w:ascii="Arial" w:hAnsi="Arial" w:cs="Arial"/>
          <w:sz w:val="24"/>
          <w:szCs w:val="24"/>
        </w:rPr>
        <w:t>Each</w:t>
      </w:r>
      <w:r w:rsidRPr="00423C98">
        <w:rPr>
          <w:rFonts w:ascii="Arial" w:hAnsi="Arial" w:cs="Arial"/>
          <w:sz w:val="24"/>
          <w:szCs w:val="24"/>
        </w:rPr>
        <w:t xml:space="preserve"> of these has complexities that can undermine its theoretical advantages. The illusion of simplicity, coordination paradox and capability constraints can explain why the outcome of a project does not match expectations. Examples such as the Berlin Brandenburg Airport and the Boeing 787 Dreamliner show how a single contract model can fail under complex interfaces and evolving requirements. These examples demonstrate that success depends on an organisation's ability to manage interfaces, allocate risks and adjust to changing conditions. (Tang, Zimmerman, &amp; Nelson, 2009; Seldin et al., 2020). This </w:t>
      </w:r>
      <w:r>
        <w:rPr>
          <w:rFonts w:ascii="Arial" w:hAnsi="Arial" w:cs="Arial"/>
          <w:sz w:val="24"/>
          <w:szCs w:val="24"/>
        </w:rPr>
        <w:t>essay</w:t>
      </w:r>
      <w:r w:rsidRPr="00423C98">
        <w:rPr>
          <w:rFonts w:ascii="Arial" w:hAnsi="Arial" w:cs="Arial"/>
          <w:sz w:val="24"/>
          <w:szCs w:val="24"/>
        </w:rPr>
        <w:t xml:space="preserve"> will be divided </w:t>
      </w:r>
      <w:r w:rsidR="00C413FA" w:rsidRPr="00423C98">
        <w:rPr>
          <w:rFonts w:ascii="Arial" w:hAnsi="Arial" w:cs="Arial"/>
          <w:sz w:val="24"/>
          <w:szCs w:val="24"/>
        </w:rPr>
        <w:t>into</w:t>
      </w:r>
      <w:r w:rsidRPr="00423C98">
        <w:rPr>
          <w:rFonts w:ascii="Arial" w:hAnsi="Arial" w:cs="Arial"/>
          <w:sz w:val="24"/>
          <w:szCs w:val="24"/>
        </w:rPr>
        <w:t xml:space="preserve"> 4 sections. In section 1 there is an explanation of project contracting and the aims of this briefing. In section 2 there is a critical analysis of the Turnkey, </w:t>
      </w:r>
      <w:proofErr w:type="spellStart"/>
      <w:r w:rsidRPr="00423C98">
        <w:rPr>
          <w:rFonts w:ascii="Arial" w:hAnsi="Arial" w:cs="Arial"/>
          <w:sz w:val="24"/>
          <w:szCs w:val="24"/>
        </w:rPr>
        <w:t>Multicontract</w:t>
      </w:r>
      <w:proofErr w:type="spellEnd"/>
      <w:r w:rsidRPr="00423C98">
        <w:rPr>
          <w:rFonts w:ascii="Arial" w:hAnsi="Arial" w:cs="Arial"/>
          <w:sz w:val="24"/>
          <w:szCs w:val="24"/>
        </w:rPr>
        <w:t xml:space="preserve">, DIY and Hybrid models. In section 3 a synthesis is made where contextual factors such as organisational capability, market conditions and interface management are highlighted and in section 4 the conclusion explains how these findings can be translated </w:t>
      </w:r>
      <w:r w:rsidR="00C413FA" w:rsidRPr="00423C98">
        <w:rPr>
          <w:rFonts w:ascii="Arial" w:hAnsi="Arial" w:cs="Arial"/>
          <w:sz w:val="24"/>
          <w:szCs w:val="24"/>
        </w:rPr>
        <w:t>into</w:t>
      </w:r>
      <w:r w:rsidRPr="00423C98">
        <w:rPr>
          <w:rFonts w:ascii="Arial" w:hAnsi="Arial" w:cs="Arial"/>
          <w:sz w:val="24"/>
          <w:szCs w:val="24"/>
        </w:rPr>
        <w:t xml:space="preserve"> practical advice for managers when choosing a contract model in a real-world project. (Pritchard et al., 2020; Wysocki et al., 2014).</w:t>
      </w:r>
    </w:p>
    <w:p w14:paraId="305EE623" w14:textId="75E8AFB7" w:rsidR="000C0782" w:rsidRDefault="00D15CF8" w:rsidP="00D15CF8">
      <w:pPr>
        <w:pStyle w:val="Heading1"/>
      </w:pPr>
      <w:bookmarkStart w:id="2" w:name="_Toc216898422"/>
      <w:r w:rsidRPr="00D15CF8">
        <w:t>The Strategic Context of Project Contracting</w:t>
      </w:r>
      <w:bookmarkEnd w:id="2"/>
    </w:p>
    <w:p w14:paraId="2914096C" w14:textId="5385B8F9" w:rsidR="009D5E19" w:rsidRPr="00B92EAF" w:rsidRDefault="009D5E19" w:rsidP="00B92EAF">
      <w:pPr>
        <w:jc w:val="both"/>
        <w:rPr>
          <w:rFonts w:ascii="Arial" w:hAnsi="Arial" w:cs="Arial"/>
          <w:sz w:val="24"/>
          <w:szCs w:val="24"/>
        </w:rPr>
      </w:pPr>
      <w:r w:rsidRPr="0041318A">
        <w:rPr>
          <w:rFonts w:ascii="Arial" w:hAnsi="Arial" w:cs="Arial"/>
          <w:sz w:val="24"/>
          <w:szCs w:val="24"/>
        </w:rPr>
        <w:t>Organizations choose to contract out work for various strategic reasons, though these motivations are not always as straightforward as they appear. The conventional rationale includes lack of internal expertise, resource constraints, risk transfer, and access to specialized capabilities (Wysocki et al., 2014). However, this perspective overlooks the political and organizational dynamics that often drive contracting decisions. For instance, the 2012 London Olympics demonstrated how contracting decisions were influenced not only by technical requirements but also by political pressures to involve local suppliers and create economic legacy benefits, sometimes at the expense of pure efficiency considerations</w:t>
      </w:r>
      <w:r w:rsidR="002509E4" w:rsidRPr="0041318A">
        <w:rPr>
          <w:rFonts w:ascii="Arial" w:hAnsi="Arial" w:cs="Arial"/>
          <w:sz w:val="24"/>
          <w:szCs w:val="24"/>
        </w:rPr>
        <w:t xml:space="preserve"> </w:t>
      </w:r>
      <w:r w:rsidR="002509E4" w:rsidRPr="0041318A">
        <w:rPr>
          <w:rFonts w:ascii="Arial" w:hAnsi="Arial" w:cs="Arial"/>
          <w:sz w:val="24"/>
          <w:szCs w:val="24"/>
        </w:rPr>
        <w:t>(</w:t>
      </w:r>
      <w:r w:rsidR="0077274F" w:rsidRPr="0041318A">
        <w:rPr>
          <w:rFonts w:ascii="Arial" w:hAnsi="Arial" w:cs="Arial"/>
          <w:sz w:val="24"/>
          <w:szCs w:val="24"/>
        </w:rPr>
        <w:t>Elinor,2006</w:t>
      </w:r>
      <w:r w:rsidR="002509E4" w:rsidRPr="0041318A">
        <w:rPr>
          <w:rFonts w:ascii="Arial" w:hAnsi="Arial" w:cs="Arial"/>
          <w:sz w:val="24"/>
          <w:szCs w:val="24"/>
        </w:rPr>
        <w:t>)</w:t>
      </w:r>
      <w:r w:rsidRPr="0041318A">
        <w:rPr>
          <w:rFonts w:ascii="Arial" w:hAnsi="Arial" w:cs="Arial"/>
          <w:sz w:val="24"/>
          <w:szCs w:val="24"/>
        </w:rPr>
        <w:t>.</w:t>
      </w:r>
    </w:p>
    <w:p w14:paraId="2A350FE3" w14:textId="6171110A" w:rsidR="009857B2" w:rsidRPr="00B92EAF" w:rsidRDefault="009857B2" w:rsidP="00B92EAF">
      <w:pPr>
        <w:jc w:val="both"/>
        <w:rPr>
          <w:rFonts w:ascii="Arial" w:hAnsi="Arial" w:cs="Arial"/>
          <w:sz w:val="24"/>
          <w:szCs w:val="24"/>
        </w:rPr>
      </w:pPr>
      <w:r w:rsidRPr="00B92EAF">
        <w:rPr>
          <w:rFonts w:ascii="Arial" w:hAnsi="Arial" w:cs="Arial"/>
          <w:sz w:val="24"/>
          <w:szCs w:val="24"/>
        </w:rPr>
        <w:t>The decision to contract out work fundamentally alters the project's risk profile, governance structure, and success metrics. When organizations choose external contracting, they simultaneously gain access to specialized expertise while potentially losing direct control over execution quality and timeline. This trade-off becomes particularly complex in environments where project requirements are evolving or where the organization's strategic objectives extend beyond simple project completion to include capability development, knowledge transfer, or stakeholder engagement.</w:t>
      </w:r>
    </w:p>
    <w:p w14:paraId="6CBBD119" w14:textId="6D654A4C" w:rsidR="00B92EAF" w:rsidRPr="00B92EAF" w:rsidRDefault="00B92EAF" w:rsidP="00B92EAF">
      <w:pPr>
        <w:jc w:val="both"/>
        <w:rPr>
          <w:rFonts w:ascii="Arial" w:hAnsi="Arial" w:cs="Arial"/>
          <w:sz w:val="24"/>
          <w:szCs w:val="24"/>
        </w:rPr>
      </w:pPr>
      <w:r w:rsidRPr="00B92EAF">
        <w:rPr>
          <w:rFonts w:ascii="Arial" w:hAnsi="Arial" w:cs="Arial"/>
          <w:sz w:val="24"/>
          <w:szCs w:val="24"/>
        </w:rPr>
        <w:t xml:space="preserve">Furthermore, the contracting decision cannot be separated from broader organizational strategy and market positioning. Companies operating in highly competitive environments may choose different contracting approaches than those in regulated industries, not because of project-specific factors but because of strategic </w:t>
      </w:r>
      <w:r w:rsidRPr="00B92EAF">
        <w:rPr>
          <w:rFonts w:ascii="Arial" w:hAnsi="Arial" w:cs="Arial"/>
          <w:sz w:val="24"/>
          <w:szCs w:val="24"/>
        </w:rPr>
        <w:lastRenderedPageBreak/>
        <w:t>considerations about core competency development, intellectual property protection, and competitive advantage maintenance.</w:t>
      </w:r>
    </w:p>
    <w:p w14:paraId="464FA08A" w14:textId="2311C466" w:rsidR="000233E5" w:rsidRDefault="000233E5" w:rsidP="000233E5">
      <w:pPr>
        <w:pStyle w:val="Heading1"/>
      </w:pPr>
      <w:bookmarkStart w:id="3" w:name="_Toc216898423"/>
      <w:r w:rsidRPr="000233E5">
        <w:t>Turnkey Contracting: The Illusion of Simplicity</w:t>
      </w:r>
      <w:bookmarkEnd w:id="3"/>
    </w:p>
    <w:p w14:paraId="61C94BC9" w14:textId="77777777" w:rsidR="00D50EC3" w:rsidRDefault="003A159C" w:rsidP="003A159C">
      <w:pPr>
        <w:pStyle w:val="Heading2"/>
      </w:pPr>
      <w:bookmarkStart w:id="4" w:name="_Toc216898424"/>
      <w:r w:rsidRPr="003A159C">
        <w:t>Theoretical Advantages and Risk Transfer</w:t>
      </w:r>
      <w:bookmarkEnd w:id="4"/>
      <w:r w:rsidR="00D50EC3" w:rsidRPr="00D50EC3">
        <w:t> </w:t>
      </w:r>
    </w:p>
    <w:p w14:paraId="7FA4CA4D" w14:textId="56B87F59" w:rsidR="00DF7DE5" w:rsidRPr="00DF7DE5" w:rsidRDefault="00D81A6E" w:rsidP="00DF7DE5">
      <w:pPr>
        <w:jc w:val="both"/>
        <w:rPr>
          <w:rFonts w:ascii="Arial" w:hAnsi="Arial" w:cs="Arial"/>
          <w:sz w:val="24"/>
          <w:szCs w:val="24"/>
        </w:rPr>
      </w:pPr>
      <w:r w:rsidRPr="0041318A">
        <w:rPr>
          <w:rFonts w:ascii="Arial" w:hAnsi="Arial" w:cs="Arial"/>
          <w:sz w:val="24"/>
          <w:szCs w:val="24"/>
        </w:rPr>
        <w:t>Turnkey contracting, characterized by single-point responsibility for complete project delivery, represents perhaps the most misunderstood contracting method in contemporary project management</w:t>
      </w:r>
      <w:r w:rsidR="0094437E" w:rsidRPr="0041318A">
        <w:rPr>
          <w:rFonts w:ascii="Arial" w:hAnsi="Arial" w:cs="Arial"/>
          <w:sz w:val="24"/>
          <w:szCs w:val="24"/>
        </w:rPr>
        <w:t xml:space="preserve"> </w:t>
      </w:r>
      <w:r w:rsidR="0094437E" w:rsidRPr="0041318A">
        <w:rPr>
          <w:rFonts w:ascii="Arial" w:hAnsi="Arial" w:cs="Arial"/>
          <w:sz w:val="24"/>
          <w:szCs w:val="24"/>
        </w:rPr>
        <w:t>(Pritchard, Johnston and Gorse, 2020</w:t>
      </w:r>
      <w:r w:rsidR="0094437E" w:rsidRPr="0041318A">
        <w:rPr>
          <w:rFonts w:ascii="Arial" w:hAnsi="Arial" w:cs="Arial"/>
          <w:sz w:val="24"/>
          <w:szCs w:val="24"/>
        </w:rPr>
        <w:t>)</w:t>
      </w:r>
      <w:r w:rsidRPr="0041318A">
        <w:rPr>
          <w:rFonts w:ascii="Arial" w:hAnsi="Arial" w:cs="Arial"/>
          <w:sz w:val="24"/>
          <w:szCs w:val="24"/>
        </w:rPr>
        <w:t xml:space="preserve">. The method places comprehensive responsibility for design, procurement, construction, and commissioning onto a single contractor, theoretically simplifying client oversight and transferring significant risk (Kidston et al., 2015). This approach gained prominence in the 1970s oil and gas industry, where complex projects in remote locations necessitated integrated delivery </w:t>
      </w:r>
      <w:r w:rsidR="00B21231" w:rsidRPr="0041318A">
        <w:rPr>
          <w:rFonts w:ascii="Arial" w:hAnsi="Arial" w:cs="Arial"/>
          <w:sz w:val="24"/>
          <w:szCs w:val="24"/>
        </w:rPr>
        <w:t>models (Morris,1994)</w:t>
      </w:r>
      <w:r w:rsidRPr="0041318A">
        <w:rPr>
          <w:rFonts w:ascii="Arial" w:hAnsi="Arial" w:cs="Arial"/>
          <w:sz w:val="24"/>
          <w:szCs w:val="24"/>
        </w:rPr>
        <w:t>.</w:t>
      </w:r>
    </w:p>
    <w:p w14:paraId="3F8A3798" w14:textId="09BFAC72" w:rsidR="00D81A6E" w:rsidRPr="00743733" w:rsidRDefault="00743733" w:rsidP="00743733">
      <w:pPr>
        <w:rPr>
          <w:rFonts w:ascii="Arial" w:hAnsi="Arial" w:cs="Arial"/>
          <w:sz w:val="24"/>
          <w:szCs w:val="24"/>
        </w:rPr>
      </w:pPr>
      <w:r w:rsidRPr="00743733">
        <w:rPr>
          <w:rFonts w:ascii="Arial" w:hAnsi="Arial" w:cs="Arial"/>
          <w:sz w:val="24"/>
          <w:szCs w:val="24"/>
        </w:rPr>
        <w:t xml:space="preserve">Turnkey contracting appears to be simple and </w:t>
      </w:r>
      <w:r w:rsidRPr="00743733">
        <w:rPr>
          <w:rFonts w:ascii="Arial" w:hAnsi="Arial" w:cs="Arial"/>
          <w:sz w:val="24"/>
          <w:szCs w:val="24"/>
        </w:rPr>
        <w:t>transfer’s</w:t>
      </w:r>
      <w:r w:rsidRPr="00743733">
        <w:rPr>
          <w:rFonts w:ascii="Arial" w:hAnsi="Arial" w:cs="Arial"/>
          <w:sz w:val="24"/>
          <w:szCs w:val="24"/>
        </w:rPr>
        <w:t xml:space="preserve"> risk. Masterman (2002) writes that if one contractor does everything, there are fewer problems to work out. All he has to do is design and make it work. Turnkey contracts are usually paid by a price, which allows the client to have a better idea of what they have to pay. It also works more efficiently, with the contractor taking charge of the interfaces between different parts of the project, as described by Winch (2010).</w:t>
      </w:r>
    </w:p>
    <w:p w14:paraId="3C82BEDD" w14:textId="4A259FB2" w:rsidR="003A159C" w:rsidRDefault="00D50EC3" w:rsidP="003A159C">
      <w:pPr>
        <w:pStyle w:val="Heading2"/>
      </w:pPr>
      <w:bookmarkStart w:id="5" w:name="_Toc216898425"/>
      <w:r w:rsidRPr="00D50EC3">
        <w:t>Critical Contradictions in Practice</w:t>
      </w:r>
      <w:bookmarkEnd w:id="5"/>
      <w:r w:rsidR="00E52B35">
        <w:t xml:space="preserve"> </w:t>
      </w:r>
    </w:p>
    <w:p w14:paraId="52A69A95" w14:textId="7D7424E1" w:rsidR="00E52B35" w:rsidRPr="00E52B35" w:rsidRDefault="00E52B35" w:rsidP="00E52B35">
      <w:pPr>
        <w:jc w:val="both"/>
        <w:rPr>
          <w:rFonts w:ascii="Arial" w:hAnsi="Arial" w:cs="Arial"/>
          <w:sz w:val="24"/>
          <w:szCs w:val="24"/>
        </w:rPr>
      </w:pPr>
      <w:r w:rsidRPr="00E52B35">
        <w:rPr>
          <w:rFonts w:ascii="Arial" w:hAnsi="Arial" w:cs="Arial"/>
          <w:sz w:val="24"/>
          <w:szCs w:val="24"/>
        </w:rPr>
        <w:t>However, this conventional view masks significant contradictions that emerge in practice. The Berlin Brandenburg Airport project, originally contracted on a Turnkey basis in 2006, illustrates the fundamental flaw in assuming that single-point responsibility automatically translates to effective coordination (</w:t>
      </w:r>
      <w:r w:rsidR="00CA5461">
        <w:rPr>
          <w:rFonts w:ascii="Arial" w:hAnsi="Arial" w:cs="Arial"/>
          <w:sz w:val="24"/>
          <w:szCs w:val="24"/>
        </w:rPr>
        <w:t xml:space="preserve">Seldin, </w:t>
      </w:r>
      <w:r w:rsidRPr="00E52B35">
        <w:rPr>
          <w:rFonts w:ascii="Arial" w:hAnsi="Arial" w:cs="Arial"/>
          <w:sz w:val="24"/>
          <w:szCs w:val="24"/>
        </w:rPr>
        <w:t>2021). Despite having a single main contractor, the project suffered from massive delays and cost overruns, opening nine years behind schedule and costing over €7 billion against an original budget of €2 billion. This example challenges the assumption that Turnkey contracts effectively transfer risk; instead, they often create an "illusion" of risk transfer while concentrating it in ways that can be more dangerous than distributed models (Flyvbjerg</w:t>
      </w:r>
      <w:r w:rsidR="00F122C3">
        <w:rPr>
          <w:rFonts w:ascii="Arial" w:hAnsi="Arial" w:cs="Arial"/>
          <w:sz w:val="24"/>
          <w:szCs w:val="24"/>
        </w:rPr>
        <w:t>,</w:t>
      </w:r>
      <w:r w:rsidRPr="00E52B35">
        <w:rPr>
          <w:rFonts w:ascii="Arial" w:hAnsi="Arial" w:cs="Arial"/>
          <w:sz w:val="24"/>
          <w:szCs w:val="24"/>
        </w:rPr>
        <w:t xml:space="preserve"> 2014).</w:t>
      </w:r>
      <w:r>
        <w:rPr>
          <w:rFonts w:ascii="Arial" w:hAnsi="Arial" w:cs="Arial"/>
          <w:sz w:val="24"/>
          <w:szCs w:val="24"/>
        </w:rPr>
        <w:t xml:space="preserve"> </w:t>
      </w:r>
      <w:r w:rsidRPr="00E52B35">
        <w:rPr>
          <w:rFonts w:ascii="Arial" w:hAnsi="Arial" w:cs="Arial"/>
          <w:sz w:val="24"/>
          <w:szCs w:val="24"/>
        </w:rPr>
        <w:t>Furthermore, the fixed-price premium inherent in Turnkey contracts can be substantial, sometimes reaching 15–25% above alternative delivery methods (Frame</w:t>
      </w:r>
      <w:r w:rsidR="00F122C3">
        <w:rPr>
          <w:rFonts w:ascii="Arial" w:hAnsi="Arial" w:cs="Arial"/>
          <w:sz w:val="24"/>
          <w:szCs w:val="24"/>
        </w:rPr>
        <w:t>,</w:t>
      </w:r>
      <w:r w:rsidRPr="00E52B35">
        <w:rPr>
          <w:rFonts w:ascii="Arial" w:hAnsi="Arial" w:cs="Arial"/>
          <w:sz w:val="24"/>
          <w:szCs w:val="24"/>
        </w:rPr>
        <w:t xml:space="preserve"> 2023). This premium reflects the contractor's need to build contingencies for uncertainties they cannot fully assess during bidding. The Thames Tideway Tunnel project in London, while ultimately successful, demonstrated how Turnkey premiums and risk-sharing complexities can lead to significant public scrutiny regarding value for money in infrastructure delivery (National Audit Office</w:t>
      </w:r>
      <w:r w:rsidR="00F122C3">
        <w:rPr>
          <w:rFonts w:ascii="Arial" w:hAnsi="Arial" w:cs="Arial"/>
          <w:sz w:val="24"/>
          <w:szCs w:val="24"/>
        </w:rPr>
        <w:t>,</w:t>
      </w:r>
      <w:r w:rsidRPr="00E52B35">
        <w:rPr>
          <w:rFonts w:ascii="Arial" w:hAnsi="Arial" w:cs="Arial"/>
          <w:sz w:val="24"/>
          <w:szCs w:val="24"/>
        </w:rPr>
        <w:t xml:space="preserve"> 2017).</w:t>
      </w:r>
    </w:p>
    <w:p w14:paraId="272FD2CF" w14:textId="504C5281" w:rsidR="009B3652" w:rsidRDefault="009B3652" w:rsidP="009B3652">
      <w:pPr>
        <w:pStyle w:val="Heading1"/>
      </w:pPr>
      <w:bookmarkStart w:id="6" w:name="_Toc216898426"/>
      <w:proofErr w:type="spellStart"/>
      <w:r w:rsidRPr="009B3652">
        <w:lastRenderedPageBreak/>
        <w:t>Multicontract</w:t>
      </w:r>
      <w:proofErr w:type="spellEnd"/>
      <w:r w:rsidRPr="009B3652">
        <w:t xml:space="preserve"> Contracting: The Coordination Paradox</w:t>
      </w:r>
      <w:bookmarkEnd w:id="6"/>
    </w:p>
    <w:p w14:paraId="0097945F" w14:textId="47C086D7" w:rsidR="009B3652" w:rsidRDefault="005553D5" w:rsidP="005553D5">
      <w:pPr>
        <w:pStyle w:val="Heading2"/>
      </w:pPr>
      <w:bookmarkStart w:id="7" w:name="_Toc216898427"/>
      <w:r w:rsidRPr="005553D5">
        <w:t>Enhanced Control and Cost Considerations</w:t>
      </w:r>
      <w:bookmarkEnd w:id="7"/>
    </w:p>
    <w:p w14:paraId="3AA44D51" w14:textId="357FACA5" w:rsidR="009B3E3D" w:rsidRPr="009B3E3D" w:rsidRDefault="009B3E3D" w:rsidP="009B3E3D">
      <w:pPr>
        <w:jc w:val="both"/>
        <w:rPr>
          <w:rFonts w:ascii="Arial" w:hAnsi="Arial" w:cs="Arial"/>
          <w:sz w:val="24"/>
          <w:szCs w:val="24"/>
        </w:rPr>
      </w:pPr>
      <w:r w:rsidRPr="009B3E3D">
        <w:rPr>
          <w:rFonts w:ascii="Arial" w:hAnsi="Arial" w:cs="Arial"/>
          <w:sz w:val="24"/>
          <w:szCs w:val="24"/>
        </w:rPr>
        <w:t>The benefits of multi-contracting are numerous, including more control, reduced markups (Burke, 2013) but introduces a significant 'co-ordination gap' risk that is unlike the integrated model. In multi-contracting the client takes on the role of the principal co-ordinator. This means that it is legally liable for any interface failures between the trade contractors (Hughes, Champion and Murdoch, 2015). If a trade contractor delays the client will have the financial burden of those claims. The cost savings of cutting out a general contractor are often offset by the need for a sophisticated internal management team to manage complex interfaces (Walker, 2015).</w:t>
      </w:r>
    </w:p>
    <w:p w14:paraId="60A966C6" w14:textId="77777777" w:rsidR="00AA59BF" w:rsidRDefault="005553D5" w:rsidP="005553D5">
      <w:pPr>
        <w:pStyle w:val="Heading2"/>
      </w:pPr>
      <w:bookmarkStart w:id="8" w:name="_Toc216898428"/>
      <w:r w:rsidRPr="005553D5">
        <w:t>The Interface Management Challenge</w:t>
      </w:r>
      <w:bookmarkEnd w:id="8"/>
    </w:p>
    <w:p w14:paraId="5DB7440A" w14:textId="0C8D12A9" w:rsidR="00AA59BF" w:rsidRPr="00AA59BF" w:rsidRDefault="00AA59BF" w:rsidP="00AA59BF">
      <w:pPr>
        <w:rPr>
          <w:rFonts w:ascii="Arial" w:hAnsi="Arial" w:cs="Arial"/>
          <w:sz w:val="24"/>
          <w:szCs w:val="24"/>
        </w:rPr>
      </w:pPr>
      <w:r w:rsidRPr="00AA59BF">
        <w:rPr>
          <w:rFonts w:ascii="Arial" w:hAnsi="Arial" w:cs="Arial"/>
          <w:sz w:val="24"/>
          <w:szCs w:val="24"/>
        </w:rPr>
        <w:t xml:space="preserve">But the </w:t>
      </w:r>
      <w:proofErr w:type="spellStart"/>
      <w:r w:rsidRPr="00AA59BF">
        <w:rPr>
          <w:rFonts w:ascii="Arial" w:hAnsi="Arial" w:cs="Arial"/>
          <w:sz w:val="24"/>
          <w:szCs w:val="24"/>
        </w:rPr>
        <w:t>multicontract</w:t>
      </w:r>
      <w:proofErr w:type="spellEnd"/>
      <w:r w:rsidRPr="00AA59BF">
        <w:rPr>
          <w:rFonts w:ascii="Arial" w:hAnsi="Arial" w:cs="Arial"/>
          <w:sz w:val="24"/>
          <w:szCs w:val="24"/>
        </w:rPr>
        <w:t xml:space="preserve"> approach contains a fundamental paradox: while promising greater control, it often results in less project control due to the complexities of coordination. The Denver International Airport project exemplifies this contradiction; despite using a </w:t>
      </w:r>
      <w:proofErr w:type="spellStart"/>
      <w:r w:rsidRPr="00AA59BF">
        <w:rPr>
          <w:rFonts w:ascii="Arial" w:hAnsi="Arial" w:cs="Arial"/>
          <w:sz w:val="24"/>
          <w:szCs w:val="24"/>
        </w:rPr>
        <w:t>multicontract</w:t>
      </w:r>
      <w:proofErr w:type="spellEnd"/>
      <w:r w:rsidRPr="00AA59BF">
        <w:rPr>
          <w:rFonts w:ascii="Arial" w:hAnsi="Arial" w:cs="Arial"/>
          <w:sz w:val="24"/>
          <w:szCs w:val="24"/>
        </w:rPr>
        <w:t xml:space="preserve"> approach, coordination failures among multiple contractors resulted in a 16-month delay and cost overruns of $2 billion (Montealegre and Keil</w:t>
      </w:r>
      <w:r w:rsidR="00F122C3">
        <w:rPr>
          <w:rFonts w:ascii="Arial" w:hAnsi="Arial" w:cs="Arial"/>
          <w:sz w:val="24"/>
          <w:szCs w:val="24"/>
        </w:rPr>
        <w:t>,</w:t>
      </w:r>
      <w:r w:rsidRPr="00AA59BF">
        <w:rPr>
          <w:rFonts w:ascii="Arial" w:hAnsi="Arial" w:cs="Arial"/>
          <w:sz w:val="24"/>
          <w:szCs w:val="24"/>
        </w:rPr>
        <w:t xml:space="preserve"> 2000). Research supported by the Construction Industry Institute suggests that </w:t>
      </w:r>
      <w:proofErr w:type="spellStart"/>
      <w:r w:rsidRPr="00AA59BF">
        <w:rPr>
          <w:rFonts w:ascii="Arial" w:hAnsi="Arial" w:cs="Arial"/>
          <w:sz w:val="24"/>
          <w:szCs w:val="24"/>
        </w:rPr>
        <w:t>multicontract</w:t>
      </w:r>
      <w:proofErr w:type="spellEnd"/>
      <w:r w:rsidRPr="00AA59BF">
        <w:rPr>
          <w:rFonts w:ascii="Arial" w:hAnsi="Arial" w:cs="Arial"/>
          <w:sz w:val="24"/>
          <w:szCs w:val="24"/>
        </w:rPr>
        <w:t xml:space="preserve"> projects can experience significantly higher schedule delays and cost growth compared to integrated delivery models (Konchar and Sanvido</w:t>
      </w:r>
      <w:r w:rsidR="00F122C3">
        <w:rPr>
          <w:rFonts w:ascii="Arial" w:hAnsi="Arial" w:cs="Arial"/>
          <w:sz w:val="24"/>
          <w:szCs w:val="24"/>
        </w:rPr>
        <w:t>,</w:t>
      </w:r>
      <w:r w:rsidRPr="00AA59BF">
        <w:rPr>
          <w:rFonts w:ascii="Arial" w:hAnsi="Arial" w:cs="Arial"/>
          <w:sz w:val="24"/>
          <w:szCs w:val="24"/>
        </w:rPr>
        <w:t>1998). This is because the savings from eliminating general contractor mark-ups are offset by the high cost of interface management. As the number of contractors increases, the management burden grows exponentially, a phenomenon described in systems theory as a 'combinatorial explosion' (Baccarini</w:t>
      </w:r>
      <w:r w:rsidR="00F122C3">
        <w:rPr>
          <w:rFonts w:ascii="Arial" w:hAnsi="Arial" w:cs="Arial"/>
          <w:sz w:val="24"/>
          <w:szCs w:val="24"/>
        </w:rPr>
        <w:t>,</w:t>
      </w:r>
      <w:r w:rsidRPr="00AA59BF">
        <w:rPr>
          <w:rFonts w:ascii="Arial" w:hAnsi="Arial" w:cs="Arial"/>
          <w:sz w:val="24"/>
          <w:szCs w:val="24"/>
        </w:rPr>
        <w:t xml:space="preserve"> 1996).</w:t>
      </w:r>
    </w:p>
    <w:p w14:paraId="718DADC7" w14:textId="77777777" w:rsidR="00A53673" w:rsidRDefault="005553D5" w:rsidP="004D02D3">
      <w:pPr>
        <w:pStyle w:val="Heading2"/>
      </w:pPr>
      <w:bookmarkStart w:id="9" w:name="_Toc216898429"/>
      <w:r w:rsidRPr="005553D5">
        <w:t>Contextual Effectiveness and Risk Implications</w:t>
      </w:r>
      <w:bookmarkEnd w:id="9"/>
    </w:p>
    <w:p w14:paraId="64F7B653" w14:textId="29A5DE39" w:rsidR="00A53673" w:rsidRPr="00A53673" w:rsidRDefault="00A53673" w:rsidP="00A53673">
      <w:pPr>
        <w:jc w:val="both"/>
        <w:rPr>
          <w:sz w:val="24"/>
          <w:szCs w:val="24"/>
        </w:rPr>
      </w:pPr>
      <w:r w:rsidRPr="00A53673">
        <w:rPr>
          <w:rFonts w:ascii="Arial" w:hAnsi="Arial" w:cs="Arial"/>
          <w:sz w:val="24"/>
          <w:szCs w:val="24"/>
        </w:rPr>
        <w:t xml:space="preserve">In addition to this trend, the risk profile tilts unfavourably towards the client in </w:t>
      </w:r>
      <w:proofErr w:type="spellStart"/>
      <w:r w:rsidRPr="00A53673">
        <w:rPr>
          <w:rFonts w:ascii="Arial" w:hAnsi="Arial" w:cs="Arial"/>
          <w:sz w:val="24"/>
          <w:szCs w:val="24"/>
        </w:rPr>
        <w:t>multicontract</w:t>
      </w:r>
      <w:proofErr w:type="spellEnd"/>
      <w:r w:rsidRPr="00A53673">
        <w:rPr>
          <w:rFonts w:ascii="Arial" w:hAnsi="Arial" w:cs="Arial"/>
          <w:sz w:val="24"/>
          <w:szCs w:val="24"/>
        </w:rPr>
        <w:t xml:space="preserve"> arrangements. While risks associated with individual contractors may diminish, systemic risks</w:t>
      </w:r>
      <w:r>
        <w:rPr>
          <w:rFonts w:ascii="Arial" w:hAnsi="Arial" w:cs="Arial"/>
          <w:sz w:val="24"/>
          <w:szCs w:val="24"/>
        </w:rPr>
        <w:t xml:space="preserve"> </w:t>
      </w:r>
      <w:r w:rsidRPr="00A53673">
        <w:rPr>
          <w:rFonts w:ascii="Arial" w:hAnsi="Arial" w:cs="Arial"/>
          <w:sz w:val="24"/>
          <w:szCs w:val="24"/>
        </w:rPr>
        <w:t>specifically high-impact interface risks</w:t>
      </w:r>
      <w:r>
        <w:rPr>
          <w:rFonts w:ascii="Arial" w:hAnsi="Arial" w:cs="Arial"/>
          <w:sz w:val="24"/>
          <w:szCs w:val="24"/>
        </w:rPr>
        <w:t xml:space="preserve"> </w:t>
      </w:r>
      <w:r w:rsidRPr="00A53673">
        <w:rPr>
          <w:rFonts w:ascii="Arial" w:hAnsi="Arial" w:cs="Arial"/>
          <w:sz w:val="24"/>
          <w:szCs w:val="24"/>
        </w:rPr>
        <w:t>fall directly onto the client. An example of this was seen during the Crossrail project in London; despite its ultimate success, it suffered considerable setbacks due to the immense difficulty of managing technical interfaces across dozens of separate contracts (National Audit Office</w:t>
      </w:r>
      <w:r w:rsidR="00F122C3">
        <w:rPr>
          <w:rFonts w:ascii="Arial" w:hAnsi="Arial" w:cs="Arial"/>
          <w:sz w:val="24"/>
          <w:szCs w:val="24"/>
        </w:rPr>
        <w:t xml:space="preserve">, </w:t>
      </w:r>
      <w:r w:rsidRPr="00A53673">
        <w:rPr>
          <w:rFonts w:ascii="Arial" w:hAnsi="Arial" w:cs="Arial"/>
          <w:sz w:val="24"/>
          <w:szCs w:val="24"/>
        </w:rPr>
        <w:t xml:space="preserve">2019). Conversely, </w:t>
      </w:r>
      <w:proofErr w:type="spellStart"/>
      <w:r w:rsidRPr="00A53673">
        <w:rPr>
          <w:rFonts w:ascii="Arial" w:hAnsi="Arial" w:cs="Arial"/>
          <w:sz w:val="24"/>
          <w:szCs w:val="24"/>
        </w:rPr>
        <w:t>multicontracting</w:t>
      </w:r>
      <w:proofErr w:type="spellEnd"/>
      <w:r w:rsidRPr="00A53673">
        <w:rPr>
          <w:rFonts w:ascii="Arial" w:hAnsi="Arial" w:cs="Arial"/>
          <w:sz w:val="24"/>
          <w:szCs w:val="24"/>
        </w:rPr>
        <w:t xml:space="preserve"> remains effective for projects with independent components managed by clients with high internal maturity. Following the September 11 terrorist attacks, the U.S. Army Corps of Engineers successfully implemented a </w:t>
      </w:r>
      <w:proofErr w:type="spellStart"/>
      <w:r w:rsidRPr="00A53673">
        <w:rPr>
          <w:rFonts w:ascii="Arial" w:hAnsi="Arial" w:cs="Arial"/>
          <w:sz w:val="24"/>
          <w:szCs w:val="24"/>
        </w:rPr>
        <w:t>multicontract</w:t>
      </w:r>
      <w:proofErr w:type="spellEnd"/>
      <w:r w:rsidRPr="00A53673">
        <w:rPr>
          <w:rFonts w:ascii="Arial" w:hAnsi="Arial" w:cs="Arial"/>
          <w:sz w:val="24"/>
          <w:szCs w:val="24"/>
        </w:rPr>
        <w:t xml:space="preserve"> approach for the Pentagon renovation. Success was attributed to the project’s separable work packages and the strong internal management competencies residing within the organization (Goldberg et al.</w:t>
      </w:r>
      <w:r w:rsidR="00F122C3">
        <w:rPr>
          <w:rFonts w:ascii="Arial" w:hAnsi="Arial" w:cs="Arial"/>
          <w:sz w:val="24"/>
          <w:szCs w:val="24"/>
        </w:rPr>
        <w:t xml:space="preserve">, </w:t>
      </w:r>
      <w:r w:rsidRPr="00A53673">
        <w:rPr>
          <w:rFonts w:ascii="Arial" w:hAnsi="Arial" w:cs="Arial"/>
          <w:sz w:val="24"/>
          <w:szCs w:val="24"/>
        </w:rPr>
        <w:t>2007).</w:t>
      </w:r>
    </w:p>
    <w:p w14:paraId="5A9F88E6" w14:textId="72639666" w:rsidR="00933998" w:rsidRDefault="00933998" w:rsidP="004D02D3">
      <w:pPr>
        <w:pStyle w:val="Heading2"/>
      </w:pPr>
      <w:bookmarkStart w:id="10" w:name="_Toc216898430"/>
      <w:r w:rsidRPr="00933998">
        <w:t>Internal Control and Knowledge Retention</w:t>
      </w:r>
      <w:bookmarkEnd w:id="10"/>
    </w:p>
    <w:p w14:paraId="04E2A7F0" w14:textId="65C6447F" w:rsidR="00DE69E9" w:rsidRPr="00DE69E9" w:rsidRDefault="00DE69E9" w:rsidP="00DE69E9">
      <w:pPr>
        <w:jc w:val="both"/>
        <w:rPr>
          <w:rFonts w:ascii="Arial" w:hAnsi="Arial" w:cs="Arial"/>
          <w:sz w:val="24"/>
          <w:szCs w:val="24"/>
        </w:rPr>
      </w:pPr>
      <w:r w:rsidRPr="00DE69E9">
        <w:rPr>
          <w:rFonts w:ascii="Arial" w:hAnsi="Arial" w:cs="Arial"/>
          <w:sz w:val="24"/>
          <w:szCs w:val="24"/>
        </w:rPr>
        <w:t xml:space="preserve">Do-It-Yourself (DIY) contracting, where organisations use internal resources for project delivery, remains a fundamentally misunderstood approach. While the conventional focus is on eliminating contractor profit margins and retaining knowledge, this often ignores the hidden overheads and "capability traps" that make DIY riskier than external </w:t>
      </w:r>
      <w:r w:rsidRPr="00DE69E9">
        <w:rPr>
          <w:rFonts w:ascii="Arial" w:hAnsi="Arial" w:cs="Arial"/>
          <w:sz w:val="24"/>
          <w:szCs w:val="24"/>
        </w:rPr>
        <w:lastRenderedPageBreak/>
        <w:t>alternatives (Walker</w:t>
      </w:r>
      <w:r w:rsidR="00F122C3">
        <w:rPr>
          <w:rFonts w:ascii="Arial" w:hAnsi="Arial" w:cs="Arial"/>
          <w:sz w:val="24"/>
          <w:szCs w:val="24"/>
        </w:rPr>
        <w:t xml:space="preserve">, </w:t>
      </w:r>
      <w:r w:rsidRPr="00DE69E9">
        <w:rPr>
          <w:rFonts w:ascii="Arial" w:hAnsi="Arial" w:cs="Arial"/>
          <w:sz w:val="24"/>
          <w:szCs w:val="24"/>
        </w:rPr>
        <w:t>2015).</w:t>
      </w:r>
      <w:r w:rsidRPr="00DE69E9">
        <w:rPr>
          <w:rFonts w:ascii="Arial" w:hAnsi="Arial" w:cs="Arial"/>
          <w:sz w:val="24"/>
          <w:szCs w:val="24"/>
        </w:rPr>
        <w:t xml:space="preserve"> </w:t>
      </w:r>
      <w:r w:rsidRPr="00DE69E9">
        <w:rPr>
          <w:rFonts w:ascii="Arial" w:hAnsi="Arial" w:cs="Arial"/>
          <w:sz w:val="24"/>
          <w:szCs w:val="24"/>
        </w:rPr>
        <w:t>The primary drivers for DIY include maximum control and enhanced security for sensitive projects. These advantages are most prominent in organisations with high internal technical maturity or those where intellectual property must be shielded from the market (Davies, Gann and Douglas</w:t>
      </w:r>
      <w:r w:rsidR="00F122C3">
        <w:rPr>
          <w:rFonts w:ascii="Arial" w:hAnsi="Arial" w:cs="Arial"/>
          <w:sz w:val="24"/>
          <w:szCs w:val="24"/>
        </w:rPr>
        <w:t xml:space="preserve">, </w:t>
      </w:r>
      <w:r w:rsidRPr="00DE69E9">
        <w:rPr>
          <w:rFonts w:ascii="Arial" w:hAnsi="Arial" w:cs="Arial"/>
          <w:sz w:val="24"/>
          <w:szCs w:val="24"/>
        </w:rPr>
        <w:t>2009). However, the success of this model depends entirely on the organization's ability to absorb the "opportunity cost" of diverting its workforce from business-as-usual tasks to specialized project delivery (Pritchard</w:t>
      </w:r>
      <w:r w:rsidR="00F122C3">
        <w:rPr>
          <w:rFonts w:ascii="Arial" w:hAnsi="Arial" w:cs="Arial"/>
          <w:sz w:val="24"/>
          <w:szCs w:val="24"/>
        </w:rPr>
        <w:t xml:space="preserve">, </w:t>
      </w:r>
      <w:r w:rsidRPr="00DE69E9">
        <w:rPr>
          <w:rFonts w:ascii="Arial" w:hAnsi="Arial" w:cs="Arial"/>
          <w:sz w:val="24"/>
          <w:szCs w:val="24"/>
        </w:rPr>
        <w:t>2014)</w:t>
      </w:r>
      <w:r w:rsidRPr="00DE69E9">
        <w:rPr>
          <w:rFonts w:ascii="Arial" w:hAnsi="Arial" w:cs="Arial"/>
          <w:sz w:val="24"/>
          <w:szCs w:val="24"/>
        </w:rPr>
        <w:t>.</w:t>
      </w:r>
    </w:p>
    <w:p w14:paraId="132DA9F8" w14:textId="2A095B25" w:rsidR="004D02D3" w:rsidRDefault="004D02D3" w:rsidP="004D02D3">
      <w:pPr>
        <w:pStyle w:val="Heading2"/>
      </w:pPr>
      <w:r w:rsidRPr="004D02D3">
        <w:t> </w:t>
      </w:r>
      <w:bookmarkStart w:id="11" w:name="_Toc216898431"/>
      <w:r w:rsidRPr="004D02D3">
        <w:t>Hidden Costs and Opportunity Analysis</w:t>
      </w:r>
      <w:bookmarkEnd w:id="11"/>
    </w:p>
    <w:p w14:paraId="31285BE0" w14:textId="11ED6814" w:rsidR="00EF0DA4" w:rsidRPr="00EF0DA4" w:rsidRDefault="00EF0DA4" w:rsidP="00EF0DA4">
      <w:pPr>
        <w:rPr>
          <w:rFonts w:ascii="Arial" w:hAnsi="Arial" w:cs="Arial"/>
          <w:sz w:val="24"/>
          <w:szCs w:val="24"/>
        </w:rPr>
      </w:pPr>
      <w:r w:rsidRPr="00EF0DA4">
        <w:rPr>
          <w:rFonts w:ascii="Arial" w:hAnsi="Arial" w:cs="Arial"/>
          <w:sz w:val="24"/>
          <w:szCs w:val="24"/>
        </w:rPr>
        <w:t>This is termed the 'make-versus-buy' fallacy - where building in-house assumes away the significant opportunity costs and diseconomies of scale incurred when nonspecialists try to do specialists' work (Walker</w:t>
      </w:r>
      <w:r w:rsidR="00F122C3">
        <w:rPr>
          <w:rFonts w:ascii="Arial" w:hAnsi="Arial" w:cs="Arial"/>
          <w:sz w:val="24"/>
          <w:szCs w:val="24"/>
        </w:rPr>
        <w:t xml:space="preserve">, </w:t>
      </w:r>
      <w:r w:rsidRPr="00EF0DA4">
        <w:rPr>
          <w:rFonts w:ascii="Arial" w:hAnsi="Arial" w:cs="Arial"/>
          <w:sz w:val="24"/>
          <w:szCs w:val="24"/>
        </w:rPr>
        <w:t xml:space="preserve">2015), as seen with the US Federal Bureau of Investigation's ill-fated 'Virtual Case File' project (2000-2005), abandoned for its staggering $170-million price tag and insufficient specialised know-how in spite of possession of huge in-built </w:t>
      </w:r>
      <w:r w:rsidRPr="00906F9F">
        <w:rPr>
          <w:rFonts w:ascii="Arial" w:hAnsi="Arial" w:cs="Arial"/>
          <w:sz w:val="24"/>
          <w:szCs w:val="24"/>
        </w:rPr>
        <w:t>resources (</w:t>
      </w:r>
      <w:r w:rsidR="00906F9F" w:rsidRPr="00906F9F">
        <w:rPr>
          <w:rStyle w:val="Heading3Char"/>
          <w:rFonts w:ascii="Arial" w:hAnsi="Arial" w:cs="Arial"/>
          <w:color w:val="auto"/>
          <w:sz w:val="24"/>
          <w:szCs w:val="24"/>
        </w:rPr>
        <w:t>Marchewka</w:t>
      </w:r>
      <w:r w:rsidR="00906F9F" w:rsidRPr="00906F9F">
        <w:rPr>
          <w:rStyle w:val="Heading3Char"/>
          <w:rFonts w:ascii="Arial" w:hAnsi="Arial" w:cs="Arial"/>
          <w:color w:val="auto"/>
          <w:sz w:val="24"/>
          <w:szCs w:val="24"/>
        </w:rPr>
        <w:t>,</w:t>
      </w:r>
      <w:r w:rsidRPr="00906F9F">
        <w:rPr>
          <w:rStyle w:val="Heading3Char"/>
          <w:rFonts w:ascii="Arial" w:hAnsi="Arial" w:cs="Arial"/>
          <w:color w:val="auto"/>
          <w:sz w:val="24"/>
          <w:szCs w:val="24"/>
        </w:rPr>
        <w:t xml:space="preserve"> 20</w:t>
      </w:r>
      <w:r w:rsidR="00906F9F" w:rsidRPr="00906F9F">
        <w:rPr>
          <w:rStyle w:val="Heading3Char"/>
          <w:rFonts w:ascii="Arial" w:hAnsi="Arial" w:cs="Arial"/>
          <w:color w:val="auto"/>
          <w:sz w:val="24"/>
          <w:szCs w:val="24"/>
        </w:rPr>
        <w:t>10</w:t>
      </w:r>
      <w:r w:rsidRPr="00906F9F">
        <w:rPr>
          <w:rFonts w:ascii="Arial" w:hAnsi="Arial" w:cs="Arial"/>
          <w:sz w:val="24"/>
          <w:szCs w:val="24"/>
        </w:rPr>
        <w:t>).</w:t>
      </w:r>
      <w:r w:rsidRPr="00EF0DA4">
        <w:rPr>
          <w:rFonts w:ascii="Arial" w:hAnsi="Arial" w:cs="Arial"/>
          <w:sz w:val="24"/>
          <w:szCs w:val="24"/>
        </w:rPr>
        <w:t xml:space="preserve"> Other research, conducted by McKinsey &amp; Company, shows major homegrown information technology programmes fail far more frequently than their externally-outsourced equivalents, as the former so often draw on core employees and suffer dearth of experience doing something repeatedly or "repeatedly" (Bloch, Blumberg and </w:t>
      </w:r>
      <w:proofErr w:type="spellStart"/>
      <w:r w:rsidRPr="00EF0DA4">
        <w:rPr>
          <w:rFonts w:ascii="Arial" w:hAnsi="Arial" w:cs="Arial"/>
          <w:sz w:val="24"/>
          <w:szCs w:val="24"/>
        </w:rPr>
        <w:t>Laartz</w:t>
      </w:r>
      <w:proofErr w:type="spellEnd"/>
      <w:r w:rsidR="00F122C3">
        <w:rPr>
          <w:rFonts w:ascii="Arial" w:hAnsi="Arial" w:cs="Arial"/>
          <w:sz w:val="24"/>
          <w:szCs w:val="24"/>
        </w:rPr>
        <w:t>,</w:t>
      </w:r>
      <w:r w:rsidRPr="00EF0DA4">
        <w:rPr>
          <w:rFonts w:ascii="Arial" w:hAnsi="Arial" w:cs="Arial"/>
          <w:sz w:val="24"/>
          <w:szCs w:val="24"/>
        </w:rPr>
        <w:t xml:space="preserve"> 2012) as well as noting that plenty of examples exist of companies experiencing high control over programme/project delivery without corresponding excellence in delivery outcomes when they lacked sufficient organisational sophistication to successfully coordinate complicated interplays between separate activities (Kerzner</w:t>
      </w:r>
      <w:r w:rsidR="00F122C3">
        <w:rPr>
          <w:rFonts w:ascii="Arial" w:hAnsi="Arial" w:cs="Arial"/>
          <w:sz w:val="24"/>
          <w:szCs w:val="24"/>
        </w:rPr>
        <w:t xml:space="preserve">, </w:t>
      </w:r>
      <w:r w:rsidRPr="00EF0DA4">
        <w:rPr>
          <w:rFonts w:ascii="Arial" w:hAnsi="Arial" w:cs="Arial"/>
          <w:sz w:val="24"/>
          <w:szCs w:val="24"/>
        </w:rPr>
        <w:t>2017).</w:t>
      </w:r>
    </w:p>
    <w:p w14:paraId="276B0CA7" w14:textId="295A27D5" w:rsidR="004D02D3" w:rsidRDefault="004D02D3" w:rsidP="004D02D3">
      <w:pPr>
        <w:pStyle w:val="Heading2"/>
      </w:pPr>
      <w:bookmarkStart w:id="12" w:name="_Toc216898432"/>
      <w:r w:rsidRPr="004D02D3">
        <w:t>Core Competency Alignment</w:t>
      </w:r>
      <w:bookmarkEnd w:id="12"/>
    </w:p>
    <w:p w14:paraId="744A8D6C" w14:textId="109F029C" w:rsidR="00FB3EE1" w:rsidRPr="00FB3EE1" w:rsidRDefault="00FB3EE1" w:rsidP="00FB3EE1">
      <w:pPr>
        <w:jc w:val="both"/>
        <w:rPr>
          <w:rFonts w:ascii="Arial" w:hAnsi="Arial" w:cs="Arial"/>
          <w:sz w:val="24"/>
          <w:szCs w:val="24"/>
        </w:rPr>
      </w:pPr>
      <w:r w:rsidRPr="00FB3EE1">
        <w:rPr>
          <w:rFonts w:ascii="Arial" w:hAnsi="Arial" w:cs="Arial"/>
          <w:sz w:val="24"/>
          <w:szCs w:val="24"/>
        </w:rPr>
        <w:t xml:space="preserve">The DIY movement was scrutinized against the idea that the cost of the movement (the time of the company) would have been spent on an external contractor who could have done it better and faster. For </w:t>
      </w:r>
      <w:r w:rsidR="002D4825" w:rsidRPr="00FB3EE1">
        <w:rPr>
          <w:rFonts w:ascii="Arial" w:hAnsi="Arial" w:cs="Arial"/>
          <w:sz w:val="24"/>
          <w:szCs w:val="24"/>
        </w:rPr>
        <w:t>instance,</w:t>
      </w:r>
      <w:r w:rsidRPr="00FB3EE1">
        <w:rPr>
          <w:rFonts w:ascii="Arial" w:hAnsi="Arial" w:cs="Arial"/>
          <w:sz w:val="24"/>
          <w:szCs w:val="24"/>
        </w:rPr>
        <w:t xml:space="preserve"> the pharma industry is now predominantly done by contract research org (CRO) who have cross industry experience (Getz and Lamberti 2018). The CRO would give the pharma company a drug faster and cheaper. This is because they have a concentrated experience that the company itself could not do. Furthermore, DIY lacks 'surge capacity', it cannot handle a peak in workload. This is because a company does not have the flexibility to put in more </w:t>
      </w:r>
      <w:r w:rsidRPr="00FB3EE1">
        <w:rPr>
          <w:rFonts w:ascii="Arial" w:hAnsi="Arial" w:cs="Arial"/>
          <w:sz w:val="24"/>
          <w:szCs w:val="24"/>
        </w:rPr>
        <w:t>manpower</w:t>
      </w:r>
      <w:r w:rsidRPr="00FB3EE1">
        <w:rPr>
          <w:rFonts w:ascii="Arial" w:hAnsi="Arial" w:cs="Arial"/>
          <w:sz w:val="24"/>
          <w:szCs w:val="24"/>
        </w:rPr>
        <w:t xml:space="preserve">. So if there is a peak in workload, they </w:t>
      </w:r>
      <w:r w:rsidRPr="00FB3EE1">
        <w:rPr>
          <w:rFonts w:ascii="Arial" w:hAnsi="Arial" w:cs="Arial"/>
          <w:sz w:val="24"/>
          <w:szCs w:val="24"/>
        </w:rPr>
        <w:t>must</w:t>
      </w:r>
      <w:r w:rsidRPr="00FB3EE1">
        <w:rPr>
          <w:rFonts w:ascii="Arial" w:hAnsi="Arial" w:cs="Arial"/>
          <w:sz w:val="24"/>
          <w:szCs w:val="24"/>
        </w:rPr>
        <w:t xml:space="preserve"> wait and this could cost them money </w:t>
      </w:r>
      <w:r w:rsidRPr="00FB3EE1">
        <w:rPr>
          <w:rFonts w:ascii="Arial" w:hAnsi="Arial" w:cs="Arial"/>
          <w:sz w:val="24"/>
          <w:szCs w:val="24"/>
        </w:rPr>
        <w:t>and</w:t>
      </w:r>
      <w:r w:rsidRPr="00FB3EE1">
        <w:rPr>
          <w:rFonts w:ascii="Arial" w:hAnsi="Arial" w:cs="Arial"/>
          <w:sz w:val="24"/>
          <w:szCs w:val="24"/>
        </w:rPr>
        <w:t xml:space="preserve"> there are no warranties for it (Walker</w:t>
      </w:r>
      <w:r w:rsidR="00F122C3">
        <w:rPr>
          <w:rFonts w:ascii="Arial" w:hAnsi="Arial" w:cs="Arial"/>
          <w:sz w:val="24"/>
          <w:szCs w:val="24"/>
        </w:rPr>
        <w:t xml:space="preserve">, </w:t>
      </w:r>
      <w:r w:rsidRPr="00FB3EE1">
        <w:rPr>
          <w:rFonts w:ascii="Arial" w:hAnsi="Arial" w:cs="Arial"/>
          <w:sz w:val="24"/>
          <w:szCs w:val="24"/>
        </w:rPr>
        <w:t>2015). However, if it is core competency, the company should do it. For instance, Google developed their own search engine inhouse because if they had gone external, they could not get the information they had (</w:t>
      </w:r>
      <w:r w:rsidR="002D4825">
        <w:rPr>
          <w:rFonts w:ascii="Arial" w:hAnsi="Arial" w:cs="Arial"/>
          <w:sz w:val="24"/>
          <w:szCs w:val="24"/>
        </w:rPr>
        <w:t>Basu,2007</w:t>
      </w:r>
      <w:r w:rsidRPr="00FB3EE1">
        <w:rPr>
          <w:rFonts w:ascii="Arial" w:hAnsi="Arial" w:cs="Arial"/>
          <w:sz w:val="24"/>
          <w:szCs w:val="24"/>
        </w:rPr>
        <w:t>).</w:t>
      </w:r>
    </w:p>
    <w:p w14:paraId="6EE30319" w14:textId="7F4A712E" w:rsidR="007E0EE1" w:rsidRDefault="008756C5" w:rsidP="008756C5">
      <w:pPr>
        <w:pStyle w:val="Heading1"/>
      </w:pPr>
      <w:bookmarkStart w:id="13" w:name="_Toc216898433"/>
      <w:proofErr w:type="spellStart"/>
      <w:r w:rsidRPr="008756C5">
        <w:t>Multicontract</w:t>
      </w:r>
      <w:proofErr w:type="spellEnd"/>
      <w:r w:rsidRPr="008756C5">
        <w:t xml:space="preserve"> </w:t>
      </w:r>
      <w:r w:rsidR="009C7E4D">
        <w:t>and</w:t>
      </w:r>
      <w:r w:rsidRPr="008756C5">
        <w:t xml:space="preserve"> DIY: The Integration Challenge</w:t>
      </w:r>
      <w:bookmarkEnd w:id="13"/>
    </w:p>
    <w:p w14:paraId="21F14440" w14:textId="5A7C81C7" w:rsidR="008756C5" w:rsidRDefault="008756C5" w:rsidP="005265A1">
      <w:pPr>
        <w:pStyle w:val="Heading2"/>
      </w:pPr>
      <w:r w:rsidRPr="008756C5">
        <w:t> </w:t>
      </w:r>
      <w:bookmarkStart w:id="14" w:name="_Toc216898434"/>
      <w:r w:rsidRPr="008756C5">
        <w:t>Hybrid Optimization Strategies</w:t>
      </w:r>
      <w:bookmarkEnd w:id="14"/>
      <w:r w:rsidRPr="008756C5">
        <w:t> </w:t>
      </w:r>
    </w:p>
    <w:p w14:paraId="05A47C09" w14:textId="5E16D832" w:rsidR="002D52B9" w:rsidRPr="002D52B9" w:rsidRDefault="002D52B9" w:rsidP="002D52B9">
      <w:pPr>
        <w:jc w:val="both"/>
        <w:rPr>
          <w:rFonts w:ascii="Arial" w:hAnsi="Arial" w:cs="Arial"/>
          <w:sz w:val="24"/>
          <w:szCs w:val="24"/>
        </w:rPr>
      </w:pPr>
      <w:r w:rsidRPr="002D52B9">
        <w:rPr>
          <w:rFonts w:ascii="Arial" w:hAnsi="Arial" w:cs="Arial"/>
          <w:sz w:val="24"/>
          <w:szCs w:val="24"/>
        </w:rPr>
        <w:t xml:space="preserve">The hybrid </w:t>
      </w:r>
      <w:proofErr w:type="spellStart"/>
      <w:r w:rsidRPr="002D52B9">
        <w:rPr>
          <w:rFonts w:ascii="Arial" w:hAnsi="Arial" w:cs="Arial"/>
          <w:sz w:val="24"/>
          <w:szCs w:val="24"/>
        </w:rPr>
        <w:t>Multicontract</w:t>
      </w:r>
      <w:proofErr w:type="spellEnd"/>
      <w:r w:rsidRPr="002D52B9">
        <w:rPr>
          <w:rFonts w:ascii="Arial" w:hAnsi="Arial" w:cs="Arial"/>
          <w:sz w:val="24"/>
          <w:szCs w:val="24"/>
        </w:rPr>
        <w:t xml:space="preserve"> + DIY approach represents an attempt to optimize the benefits of both internal control and external expertise by selectively outsourcing non-core activities while retaining internal control over strategic components. This method </w:t>
      </w:r>
      <w:r w:rsidRPr="002D52B9">
        <w:rPr>
          <w:rFonts w:ascii="Arial" w:hAnsi="Arial" w:cs="Arial"/>
          <w:sz w:val="24"/>
          <w:szCs w:val="24"/>
        </w:rPr>
        <w:lastRenderedPageBreak/>
        <w:t>has gained popularity as organizations seek to balance cost, control, and capability considerations in increasingly complex project environments.</w:t>
      </w:r>
    </w:p>
    <w:p w14:paraId="01F1EA50" w14:textId="12370F15" w:rsidR="002D52B9" w:rsidRPr="002D52B9" w:rsidRDefault="002D52B9" w:rsidP="002D52B9">
      <w:pPr>
        <w:jc w:val="both"/>
        <w:rPr>
          <w:rFonts w:ascii="Arial" w:hAnsi="Arial" w:cs="Arial"/>
          <w:sz w:val="24"/>
          <w:szCs w:val="24"/>
        </w:rPr>
      </w:pPr>
      <w:r w:rsidRPr="002D52B9">
        <w:rPr>
          <w:rFonts w:ascii="Arial" w:hAnsi="Arial" w:cs="Arial"/>
          <w:sz w:val="24"/>
          <w:szCs w:val="24"/>
        </w:rPr>
        <w:t>The theoretical advantages of this hybrid approach include optimized resource allocation, maintained control over critical components, access to external specialization for non-core activities, and flexible risk distribution. Organizations can theoretically focus internal resources on areas of competitive advantage while leveraging external expertise for commodity or specialized functions (Wysocki et al., 2014).</w:t>
      </w:r>
    </w:p>
    <w:p w14:paraId="77541CDA" w14:textId="1F7D5F32" w:rsidR="008756C5" w:rsidRDefault="005265A1" w:rsidP="005265A1">
      <w:pPr>
        <w:pStyle w:val="Heading2"/>
      </w:pPr>
      <w:bookmarkStart w:id="15" w:name="_Toc216898435"/>
      <w:r w:rsidRPr="005265A1">
        <w:t>Interface Complexity and Boundary Management</w:t>
      </w:r>
      <w:bookmarkEnd w:id="15"/>
      <w:r w:rsidRPr="005265A1">
        <w:t> </w:t>
      </w:r>
    </w:p>
    <w:p w14:paraId="72B31F01" w14:textId="786FD41E" w:rsidR="002D4825" w:rsidRPr="002D4825" w:rsidRDefault="002D4825" w:rsidP="002D4825">
      <w:pPr>
        <w:jc w:val="both"/>
        <w:rPr>
          <w:rFonts w:ascii="Arial" w:hAnsi="Arial" w:cs="Arial"/>
          <w:sz w:val="24"/>
          <w:szCs w:val="24"/>
        </w:rPr>
      </w:pPr>
      <w:r w:rsidRPr="002D4825">
        <w:rPr>
          <w:rFonts w:ascii="Arial" w:hAnsi="Arial" w:cs="Arial"/>
          <w:sz w:val="24"/>
          <w:szCs w:val="24"/>
        </w:rPr>
        <w:t>One downside of a hybrid approach is that it creates 'interface complexity'; as organizational boundaries increase, the coordination requirement grows exponentially. Each new interface between internal teams and external contractors creates potential for communication breakdowns and a loss of accountability. The Boeing 787 Dreamliner project exemplifies this risk. While Boeing retained in-house control over final assembly, it outsourced the production of major components to global specialty manufacturers. Theoretically, this provided access to global talent and reduced upfront costs, yet coordinating work across continents resulted in delays and overruns exceeding $32 billion (Tang and Zimmerman</w:t>
      </w:r>
      <w:r w:rsidR="00F122C3">
        <w:rPr>
          <w:rFonts w:ascii="Arial" w:hAnsi="Arial" w:cs="Arial"/>
          <w:sz w:val="24"/>
          <w:szCs w:val="24"/>
        </w:rPr>
        <w:t xml:space="preserve">, </w:t>
      </w:r>
      <w:r w:rsidRPr="002D4825">
        <w:rPr>
          <w:rFonts w:ascii="Arial" w:hAnsi="Arial" w:cs="Arial"/>
          <w:sz w:val="24"/>
          <w:szCs w:val="24"/>
        </w:rPr>
        <w:t>2009). The failure was largely attributed to the mismanagement of technical and organizational interfaces rather than the individual parts. Research by the Project Management Institute (2017) supports this, suggesting that projects combining multiple methodologies experience significantly higher communication-related issues compared to those using a single, unified method.</w:t>
      </w:r>
    </w:p>
    <w:p w14:paraId="321F1209" w14:textId="13865EDC" w:rsidR="005265A1" w:rsidRDefault="005265A1" w:rsidP="005265A1">
      <w:pPr>
        <w:pStyle w:val="Heading2"/>
      </w:pPr>
      <w:r w:rsidRPr="005265A1">
        <w:t> </w:t>
      </w:r>
      <w:bookmarkStart w:id="16" w:name="_Toc216898436"/>
      <w:r w:rsidRPr="005265A1">
        <w:t>Strategic Implementation Considerations</w:t>
      </w:r>
      <w:bookmarkEnd w:id="16"/>
    </w:p>
    <w:p w14:paraId="7F4EAE03" w14:textId="419BD882" w:rsidR="005265A1" w:rsidRPr="007E180B" w:rsidRDefault="007E180B" w:rsidP="007E180B">
      <w:pPr>
        <w:jc w:val="both"/>
        <w:rPr>
          <w:rFonts w:ascii="Arial" w:hAnsi="Arial" w:cs="Arial"/>
          <w:sz w:val="24"/>
          <w:szCs w:val="24"/>
        </w:rPr>
      </w:pPr>
      <w:r w:rsidRPr="007E180B">
        <w:rPr>
          <w:rFonts w:ascii="Arial" w:hAnsi="Arial" w:cs="Arial"/>
          <w:sz w:val="24"/>
          <w:szCs w:val="24"/>
        </w:rPr>
        <w:t>The hybrid approach is not immune to 'boundary spanning' challenges (Levina and Vaast</w:t>
      </w:r>
      <w:r w:rsidR="00F122C3">
        <w:rPr>
          <w:rFonts w:ascii="Arial" w:hAnsi="Arial" w:cs="Arial"/>
          <w:sz w:val="24"/>
          <w:szCs w:val="24"/>
        </w:rPr>
        <w:t xml:space="preserve">, </w:t>
      </w:r>
      <w:r w:rsidRPr="007E180B">
        <w:rPr>
          <w:rFonts w:ascii="Arial" w:hAnsi="Arial" w:cs="Arial"/>
          <w:sz w:val="24"/>
          <w:szCs w:val="24"/>
        </w:rPr>
        <w:t>2005). Managing the friction between internal teams and external contractors</w:t>
      </w:r>
      <w:r w:rsidRPr="007E180B">
        <w:rPr>
          <w:rFonts w:ascii="Arial" w:hAnsi="Arial" w:cs="Arial"/>
          <w:sz w:val="24"/>
          <w:szCs w:val="24"/>
        </w:rPr>
        <w:t xml:space="preserve"> </w:t>
      </w:r>
      <w:r w:rsidRPr="007E180B">
        <w:rPr>
          <w:rFonts w:ascii="Arial" w:hAnsi="Arial" w:cs="Arial"/>
          <w:sz w:val="24"/>
          <w:szCs w:val="24"/>
        </w:rPr>
        <w:t>each with distinct cultures and incentive structures</w:t>
      </w:r>
      <w:r w:rsidRPr="007E180B">
        <w:rPr>
          <w:rFonts w:ascii="Arial" w:hAnsi="Arial" w:cs="Arial"/>
          <w:sz w:val="24"/>
          <w:szCs w:val="24"/>
        </w:rPr>
        <w:t xml:space="preserve"> </w:t>
      </w:r>
      <w:r w:rsidRPr="007E180B">
        <w:rPr>
          <w:rFonts w:ascii="Arial" w:hAnsi="Arial" w:cs="Arial"/>
          <w:sz w:val="24"/>
          <w:szCs w:val="24"/>
        </w:rPr>
        <w:t>creates coordination risks. However, when an organisation possesses strong program management and can clearly define interfaces, the hybrid model is highly effective. Apple’s development of the iPhone exemplifies this; by maintaining internal control over design and software while outsourcing component production to specialised suppliers, Apple successfully integrated disparate efforts through sophisticated 'supply chain orchestration' (Linden, Kraemer and Dedrick</w:t>
      </w:r>
      <w:r w:rsidR="00F122C3">
        <w:rPr>
          <w:rFonts w:ascii="Arial" w:hAnsi="Arial" w:cs="Arial"/>
          <w:sz w:val="24"/>
          <w:szCs w:val="24"/>
        </w:rPr>
        <w:t xml:space="preserve">, </w:t>
      </w:r>
      <w:r w:rsidRPr="007E180B">
        <w:rPr>
          <w:rFonts w:ascii="Arial" w:hAnsi="Arial" w:cs="Arial"/>
          <w:sz w:val="24"/>
          <w:szCs w:val="24"/>
        </w:rPr>
        <w:t>2009). Ultimately, success depends on the organisation’s investment in 'interface management' expertise</w:t>
      </w:r>
      <w:r w:rsidRPr="007E180B">
        <w:rPr>
          <w:rFonts w:ascii="Arial" w:hAnsi="Arial" w:cs="Arial"/>
          <w:sz w:val="24"/>
          <w:szCs w:val="24"/>
        </w:rPr>
        <w:t xml:space="preserve"> </w:t>
      </w:r>
      <w:r w:rsidRPr="007E180B">
        <w:rPr>
          <w:rFonts w:ascii="Arial" w:hAnsi="Arial" w:cs="Arial"/>
          <w:sz w:val="24"/>
          <w:szCs w:val="24"/>
        </w:rPr>
        <w:t>a capability frequently underestimated in traditional procurement analysis.</w:t>
      </w:r>
    </w:p>
    <w:p w14:paraId="47EB1ACA" w14:textId="7CB55F8D" w:rsidR="005265A1" w:rsidRDefault="00860B72" w:rsidP="007E78E6">
      <w:pPr>
        <w:pStyle w:val="Heading1"/>
      </w:pPr>
      <w:r w:rsidRPr="00860B72">
        <w:t> </w:t>
      </w:r>
      <w:bookmarkStart w:id="17" w:name="_Toc216898437"/>
      <w:r w:rsidRPr="00860B72">
        <w:t>Contextual Analysis and Strategic Implications</w:t>
      </w:r>
      <w:bookmarkEnd w:id="17"/>
    </w:p>
    <w:p w14:paraId="25B1ED99" w14:textId="779C4A5E" w:rsidR="0035756D" w:rsidRPr="002D063B" w:rsidRDefault="00291B6F" w:rsidP="002D063B">
      <w:pPr>
        <w:jc w:val="both"/>
        <w:rPr>
          <w:rFonts w:ascii="Arial" w:hAnsi="Arial" w:cs="Arial"/>
          <w:sz w:val="24"/>
          <w:szCs w:val="24"/>
        </w:rPr>
      </w:pPr>
      <w:r w:rsidRPr="00291B6F">
        <w:rPr>
          <w:rFonts w:ascii="Arial" w:hAnsi="Arial" w:cs="Arial"/>
          <w:sz w:val="24"/>
          <w:szCs w:val="24"/>
        </w:rPr>
        <w:t xml:space="preserve">The choice among contracting methods cannot be reduced to simple decision matrices. Real-world effectiveness depends on complex interactions between project characteristics and organizational capabilities. The London 2012 Olympics succeeded despite enormous complexity because the organizing committee utilized a 'Delivery Partner' model and the NEC3 contract suite, matching the strategy to their </w:t>
      </w:r>
      <w:r w:rsidRPr="00291B6F">
        <w:rPr>
          <w:rFonts w:ascii="Arial" w:hAnsi="Arial" w:cs="Arial"/>
          <w:sz w:val="24"/>
          <w:szCs w:val="24"/>
        </w:rPr>
        <w:lastRenderedPageBreak/>
        <w:t>sophisticated program management capabilities (Stuart</w:t>
      </w:r>
      <w:r w:rsidR="001251E0">
        <w:rPr>
          <w:rFonts w:ascii="Arial" w:hAnsi="Arial" w:cs="Arial"/>
          <w:sz w:val="24"/>
          <w:szCs w:val="24"/>
        </w:rPr>
        <w:t xml:space="preserve">, </w:t>
      </w:r>
      <w:r w:rsidRPr="00291B6F">
        <w:rPr>
          <w:rFonts w:ascii="Arial" w:hAnsi="Arial" w:cs="Arial"/>
          <w:sz w:val="24"/>
          <w:szCs w:val="24"/>
        </w:rPr>
        <w:t>2012). Furthermore, organizational maturity significantly influences effectiveness; as research suggests, mature organizations can successfully navigate complex hybrid approaches that would fail in less capable hands (Mullaly</w:t>
      </w:r>
      <w:r w:rsidR="001251E0">
        <w:rPr>
          <w:rFonts w:ascii="Arial" w:hAnsi="Arial" w:cs="Arial"/>
          <w:sz w:val="24"/>
          <w:szCs w:val="24"/>
        </w:rPr>
        <w:t xml:space="preserve">, </w:t>
      </w:r>
      <w:r w:rsidRPr="00291B6F">
        <w:rPr>
          <w:rFonts w:ascii="Arial" w:hAnsi="Arial" w:cs="Arial"/>
          <w:sz w:val="24"/>
          <w:szCs w:val="24"/>
        </w:rPr>
        <w:t>2006). Ultimately, contracting is a strategic tool that must be calibrated to the firm's internal 'resource-based' strengths rather than just the project's technical requirements.</w:t>
      </w:r>
    </w:p>
    <w:p w14:paraId="59A12F9E" w14:textId="77777777" w:rsidR="001251E0" w:rsidRDefault="00860B72" w:rsidP="001251E0">
      <w:pPr>
        <w:pStyle w:val="Heading2"/>
      </w:pPr>
      <w:bookmarkStart w:id="18" w:name="_Toc216898438"/>
      <w:r w:rsidRPr="00860B72">
        <w:t>Project Complexity and Organizational Maturity</w:t>
      </w:r>
      <w:bookmarkEnd w:id="18"/>
      <w:r w:rsidRPr="00860B72">
        <w:t xml:space="preserve"> </w:t>
      </w:r>
    </w:p>
    <w:p w14:paraId="54F41A3C" w14:textId="2E2D2ED4" w:rsidR="001251E0" w:rsidRPr="001251E0" w:rsidRDefault="001251E0" w:rsidP="001251E0">
      <w:pPr>
        <w:rPr>
          <w:rFonts w:ascii="Arial" w:eastAsiaTheme="majorEastAsia" w:hAnsi="Arial" w:cs="Arial"/>
          <w:color w:val="0F4761" w:themeColor="accent1" w:themeShade="BF"/>
          <w:sz w:val="24"/>
          <w:szCs w:val="24"/>
        </w:rPr>
      </w:pPr>
      <w:r w:rsidRPr="001251E0">
        <w:rPr>
          <w:rFonts w:ascii="Arial" w:hAnsi="Arial" w:cs="Arial"/>
          <w:sz w:val="24"/>
          <w:szCs w:val="24"/>
        </w:rPr>
        <w:t xml:space="preserve">Market conditions and contractor availability exert significant influence </w:t>
      </w:r>
      <w:r w:rsidRPr="001251E0">
        <w:rPr>
          <w:rFonts w:ascii="Arial" w:hAnsi="Arial" w:cs="Arial"/>
          <w:sz w:val="24"/>
          <w:szCs w:val="24"/>
        </w:rPr>
        <w:t>on optimal</w:t>
      </w:r>
      <w:r w:rsidRPr="001251E0">
        <w:rPr>
          <w:rFonts w:ascii="Arial" w:hAnsi="Arial" w:cs="Arial"/>
          <w:sz w:val="24"/>
          <w:szCs w:val="24"/>
        </w:rPr>
        <w:t xml:space="preserve"> contracting choices. Based on Resource Dependency Theory, during construction booms, the scarcity of Turnkey contractors may force organizations into </w:t>
      </w:r>
      <w:proofErr w:type="spellStart"/>
      <w:r w:rsidRPr="001251E0">
        <w:rPr>
          <w:rFonts w:ascii="Arial" w:hAnsi="Arial" w:cs="Arial"/>
          <w:sz w:val="24"/>
          <w:szCs w:val="24"/>
        </w:rPr>
        <w:t>Multicontract</w:t>
      </w:r>
      <w:proofErr w:type="spellEnd"/>
      <w:r w:rsidRPr="001251E0">
        <w:rPr>
          <w:rFonts w:ascii="Arial" w:hAnsi="Arial" w:cs="Arial"/>
          <w:sz w:val="24"/>
          <w:szCs w:val="24"/>
        </w:rPr>
        <w:t xml:space="preserve"> approaches regardless of internal coordination capabilities (Pfeffer and </w:t>
      </w:r>
      <w:proofErr w:type="spellStart"/>
      <w:r w:rsidRPr="001251E0">
        <w:rPr>
          <w:rFonts w:ascii="Arial" w:hAnsi="Arial" w:cs="Arial"/>
          <w:sz w:val="24"/>
          <w:szCs w:val="24"/>
        </w:rPr>
        <w:t>Salancik</w:t>
      </w:r>
      <w:proofErr w:type="spellEnd"/>
      <w:r>
        <w:rPr>
          <w:rFonts w:ascii="Arial" w:hAnsi="Arial" w:cs="Arial"/>
          <w:sz w:val="24"/>
          <w:szCs w:val="24"/>
        </w:rPr>
        <w:t>,</w:t>
      </w:r>
      <w:r w:rsidRPr="001251E0">
        <w:rPr>
          <w:rFonts w:ascii="Arial" w:hAnsi="Arial" w:cs="Arial"/>
          <w:sz w:val="24"/>
          <w:szCs w:val="24"/>
        </w:rPr>
        <w:t xml:space="preserve"> 2003). Conversely, economic downturns can shift power back to the client, making fixed-price Turnkey models highly competitive.</w:t>
      </w:r>
    </w:p>
    <w:p w14:paraId="36356F5F" w14:textId="166A41C0" w:rsidR="001251E0" w:rsidRPr="001251E0" w:rsidRDefault="001251E0" w:rsidP="001251E0">
      <w:pPr>
        <w:rPr>
          <w:rFonts w:ascii="Arial" w:hAnsi="Arial" w:cs="Arial"/>
          <w:sz w:val="24"/>
          <w:szCs w:val="24"/>
        </w:rPr>
      </w:pPr>
      <w:r w:rsidRPr="001251E0">
        <w:rPr>
          <w:rFonts w:ascii="Arial" w:hAnsi="Arial" w:cs="Arial"/>
          <w:sz w:val="24"/>
          <w:szCs w:val="24"/>
        </w:rPr>
        <w:t>A critical yet overlooked factor is the temporal dimension. Research on Path Dependency suggests that contracting methods optimal at project inception can become suboptimal as conditions shift; however, the 'switching costs'—both financial and legal—often lead to a 'lock-in' effect where continuation of a flawed method is cheaper than reform (Garud and Karnøe</w:t>
      </w:r>
      <w:r>
        <w:rPr>
          <w:rFonts w:ascii="Arial" w:hAnsi="Arial" w:cs="Arial"/>
          <w:sz w:val="24"/>
          <w:szCs w:val="24"/>
        </w:rPr>
        <w:t>,</w:t>
      </w:r>
      <w:r w:rsidRPr="001251E0">
        <w:rPr>
          <w:rFonts w:ascii="Arial" w:hAnsi="Arial" w:cs="Arial"/>
          <w:sz w:val="24"/>
          <w:szCs w:val="24"/>
        </w:rPr>
        <w:t xml:space="preserve"> 2001). Therefore, strategic contracting requires not just an analysis of current needs, but a forecast of market volatility over the project's lifecycle.</w:t>
      </w:r>
    </w:p>
    <w:p w14:paraId="6A0880C6" w14:textId="6B47A297" w:rsidR="00860B72" w:rsidRPr="001251E0" w:rsidRDefault="00860B72" w:rsidP="001251E0">
      <w:pPr>
        <w:pStyle w:val="Heading2"/>
      </w:pPr>
      <w:bookmarkStart w:id="19" w:name="_Toc216898439"/>
      <w:r w:rsidRPr="001251E0">
        <w:t>Market Conditions and Temporal Dynamics</w:t>
      </w:r>
      <w:bookmarkEnd w:id="19"/>
    </w:p>
    <w:p w14:paraId="734FB520" w14:textId="67116AFA" w:rsidR="00F122C3" w:rsidRPr="00F122C3" w:rsidRDefault="00F122C3" w:rsidP="00F122C3">
      <w:pPr>
        <w:jc w:val="both"/>
        <w:rPr>
          <w:rFonts w:ascii="Arial" w:hAnsi="Arial" w:cs="Arial"/>
          <w:sz w:val="24"/>
          <w:szCs w:val="24"/>
        </w:rPr>
      </w:pPr>
      <w:r w:rsidRPr="00F122C3">
        <w:rPr>
          <w:rFonts w:ascii="Arial" w:hAnsi="Arial" w:cs="Arial"/>
          <w:sz w:val="24"/>
          <w:szCs w:val="24"/>
        </w:rPr>
        <w:t xml:space="preserve">Optimal contracting is dictated by external market cycles and internal trajectory. Under Resource Dependency Theory, procurement choices respond to resource scarcity: construction booms often force a shift toward </w:t>
      </w:r>
      <w:proofErr w:type="spellStart"/>
      <w:r w:rsidRPr="00F122C3">
        <w:rPr>
          <w:rFonts w:ascii="Arial" w:hAnsi="Arial" w:cs="Arial"/>
          <w:sz w:val="24"/>
          <w:szCs w:val="24"/>
        </w:rPr>
        <w:t>Multicontract</w:t>
      </w:r>
      <w:proofErr w:type="spellEnd"/>
      <w:r w:rsidRPr="00F122C3">
        <w:rPr>
          <w:rFonts w:ascii="Arial" w:hAnsi="Arial" w:cs="Arial"/>
          <w:sz w:val="24"/>
          <w:szCs w:val="24"/>
        </w:rPr>
        <w:t xml:space="preserve"> approaches due to the unavailability of Turnkey contractors, whereas downturns allow clients to secure competitive Turnkey deals as contractors absorb more risk (Pfeffer and </w:t>
      </w:r>
      <w:proofErr w:type="spellStart"/>
      <w:r w:rsidRPr="00F122C3">
        <w:rPr>
          <w:rFonts w:ascii="Arial" w:hAnsi="Arial" w:cs="Arial"/>
          <w:sz w:val="24"/>
          <w:szCs w:val="24"/>
        </w:rPr>
        <w:t>Salancik</w:t>
      </w:r>
      <w:proofErr w:type="spellEnd"/>
      <w:r w:rsidRPr="00F122C3">
        <w:rPr>
          <w:rFonts w:ascii="Arial" w:hAnsi="Arial" w:cs="Arial"/>
          <w:sz w:val="24"/>
          <w:szCs w:val="24"/>
        </w:rPr>
        <w:t>,</w:t>
      </w:r>
      <w:r w:rsidRPr="00F122C3">
        <w:rPr>
          <w:rFonts w:ascii="Arial" w:hAnsi="Arial" w:cs="Arial"/>
          <w:sz w:val="24"/>
          <w:szCs w:val="24"/>
        </w:rPr>
        <w:t xml:space="preserve"> 2003</w:t>
      </w:r>
      <w:r w:rsidRPr="00F122C3">
        <w:rPr>
          <w:rFonts w:ascii="Arial" w:hAnsi="Arial" w:cs="Arial"/>
          <w:sz w:val="24"/>
          <w:szCs w:val="24"/>
        </w:rPr>
        <w:t xml:space="preserve"> and</w:t>
      </w:r>
      <w:r w:rsidRPr="00F122C3">
        <w:rPr>
          <w:rFonts w:ascii="Arial" w:hAnsi="Arial" w:cs="Arial"/>
          <w:sz w:val="24"/>
          <w:szCs w:val="24"/>
        </w:rPr>
        <w:t xml:space="preserve"> Ball</w:t>
      </w:r>
      <w:r w:rsidRPr="00F122C3">
        <w:rPr>
          <w:rFonts w:ascii="Arial" w:hAnsi="Arial" w:cs="Arial"/>
          <w:sz w:val="24"/>
          <w:szCs w:val="24"/>
        </w:rPr>
        <w:t>,</w:t>
      </w:r>
      <w:r w:rsidRPr="00F122C3">
        <w:rPr>
          <w:rFonts w:ascii="Arial" w:hAnsi="Arial" w:cs="Arial"/>
          <w:sz w:val="24"/>
          <w:szCs w:val="24"/>
        </w:rPr>
        <w:t xml:space="preserve"> 2014).</w:t>
      </w:r>
      <w:r w:rsidRPr="00F122C3">
        <w:rPr>
          <w:rFonts w:ascii="Arial" w:hAnsi="Arial" w:cs="Arial"/>
          <w:sz w:val="24"/>
          <w:szCs w:val="24"/>
        </w:rPr>
        <w:t xml:space="preserve"> </w:t>
      </w:r>
      <w:r w:rsidRPr="00F122C3">
        <w:rPr>
          <w:rFonts w:ascii="Arial" w:hAnsi="Arial" w:cs="Arial"/>
          <w:sz w:val="24"/>
          <w:szCs w:val="24"/>
        </w:rPr>
        <w:t>Temporally, projects face Path Dependency; methods optimal at initiation may become inefficient, yet high "switching costs"—legal friction and lost momentum—often "lock" organizations into suboptimal paths (Garud and Karnøe</w:t>
      </w:r>
      <w:r w:rsidRPr="00F122C3">
        <w:rPr>
          <w:rFonts w:ascii="Arial" w:hAnsi="Arial" w:cs="Arial"/>
          <w:sz w:val="24"/>
          <w:szCs w:val="24"/>
        </w:rPr>
        <w:t>,</w:t>
      </w:r>
      <w:r w:rsidRPr="00F122C3">
        <w:rPr>
          <w:rFonts w:ascii="Arial" w:hAnsi="Arial" w:cs="Arial"/>
          <w:sz w:val="24"/>
          <w:szCs w:val="24"/>
        </w:rPr>
        <w:t xml:space="preserve"> 2001). Mitigating this requires contractual flexibility and relational norms (</w:t>
      </w:r>
      <w:proofErr w:type="spellStart"/>
      <w:r w:rsidRPr="00F122C3">
        <w:rPr>
          <w:rFonts w:ascii="Arial" w:hAnsi="Arial" w:cs="Arial"/>
          <w:sz w:val="24"/>
          <w:szCs w:val="24"/>
        </w:rPr>
        <w:t>Colledge</w:t>
      </w:r>
      <w:proofErr w:type="spellEnd"/>
      <w:r w:rsidRPr="00F122C3">
        <w:rPr>
          <w:rFonts w:ascii="Arial" w:hAnsi="Arial" w:cs="Arial"/>
          <w:sz w:val="24"/>
          <w:szCs w:val="24"/>
        </w:rPr>
        <w:t xml:space="preserve">, </w:t>
      </w:r>
      <w:r w:rsidRPr="00F122C3">
        <w:rPr>
          <w:rFonts w:ascii="Arial" w:hAnsi="Arial" w:cs="Arial"/>
          <w:sz w:val="24"/>
          <w:szCs w:val="24"/>
        </w:rPr>
        <w:t>2005)</w:t>
      </w:r>
      <w:r w:rsidRPr="00F122C3">
        <w:rPr>
          <w:rFonts w:ascii="Arial" w:hAnsi="Arial" w:cs="Arial"/>
          <w:sz w:val="24"/>
          <w:szCs w:val="24"/>
        </w:rPr>
        <w:t>.</w:t>
      </w:r>
    </w:p>
    <w:p w14:paraId="70469DF3" w14:textId="589BFD42" w:rsidR="00A87158" w:rsidRDefault="00F122C3" w:rsidP="00F122C3">
      <w:pPr>
        <w:pStyle w:val="Heading2"/>
      </w:pPr>
      <w:bookmarkStart w:id="20" w:name="_Toc216898440"/>
      <w:r w:rsidRPr="00F122C3">
        <w:rPr>
          <w:rFonts w:ascii="Arial" w:eastAsiaTheme="minorHAnsi" w:hAnsi="Arial" w:cs="Arial"/>
          <w:color w:val="auto"/>
          <w:sz w:val="24"/>
          <w:szCs w:val="24"/>
        </w:rPr>
        <w:t>.</w:t>
      </w:r>
      <w:r w:rsidR="007E78E6" w:rsidRPr="007E78E6">
        <w:t>Decision Framework Evolution</w:t>
      </w:r>
      <w:bookmarkEnd w:id="20"/>
    </w:p>
    <w:p w14:paraId="34B99BC4" w14:textId="3ED0547E" w:rsidR="00FD1FC0" w:rsidRPr="00FD1FC0" w:rsidRDefault="00FD1FC0" w:rsidP="00FD1FC0">
      <w:pPr>
        <w:rPr>
          <w:rFonts w:ascii="Arial" w:hAnsi="Arial" w:cs="Arial"/>
          <w:sz w:val="24"/>
          <w:szCs w:val="24"/>
        </w:rPr>
      </w:pPr>
      <w:r w:rsidRPr="00FD1FC0">
        <w:rPr>
          <w:rFonts w:ascii="Arial" w:hAnsi="Arial" w:cs="Arial"/>
          <w:sz w:val="24"/>
          <w:szCs w:val="24"/>
        </w:rPr>
        <w:t xml:space="preserve">The selection of a contracting model depends on the alignment between project scope and internal capability. For a corporate headquarters build, a firm lacking construction expertise may prioritize a Turnkey model for its "hassle-free" single-point responsibility. Conversely, a firm with mature in-house project management may select a </w:t>
      </w:r>
      <w:proofErr w:type="spellStart"/>
      <w:r w:rsidRPr="00FD1FC0">
        <w:rPr>
          <w:rFonts w:ascii="Arial" w:hAnsi="Arial" w:cs="Arial"/>
          <w:sz w:val="24"/>
          <w:szCs w:val="24"/>
        </w:rPr>
        <w:t>Multicontract</w:t>
      </w:r>
      <w:proofErr w:type="spellEnd"/>
      <w:r w:rsidRPr="00FD1FC0">
        <w:rPr>
          <w:rFonts w:ascii="Arial" w:hAnsi="Arial" w:cs="Arial"/>
          <w:sz w:val="24"/>
          <w:szCs w:val="24"/>
        </w:rPr>
        <w:t xml:space="preserve"> approach to retain granular control over design and materials (Walker 2015).</w:t>
      </w:r>
      <w:r>
        <w:rPr>
          <w:rFonts w:ascii="Arial" w:hAnsi="Arial" w:cs="Arial"/>
          <w:sz w:val="24"/>
          <w:szCs w:val="24"/>
        </w:rPr>
        <w:t xml:space="preserve"> </w:t>
      </w:r>
      <w:r w:rsidRPr="00FD1FC0">
        <w:rPr>
          <w:rFonts w:ascii="Arial" w:hAnsi="Arial" w:cs="Arial"/>
          <w:sz w:val="24"/>
          <w:szCs w:val="24"/>
        </w:rPr>
        <w:t xml:space="preserve">Small-scale renovations with skilled internal staff </w:t>
      </w:r>
      <w:proofErr w:type="spellStart"/>
      <w:r w:rsidRPr="00FD1FC0">
        <w:rPr>
          <w:rFonts w:ascii="Arial" w:hAnsi="Arial" w:cs="Arial"/>
          <w:sz w:val="24"/>
          <w:szCs w:val="24"/>
        </w:rPr>
        <w:t>favor</w:t>
      </w:r>
      <w:proofErr w:type="spellEnd"/>
      <w:r w:rsidRPr="00FD1FC0">
        <w:rPr>
          <w:rFonts w:ascii="Arial" w:hAnsi="Arial" w:cs="Arial"/>
          <w:sz w:val="24"/>
          <w:szCs w:val="24"/>
        </w:rPr>
        <w:t xml:space="preserve"> a DIY approach for efficiency, while complex projects often necessitate a Hybrid model. For instance, a firm might retain internal control over strategic IT infrastructure (DIY) while outsourcing specialized HVAC and structural systems (</w:t>
      </w:r>
      <w:proofErr w:type="spellStart"/>
      <w:r w:rsidRPr="00FD1FC0">
        <w:rPr>
          <w:rFonts w:ascii="Arial" w:hAnsi="Arial" w:cs="Arial"/>
          <w:sz w:val="24"/>
          <w:szCs w:val="24"/>
        </w:rPr>
        <w:t>Multicontract</w:t>
      </w:r>
      <w:proofErr w:type="spellEnd"/>
      <w:r w:rsidRPr="00FD1FC0">
        <w:rPr>
          <w:rFonts w:ascii="Arial" w:hAnsi="Arial" w:cs="Arial"/>
          <w:sz w:val="24"/>
          <w:szCs w:val="24"/>
        </w:rPr>
        <w:t xml:space="preserve">). This evolution demonstrates that the optimal framework is not static </w:t>
      </w:r>
      <w:r w:rsidRPr="00FD1FC0">
        <w:rPr>
          <w:rFonts w:ascii="Arial" w:hAnsi="Arial" w:cs="Arial"/>
          <w:sz w:val="24"/>
          <w:szCs w:val="24"/>
        </w:rPr>
        <w:lastRenderedPageBreak/>
        <w:t>but is a strategic "make-versus-buy" decision based on core competency alignment (Wysocki</w:t>
      </w:r>
      <w:r>
        <w:rPr>
          <w:rFonts w:ascii="Arial" w:hAnsi="Arial" w:cs="Arial"/>
          <w:sz w:val="24"/>
          <w:szCs w:val="24"/>
        </w:rPr>
        <w:t xml:space="preserve">, </w:t>
      </w:r>
      <w:r w:rsidRPr="00FD1FC0">
        <w:rPr>
          <w:rFonts w:ascii="Arial" w:hAnsi="Arial" w:cs="Arial"/>
          <w:sz w:val="24"/>
          <w:szCs w:val="24"/>
        </w:rPr>
        <w:t>2014).</w:t>
      </w:r>
    </w:p>
    <w:p w14:paraId="689F7EE8" w14:textId="77777777" w:rsidR="00423C98" w:rsidRDefault="00513D6C" w:rsidP="00423C98">
      <w:pPr>
        <w:pStyle w:val="Heading1"/>
      </w:pPr>
      <w:bookmarkStart w:id="21" w:name="_Toc216898441"/>
      <w:r w:rsidRPr="00513D6C">
        <w:t>Conclusion</w:t>
      </w:r>
      <w:bookmarkEnd w:id="21"/>
    </w:p>
    <w:p w14:paraId="4AB7E516" w14:textId="3F9595C5" w:rsidR="00423C98" w:rsidRPr="00423C98" w:rsidRDefault="00423C98" w:rsidP="00423C98">
      <w:pPr>
        <w:jc w:val="both"/>
        <w:rPr>
          <w:rFonts w:ascii="Arial" w:eastAsiaTheme="majorEastAsia" w:hAnsi="Arial" w:cs="Arial"/>
          <w:color w:val="0F4761" w:themeColor="accent1" w:themeShade="BF"/>
          <w:sz w:val="24"/>
          <w:szCs w:val="24"/>
        </w:rPr>
      </w:pPr>
      <w:r w:rsidRPr="00423C98">
        <w:rPr>
          <w:rFonts w:ascii="Arial" w:hAnsi="Arial" w:cs="Arial"/>
          <w:sz w:val="24"/>
          <w:szCs w:val="24"/>
        </w:rPr>
        <w:t>In summary, this analysis finds that there is no one-size-fits-all answer to which method is best for successfully completing a project. What appears simple (Turnkey) may end up concentrating risks and shrinking long-term payback due to its rigid interfaces. Similarly, what seems theoretically efficient (</w:t>
      </w:r>
      <w:proofErr w:type="spellStart"/>
      <w:r w:rsidRPr="00423C98">
        <w:rPr>
          <w:rFonts w:ascii="Arial" w:hAnsi="Arial" w:cs="Arial"/>
          <w:sz w:val="24"/>
          <w:szCs w:val="24"/>
        </w:rPr>
        <w:t>Multicontract</w:t>
      </w:r>
      <w:proofErr w:type="spellEnd"/>
      <w:r w:rsidRPr="00423C98">
        <w:rPr>
          <w:rFonts w:ascii="Arial" w:hAnsi="Arial" w:cs="Arial"/>
          <w:sz w:val="24"/>
          <w:szCs w:val="24"/>
        </w:rPr>
        <w:t>) for controlling costs and managing risks all too often collapses under the weight of poor inter-party coordination. Conversely, while delivering complete internal control (DIY), it typically fails to deliver expected savings owing to missing capabilities and lost opportunities. And the Hybrid? A flexible "goldilocks" that comes at the price of multiple interface-management demands on the Organisation... Context matters! Rather than reverting to any favourite methodology, practitioners need to begin by diagnosing their organisations' specific strengths, identify where key interactions take place and ensure contracts are aligned with top-line aspirations - not vice versa! This research advocates for the application of a more sensible and dynamic approach, having regard to evolution as well as context. Given the evidence gathered here (from past megaprojects), combined with strong Governance, choose your contracting strategy accordingly (and be prepared to adjust, as you go along).</w:t>
      </w:r>
    </w:p>
    <w:p w14:paraId="7B5956E9" w14:textId="3A077247" w:rsidR="0077274F" w:rsidRDefault="00513D6C" w:rsidP="0077274F">
      <w:pPr>
        <w:pStyle w:val="Heading1"/>
      </w:pPr>
      <w:bookmarkStart w:id="22" w:name="_Toc216898442"/>
      <w:r w:rsidRPr="00513D6C">
        <w:t>References</w:t>
      </w:r>
      <w:bookmarkEnd w:id="22"/>
    </w:p>
    <w:p w14:paraId="44ABB812" w14:textId="77777777" w:rsidR="00D77879" w:rsidRPr="007A10F1" w:rsidRDefault="00D77879" w:rsidP="00D77879">
      <w:pPr>
        <w:jc w:val="both"/>
        <w:rPr>
          <w:rFonts w:ascii="Arial" w:hAnsi="Arial" w:cs="Arial"/>
          <w:sz w:val="24"/>
          <w:szCs w:val="24"/>
        </w:rPr>
      </w:pPr>
    </w:p>
    <w:p w14:paraId="0AC17192"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Baccarini, D., 1996. The concept of project complexity—a review. </w:t>
      </w:r>
      <w:r w:rsidRPr="007A10F1">
        <w:rPr>
          <w:rFonts w:ascii="Arial" w:hAnsi="Arial" w:cs="Arial"/>
          <w:i/>
          <w:iCs/>
          <w:sz w:val="24"/>
          <w:szCs w:val="24"/>
        </w:rPr>
        <w:t>International journal of project management</w:t>
      </w:r>
      <w:r w:rsidRPr="007A10F1">
        <w:rPr>
          <w:rFonts w:ascii="Arial" w:hAnsi="Arial" w:cs="Arial"/>
          <w:sz w:val="24"/>
          <w:szCs w:val="24"/>
        </w:rPr>
        <w:t>, </w:t>
      </w:r>
      <w:r w:rsidRPr="007A10F1">
        <w:rPr>
          <w:rFonts w:ascii="Arial" w:hAnsi="Arial" w:cs="Arial"/>
          <w:i/>
          <w:iCs/>
          <w:sz w:val="24"/>
          <w:szCs w:val="24"/>
        </w:rPr>
        <w:t>14</w:t>
      </w:r>
      <w:r w:rsidRPr="007A10F1">
        <w:rPr>
          <w:rFonts w:ascii="Arial" w:hAnsi="Arial" w:cs="Arial"/>
          <w:sz w:val="24"/>
          <w:szCs w:val="24"/>
        </w:rPr>
        <w:t>(4), pp.201-204.</w:t>
      </w:r>
    </w:p>
    <w:p w14:paraId="3A2E9826"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Ball, M., 2014. Rebuilding construction (Routledge revivals): Economic change in the British construction industry. Routledge.</w:t>
      </w:r>
    </w:p>
    <w:p w14:paraId="288FC6CB"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Basu, B. (2007) ‘The Google Story’, </w:t>
      </w:r>
      <w:r w:rsidRPr="007A10F1">
        <w:rPr>
          <w:rFonts w:ascii="Arial" w:hAnsi="Arial" w:cs="Arial"/>
          <w:i/>
          <w:iCs/>
          <w:sz w:val="24"/>
          <w:szCs w:val="24"/>
        </w:rPr>
        <w:t>South Asian journal of management</w:t>
      </w:r>
      <w:r w:rsidRPr="007A10F1">
        <w:rPr>
          <w:rFonts w:ascii="Arial" w:hAnsi="Arial" w:cs="Arial"/>
          <w:sz w:val="24"/>
          <w:szCs w:val="24"/>
        </w:rPr>
        <w:t>. New Delhi: AMDISA Secretariat, p. 150.</w:t>
      </w:r>
    </w:p>
    <w:p w14:paraId="2ECA1D2F"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Bloch, M., Blumberg, S. and </w:t>
      </w:r>
      <w:proofErr w:type="spellStart"/>
      <w:r w:rsidRPr="007A10F1">
        <w:rPr>
          <w:rFonts w:ascii="Arial" w:hAnsi="Arial" w:cs="Arial"/>
          <w:sz w:val="24"/>
          <w:szCs w:val="24"/>
        </w:rPr>
        <w:t>Laartz</w:t>
      </w:r>
      <w:proofErr w:type="spellEnd"/>
      <w:r w:rsidRPr="007A10F1">
        <w:rPr>
          <w:rFonts w:ascii="Arial" w:hAnsi="Arial" w:cs="Arial"/>
          <w:sz w:val="24"/>
          <w:szCs w:val="24"/>
        </w:rPr>
        <w:t>, J., 2012. Delivering large-scale IT projects on time, on budget, and on value. </w:t>
      </w:r>
      <w:r w:rsidRPr="007A10F1">
        <w:rPr>
          <w:rFonts w:ascii="Arial" w:hAnsi="Arial" w:cs="Arial"/>
          <w:i/>
          <w:iCs/>
          <w:sz w:val="24"/>
          <w:szCs w:val="24"/>
        </w:rPr>
        <w:t>Harvard Business Review</w:t>
      </w:r>
      <w:r w:rsidRPr="007A10F1">
        <w:rPr>
          <w:rFonts w:ascii="Arial" w:hAnsi="Arial" w:cs="Arial"/>
          <w:sz w:val="24"/>
          <w:szCs w:val="24"/>
        </w:rPr>
        <w:t>, </w:t>
      </w:r>
      <w:r w:rsidRPr="007A10F1">
        <w:rPr>
          <w:rFonts w:ascii="Arial" w:hAnsi="Arial" w:cs="Arial"/>
          <w:i/>
          <w:iCs/>
          <w:sz w:val="24"/>
          <w:szCs w:val="24"/>
        </w:rPr>
        <w:t>5</w:t>
      </w:r>
      <w:r w:rsidRPr="007A10F1">
        <w:rPr>
          <w:rFonts w:ascii="Arial" w:hAnsi="Arial" w:cs="Arial"/>
          <w:sz w:val="24"/>
          <w:szCs w:val="24"/>
        </w:rPr>
        <w:t>(1), pp.2-7.</w:t>
      </w:r>
    </w:p>
    <w:p w14:paraId="1ACE59D6"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Burke, R., 2013. </w:t>
      </w:r>
      <w:r w:rsidRPr="007A10F1">
        <w:rPr>
          <w:rFonts w:ascii="Arial" w:hAnsi="Arial" w:cs="Arial"/>
          <w:i/>
          <w:iCs/>
          <w:sz w:val="24"/>
          <w:szCs w:val="24"/>
        </w:rPr>
        <w:t>Project management: planning and control techniques</w:t>
      </w:r>
      <w:r w:rsidRPr="007A10F1">
        <w:rPr>
          <w:rFonts w:ascii="Arial" w:hAnsi="Arial" w:cs="Arial"/>
          <w:sz w:val="24"/>
          <w:szCs w:val="24"/>
        </w:rPr>
        <w:t>. John Wiley &amp; Sons.</w:t>
      </w:r>
    </w:p>
    <w:p w14:paraId="79591E56" w14:textId="77777777" w:rsidR="00D77879" w:rsidRPr="007A10F1" w:rsidRDefault="00D77879" w:rsidP="00D77879">
      <w:pPr>
        <w:jc w:val="both"/>
        <w:rPr>
          <w:rFonts w:ascii="Arial" w:hAnsi="Arial" w:cs="Arial"/>
          <w:sz w:val="24"/>
          <w:szCs w:val="24"/>
        </w:rPr>
      </w:pPr>
      <w:proofErr w:type="spellStart"/>
      <w:r w:rsidRPr="007A10F1">
        <w:rPr>
          <w:rFonts w:ascii="Arial" w:hAnsi="Arial" w:cs="Arial"/>
          <w:sz w:val="24"/>
          <w:szCs w:val="24"/>
        </w:rPr>
        <w:t>Colledge</w:t>
      </w:r>
      <w:proofErr w:type="spellEnd"/>
      <w:r w:rsidRPr="007A10F1">
        <w:rPr>
          <w:rFonts w:ascii="Arial" w:hAnsi="Arial" w:cs="Arial"/>
          <w:sz w:val="24"/>
          <w:szCs w:val="24"/>
        </w:rPr>
        <w:t>, B., 2005. Relational contracting: creating value beyond the project. </w:t>
      </w:r>
      <w:r w:rsidRPr="007A10F1">
        <w:rPr>
          <w:rFonts w:ascii="Arial" w:hAnsi="Arial" w:cs="Arial"/>
          <w:i/>
          <w:iCs/>
          <w:sz w:val="24"/>
          <w:szCs w:val="24"/>
        </w:rPr>
        <w:t>Lean construction journal</w:t>
      </w:r>
      <w:r w:rsidRPr="007A10F1">
        <w:rPr>
          <w:rFonts w:ascii="Arial" w:hAnsi="Arial" w:cs="Arial"/>
          <w:sz w:val="24"/>
          <w:szCs w:val="24"/>
        </w:rPr>
        <w:t>, </w:t>
      </w:r>
      <w:r w:rsidRPr="007A10F1">
        <w:rPr>
          <w:rFonts w:ascii="Arial" w:hAnsi="Arial" w:cs="Arial"/>
          <w:i/>
          <w:iCs/>
          <w:sz w:val="24"/>
          <w:szCs w:val="24"/>
        </w:rPr>
        <w:t>2</w:t>
      </w:r>
      <w:r w:rsidRPr="007A10F1">
        <w:rPr>
          <w:rFonts w:ascii="Arial" w:hAnsi="Arial" w:cs="Arial"/>
          <w:sz w:val="24"/>
          <w:szCs w:val="24"/>
        </w:rPr>
        <w:t>(1), pp.30-45.</w:t>
      </w:r>
    </w:p>
    <w:p w14:paraId="6AEDC0E6"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Davies, A., Gann, D. and Douglas, T., 2009. Innovation in megaprojects: systems integration at London Heathrow Terminal 5. </w:t>
      </w:r>
      <w:r w:rsidRPr="007A10F1">
        <w:rPr>
          <w:rFonts w:ascii="Arial" w:hAnsi="Arial" w:cs="Arial"/>
          <w:i/>
          <w:iCs/>
          <w:sz w:val="24"/>
          <w:szCs w:val="24"/>
        </w:rPr>
        <w:t>California management review</w:t>
      </w:r>
      <w:r w:rsidRPr="007A10F1">
        <w:rPr>
          <w:rFonts w:ascii="Arial" w:hAnsi="Arial" w:cs="Arial"/>
          <w:sz w:val="24"/>
          <w:szCs w:val="24"/>
        </w:rPr>
        <w:t>, </w:t>
      </w:r>
      <w:r w:rsidRPr="007A10F1">
        <w:rPr>
          <w:rFonts w:ascii="Arial" w:hAnsi="Arial" w:cs="Arial"/>
          <w:i/>
          <w:iCs/>
          <w:sz w:val="24"/>
          <w:szCs w:val="24"/>
        </w:rPr>
        <w:t>51</w:t>
      </w:r>
      <w:r w:rsidRPr="007A10F1">
        <w:rPr>
          <w:rFonts w:ascii="Arial" w:hAnsi="Arial" w:cs="Arial"/>
          <w:sz w:val="24"/>
          <w:szCs w:val="24"/>
        </w:rPr>
        <w:t>(2), pp.101-125.</w:t>
      </w:r>
    </w:p>
    <w:p w14:paraId="3E0E3AE8"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ELLINOR, R., 2006. Olympic body unveils its outsource plan for games. </w:t>
      </w:r>
      <w:r w:rsidRPr="007A10F1">
        <w:rPr>
          <w:rFonts w:ascii="Arial" w:hAnsi="Arial" w:cs="Arial"/>
          <w:i/>
          <w:iCs/>
          <w:sz w:val="24"/>
          <w:szCs w:val="24"/>
        </w:rPr>
        <w:t>Supply Management, </w:t>
      </w:r>
      <w:r w:rsidRPr="007A10F1">
        <w:rPr>
          <w:rFonts w:ascii="Arial" w:hAnsi="Arial" w:cs="Arial"/>
          <w:b/>
          <w:bCs/>
          <w:sz w:val="24"/>
          <w:szCs w:val="24"/>
        </w:rPr>
        <w:t>11</w:t>
      </w:r>
      <w:r w:rsidRPr="007A10F1">
        <w:rPr>
          <w:rFonts w:ascii="Arial" w:hAnsi="Arial" w:cs="Arial"/>
          <w:sz w:val="24"/>
          <w:szCs w:val="24"/>
        </w:rPr>
        <w:t>(3), pp. 9.</w:t>
      </w:r>
    </w:p>
    <w:p w14:paraId="42F699CB"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lastRenderedPageBreak/>
        <w:t>Flyvbjerg, B., Skamris Holm, M. K. and Buhl, S. L. (2005) ‘How (In)accurate Are Demand Forecasts in Public Works Projects? The Case of Transportation’, </w:t>
      </w:r>
      <w:r w:rsidRPr="007A10F1">
        <w:rPr>
          <w:rFonts w:ascii="Arial" w:hAnsi="Arial" w:cs="Arial"/>
          <w:i/>
          <w:iCs/>
          <w:sz w:val="24"/>
          <w:szCs w:val="24"/>
        </w:rPr>
        <w:t>Journal of the American Planning Association</w:t>
      </w:r>
      <w:r w:rsidRPr="007A10F1">
        <w:rPr>
          <w:rFonts w:ascii="Arial" w:hAnsi="Arial" w:cs="Arial"/>
          <w:sz w:val="24"/>
          <w:szCs w:val="24"/>
        </w:rPr>
        <w:t xml:space="preserve">, 71(2), pp. 131–146. </w:t>
      </w:r>
      <w:proofErr w:type="spellStart"/>
      <w:r w:rsidRPr="007A10F1">
        <w:rPr>
          <w:rFonts w:ascii="Arial" w:hAnsi="Arial" w:cs="Arial"/>
          <w:sz w:val="24"/>
          <w:szCs w:val="24"/>
        </w:rPr>
        <w:t>doi</w:t>
      </w:r>
      <w:proofErr w:type="spellEnd"/>
      <w:r w:rsidRPr="007A10F1">
        <w:rPr>
          <w:rFonts w:ascii="Arial" w:hAnsi="Arial" w:cs="Arial"/>
          <w:sz w:val="24"/>
          <w:szCs w:val="24"/>
        </w:rPr>
        <w:t>: 10.1080/01944360508976688.</w:t>
      </w:r>
    </w:p>
    <w:p w14:paraId="0976CD7A"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Frame, J.D., 2003. </w:t>
      </w:r>
      <w:r w:rsidRPr="007A10F1">
        <w:rPr>
          <w:rFonts w:ascii="Arial" w:hAnsi="Arial" w:cs="Arial"/>
          <w:i/>
          <w:iCs/>
          <w:sz w:val="24"/>
          <w:szCs w:val="24"/>
        </w:rPr>
        <w:t>Managing projects in organizations: how to make the best use of time, techniques, and people</w:t>
      </w:r>
      <w:r w:rsidRPr="007A10F1">
        <w:rPr>
          <w:rFonts w:ascii="Arial" w:hAnsi="Arial" w:cs="Arial"/>
          <w:sz w:val="24"/>
          <w:szCs w:val="24"/>
        </w:rPr>
        <w:t>. John Wiley &amp; Sons.</w:t>
      </w:r>
    </w:p>
    <w:p w14:paraId="2DB574CC"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Garud, R. and Karnoe, P., 2013. </w:t>
      </w:r>
      <w:r w:rsidRPr="007A10F1">
        <w:rPr>
          <w:rFonts w:ascii="Arial" w:hAnsi="Arial" w:cs="Arial"/>
          <w:i/>
          <w:iCs/>
          <w:sz w:val="24"/>
          <w:szCs w:val="24"/>
        </w:rPr>
        <w:t>Path dependence and creation</w:t>
      </w:r>
      <w:r w:rsidRPr="007A10F1">
        <w:rPr>
          <w:rFonts w:ascii="Arial" w:hAnsi="Arial" w:cs="Arial"/>
          <w:sz w:val="24"/>
          <w:szCs w:val="24"/>
        </w:rPr>
        <w:t>. Psychology Press.</w:t>
      </w:r>
    </w:p>
    <w:p w14:paraId="254E87C8"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Goldberg, A. </w:t>
      </w:r>
      <w:r w:rsidRPr="007A10F1">
        <w:rPr>
          <w:rFonts w:ascii="Arial" w:hAnsi="Arial" w:cs="Arial"/>
          <w:i/>
          <w:iCs/>
          <w:sz w:val="24"/>
          <w:szCs w:val="24"/>
        </w:rPr>
        <w:t>et al.</w:t>
      </w:r>
      <w:r w:rsidRPr="007A10F1">
        <w:rPr>
          <w:rFonts w:ascii="Arial" w:hAnsi="Arial" w:cs="Arial"/>
          <w:sz w:val="24"/>
          <w:szCs w:val="24"/>
        </w:rPr>
        <w:t xml:space="preserve"> (2007) </w:t>
      </w:r>
      <w:r w:rsidRPr="007A10F1">
        <w:rPr>
          <w:rFonts w:ascii="Arial" w:hAnsi="Arial" w:cs="Arial"/>
          <w:i/>
          <w:iCs/>
          <w:sz w:val="24"/>
          <w:szCs w:val="24"/>
        </w:rPr>
        <w:t>Pentagon 9/11</w:t>
      </w:r>
      <w:r w:rsidRPr="007A10F1">
        <w:rPr>
          <w:rFonts w:ascii="Arial" w:hAnsi="Arial" w:cs="Arial"/>
          <w:sz w:val="24"/>
          <w:szCs w:val="24"/>
        </w:rPr>
        <w:t>.</w:t>
      </w:r>
    </w:p>
    <w:p w14:paraId="50BBDD0C"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Hughes, W., Champion, R. and Murdoch, J., 2015. </w:t>
      </w:r>
      <w:r w:rsidRPr="007A10F1">
        <w:rPr>
          <w:rFonts w:ascii="Arial" w:hAnsi="Arial" w:cs="Arial"/>
          <w:i/>
          <w:iCs/>
          <w:sz w:val="24"/>
          <w:szCs w:val="24"/>
        </w:rPr>
        <w:t>Construction contracts: law and management</w:t>
      </w:r>
      <w:r w:rsidRPr="007A10F1">
        <w:rPr>
          <w:rFonts w:ascii="Arial" w:hAnsi="Arial" w:cs="Arial"/>
          <w:sz w:val="24"/>
          <w:szCs w:val="24"/>
        </w:rPr>
        <w:t>. Routledge.</w:t>
      </w:r>
    </w:p>
    <w:p w14:paraId="521BE395"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J Davidson Frame (2003) ‘PROJECT MANAGEMENT: A SYSTEMS APPROACH TO PLANNING, SCHEDULING, AND CONTROLLING-8TH EDITION’, </w:t>
      </w:r>
      <w:r w:rsidRPr="007A10F1">
        <w:rPr>
          <w:rFonts w:ascii="Arial" w:hAnsi="Arial" w:cs="Arial"/>
          <w:i/>
          <w:iCs/>
          <w:sz w:val="24"/>
          <w:szCs w:val="24"/>
        </w:rPr>
        <w:t>Project management journal</w:t>
      </w:r>
      <w:r w:rsidRPr="007A10F1">
        <w:rPr>
          <w:rFonts w:ascii="Arial" w:hAnsi="Arial" w:cs="Arial"/>
          <w:sz w:val="24"/>
          <w:szCs w:val="24"/>
        </w:rPr>
        <w:t>. Newtown Square: Sage Publications Ltd, p. 59.</w:t>
      </w:r>
    </w:p>
    <w:p w14:paraId="12F6BD3F"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Kerzner, H., 2025. </w:t>
      </w:r>
      <w:r w:rsidRPr="007A10F1">
        <w:rPr>
          <w:rFonts w:ascii="Arial" w:hAnsi="Arial" w:cs="Arial"/>
          <w:i/>
          <w:iCs/>
          <w:sz w:val="24"/>
          <w:szCs w:val="24"/>
        </w:rPr>
        <w:t>Project management: a systems approach to planning, scheduling, and controlling</w:t>
      </w:r>
      <w:r w:rsidRPr="007A10F1">
        <w:rPr>
          <w:rFonts w:ascii="Arial" w:hAnsi="Arial" w:cs="Arial"/>
          <w:sz w:val="24"/>
          <w:szCs w:val="24"/>
        </w:rPr>
        <w:t>. John Wiley &amp; Sons.</w:t>
      </w:r>
    </w:p>
    <w:p w14:paraId="1EC6E5DE"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Konchar, M. and </w:t>
      </w:r>
      <w:proofErr w:type="spellStart"/>
      <w:r w:rsidRPr="007A10F1">
        <w:rPr>
          <w:rFonts w:ascii="Arial" w:hAnsi="Arial" w:cs="Arial"/>
          <w:sz w:val="24"/>
          <w:szCs w:val="24"/>
        </w:rPr>
        <w:t>Sanvido</w:t>
      </w:r>
      <w:proofErr w:type="spellEnd"/>
      <w:r w:rsidRPr="007A10F1">
        <w:rPr>
          <w:rFonts w:ascii="Arial" w:hAnsi="Arial" w:cs="Arial"/>
          <w:sz w:val="24"/>
          <w:szCs w:val="24"/>
        </w:rPr>
        <w:t xml:space="preserve">, V. (1998) ‘Comparison of U.S. Project Delivery Systems’, </w:t>
      </w:r>
      <w:r w:rsidRPr="007A10F1">
        <w:rPr>
          <w:rFonts w:ascii="Arial" w:hAnsi="Arial" w:cs="Arial"/>
          <w:i/>
          <w:iCs/>
          <w:sz w:val="24"/>
          <w:szCs w:val="24"/>
        </w:rPr>
        <w:t>Journal of construction engineering and management</w:t>
      </w:r>
      <w:r w:rsidRPr="007A10F1">
        <w:rPr>
          <w:rFonts w:ascii="Arial" w:hAnsi="Arial" w:cs="Arial"/>
          <w:sz w:val="24"/>
          <w:szCs w:val="24"/>
        </w:rPr>
        <w:t xml:space="preserve">, 124(6), pp. 435–444. Available at: </w:t>
      </w:r>
      <w:hyperlink r:id="rId7" w:history="1">
        <w:r w:rsidRPr="007A10F1">
          <w:rPr>
            <w:rStyle w:val="Hyperlink"/>
            <w:rFonts w:ascii="Arial" w:hAnsi="Arial" w:cs="Arial"/>
            <w:sz w:val="24"/>
            <w:szCs w:val="24"/>
          </w:rPr>
          <w:t>https://doi.org/10.1061/(ASCE)0733-9364(1998)124:6(435)</w:t>
        </w:r>
      </w:hyperlink>
      <w:r w:rsidRPr="007A10F1">
        <w:rPr>
          <w:rFonts w:ascii="Arial" w:hAnsi="Arial" w:cs="Arial"/>
          <w:sz w:val="24"/>
          <w:szCs w:val="24"/>
        </w:rPr>
        <w:t>.</w:t>
      </w:r>
    </w:p>
    <w:p w14:paraId="4F6D302B"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Lamberti, M.J. </w:t>
      </w:r>
      <w:r w:rsidRPr="007A10F1">
        <w:rPr>
          <w:rFonts w:ascii="Arial" w:hAnsi="Arial" w:cs="Arial"/>
          <w:i/>
          <w:iCs/>
          <w:sz w:val="24"/>
          <w:szCs w:val="24"/>
        </w:rPr>
        <w:t>et al.</w:t>
      </w:r>
      <w:r w:rsidRPr="007A10F1">
        <w:rPr>
          <w:rFonts w:ascii="Arial" w:hAnsi="Arial" w:cs="Arial"/>
          <w:sz w:val="24"/>
          <w:szCs w:val="24"/>
        </w:rPr>
        <w:t xml:space="preserve"> (2018) ‘Assessing Study Start-up Practices, Performance, and Perceptions Among Sponsors and Contract Research Organizations’, </w:t>
      </w:r>
      <w:r w:rsidRPr="007A10F1">
        <w:rPr>
          <w:rFonts w:ascii="Arial" w:hAnsi="Arial" w:cs="Arial"/>
          <w:i/>
          <w:iCs/>
          <w:sz w:val="24"/>
          <w:szCs w:val="24"/>
        </w:rPr>
        <w:t>Therapeutic innovation &amp; regulatory science</w:t>
      </w:r>
      <w:r w:rsidRPr="007A10F1">
        <w:rPr>
          <w:rFonts w:ascii="Arial" w:hAnsi="Arial" w:cs="Arial"/>
          <w:sz w:val="24"/>
          <w:szCs w:val="24"/>
        </w:rPr>
        <w:t xml:space="preserve">, 52(5), pp. 572–578. Available at: </w:t>
      </w:r>
      <w:hyperlink r:id="rId8" w:history="1">
        <w:r w:rsidRPr="007A10F1">
          <w:rPr>
            <w:rStyle w:val="Hyperlink"/>
            <w:rFonts w:ascii="Arial" w:hAnsi="Arial" w:cs="Arial"/>
            <w:sz w:val="24"/>
            <w:szCs w:val="24"/>
          </w:rPr>
          <w:t>https://doi.org/10.1177/2168479017751403</w:t>
        </w:r>
      </w:hyperlink>
      <w:r w:rsidRPr="007A10F1">
        <w:rPr>
          <w:rFonts w:ascii="Arial" w:hAnsi="Arial" w:cs="Arial"/>
          <w:sz w:val="24"/>
          <w:szCs w:val="24"/>
        </w:rPr>
        <w:t>.</w:t>
      </w:r>
    </w:p>
    <w:p w14:paraId="2ADDB624"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Levina, N. and Vaast, E., 2005. The emergence of boundary spanning competence in practice: Implications for implementation and use of information systems. </w:t>
      </w:r>
      <w:r w:rsidRPr="007A10F1">
        <w:rPr>
          <w:rFonts w:ascii="Arial" w:hAnsi="Arial" w:cs="Arial"/>
          <w:i/>
          <w:iCs/>
          <w:sz w:val="24"/>
          <w:szCs w:val="24"/>
        </w:rPr>
        <w:t>MIS quarterly</w:t>
      </w:r>
      <w:r w:rsidRPr="007A10F1">
        <w:rPr>
          <w:rFonts w:ascii="Arial" w:hAnsi="Arial" w:cs="Arial"/>
          <w:sz w:val="24"/>
          <w:szCs w:val="24"/>
        </w:rPr>
        <w:t>, pp.335-363.</w:t>
      </w:r>
    </w:p>
    <w:p w14:paraId="16A158B9"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Linden, G., Kraemer, K.L. and Dedrick, J., 2009. Who captures value in a global innovation network? The case of Apple's iPod. </w:t>
      </w:r>
      <w:r w:rsidRPr="007A10F1">
        <w:rPr>
          <w:rFonts w:ascii="Arial" w:hAnsi="Arial" w:cs="Arial"/>
          <w:i/>
          <w:iCs/>
          <w:sz w:val="24"/>
          <w:szCs w:val="24"/>
        </w:rPr>
        <w:t>Communications of the ACM</w:t>
      </w:r>
      <w:r w:rsidRPr="007A10F1">
        <w:rPr>
          <w:rFonts w:ascii="Arial" w:hAnsi="Arial" w:cs="Arial"/>
          <w:sz w:val="24"/>
          <w:szCs w:val="24"/>
        </w:rPr>
        <w:t>, </w:t>
      </w:r>
      <w:r w:rsidRPr="007A10F1">
        <w:rPr>
          <w:rFonts w:ascii="Arial" w:hAnsi="Arial" w:cs="Arial"/>
          <w:i/>
          <w:iCs/>
          <w:sz w:val="24"/>
          <w:szCs w:val="24"/>
        </w:rPr>
        <w:t>52</w:t>
      </w:r>
      <w:r w:rsidRPr="007A10F1">
        <w:rPr>
          <w:rFonts w:ascii="Arial" w:hAnsi="Arial" w:cs="Arial"/>
          <w:sz w:val="24"/>
          <w:szCs w:val="24"/>
        </w:rPr>
        <w:t>(3), pp.140-144.</w:t>
      </w:r>
    </w:p>
    <w:p w14:paraId="46D57C49"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Marchewka, J.T., 2010. The FBI virtual case file: A case study. </w:t>
      </w:r>
      <w:r w:rsidRPr="007A10F1">
        <w:rPr>
          <w:rFonts w:ascii="Arial" w:hAnsi="Arial" w:cs="Arial"/>
          <w:i/>
          <w:iCs/>
          <w:sz w:val="24"/>
          <w:szCs w:val="24"/>
        </w:rPr>
        <w:t>Communications of the IIMA</w:t>
      </w:r>
      <w:r w:rsidRPr="007A10F1">
        <w:rPr>
          <w:rFonts w:ascii="Arial" w:hAnsi="Arial" w:cs="Arial"/>
          <w:sz w:val="24"/>
          <w:szCs w:val="24"/>
        </w:rPr>
        <w:t>, </w:t>
      </w:r>
      <w:r w:rsidRPr="007A10F1">
        <w:rPr>
          <w:rFonts w:ascii="Arial" w:hAnsi="Arial" w:cs="Arial"/>
          <w:i/>
          <w:iCs/>
          <w:sz w:val="24"/>
          <w:szCs w:val="24"/>
        </w:rPr>
        <w:t>10</w:t>
      </w:r>
      <w:r w:rsidRPr="007A10F1">
        <w:rPr>
          <w:rFonts w:ascii="Arial" w:hAnsi="Arial" w:cs="Arial"/>
          <w:sz w:val="24"/>
          <w:szCs w:val="24"/>
        </w:rPr>
        <w:t>(2), p.1.</w:t>
      </w:r>
    </w:p>
    <w:p w14:paraId="070DD683"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Martin Pritchard, David Johnston and Christopher Gorse (2020) ‘turnkey project’, </w:t>
      </w:r>
      <w:r w:rsidRPr="007A10F1">
        <w:rPr>
          <w:rFonts w:ascii="Arial" w:hAnsi="Arial" w:cs="Arial"/>
          <w:i/>
          <w:iCs/>
          <w:sz w:val="24"/>
          <w:szCs w:val="24"/>
        </w:rPr>
        <w:t>A Dictionary of Construction, Surveying, and Civil Engineering</w:t>
      </w:r>
      <w:r w:rsidRPr="007A10F1">
        <w:rPr>
          <w:rFonts w:ascii="Arial" w:hAnsi="Arial" w:cs="Arial"/>
          <w:sz w:val="24"/>
          <w:szCs w:val="24"/>
        </w:rPr>
        <w:t xml:space="preserve">. 2nd </w:t>
      </w:r>
      <w:proofErr w:type="spellStart"/>
      <w:r w:rsidRPr="007A10F1">
        <w:rPr>
          <w:rFonts w:ascii="Arial" w:hAnsi="Arial" w:cs="Arial"/>
          <w:sz w:val="24"/>
          <w:szCs w:val="24"/>
        </w:rPr>
        <w:t>edn</w:t>
      </w:r>
      <w:proofErr w:type="spellEnd"/>
      <w:r w:rsidRPr="007A10F1">
        <w:rPr>
          <w:rFonts w:ascii="Arial" w:hAnsi="Arial" w:cs="Arial"/>
          <w:sz w:val="24"/>
          <w:szCs w:val="24"/>
        </w:rPr>
        <w:t>. Oxford University Press.</w:t>
      </w:r>
    </w:p>
    <w:p w14:paraId="38EB18D6"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Masterman, J.W., 2013. </w:t>
      </w:r>
      <w:r w:rsidRPr="007A10F1">
        <w:rPr>
          <w:rFonts w:ascii="Arial" w:hAnsi="Arial" w:cs="Arial"/>
          <w:i/>
          <w:iCs/>
          <w:sz w:val="24"/>
          <w:szCs w:val="24"/>
        </w:rPr>
        <w:t>An introduction to building procurement systems</w:t>
      </w:r>
      <w:r w:rsidRPr="007A10F1">
        <w:rPr>
          <w:rFonts w:ascii="Arial" w:hAnsi="Arial" w:cs="Arial"/>
          <w:sz w:val="24"/>
          <w:szCs w:val="24"/>
        </w:rPr>
        <w:t xml:space="preserve">. Routledge. </w:t>
      </w:r>
    </w:p>
    <w:p w14:paraId="2E249AE4"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Mirowski, P. and Van Horn, R. (2005) ‘The Contract Research Organization and the Commercialization of Scientific Research’, </w:t>
      </w:r>
      <w:r w:rsidRPr="007A10F1">
        <w:rPr>
          <w:rFonts w:ascii="Arial" w:hAnsi="Arial" w:cs="Arial"/>
          <w:i/>
          <w:iCs/>
          <w:sz w:val="24"/>
          <w:szCs w:val="24"/>
        </w:rPr>
        <w:t>Social studies of science</w:t>
      </w:r>
      <w:r w:rsidRPr="007A10F1">
        <w:rPr>
          <w:rFonts w:ascii="Arial" w:hAnsi="Arial" w:cs="Arial"/>
          <w:sz w:val="24"/>
          <w:szCs w:val="24"/>
        </w:rPr>
        <w:t xml:space="preserve">, 35(4), pp. 503–548. Available at: </w:t>
      </w:r>
      <w:hyperlink r:id="rId9" w:history="1">
        <w:r w:rsidRPr="007A10F1">
          <w:rPr>
            <w:rStyle w:val="Hyperlink"/>
            <w:rFonts w:ascii="Arial" w:hAnsi="Arial" w:cs="Arial"/>
            <w:sz w:val="24"/>
            <w:szCs w:val="24"/>
          </w:rPr>
          <w:t>https://doi.org/10.1177/0306312705052103</w:t>
        </w:r>
      </w:hyperlink>
      <w:r w:rsidRPr="007A10F1">
        <w:rPr>
          <w:rFonts w:ascii="Arial" w:hAnsi="Arial" w:cs="Arial"/>
          <w:sz w:val="24"/>
          <w:szCs w:val="24"/>
        </w:rPr>
        <w:t>.</w:t>
      </w:r>
    </w:p>
    <w:p w14:paraId="4D56EBCD"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lastRenderedPageBreak/>
        <w:t xml:space="preserve">Morris, P.W.G., Pinto, J.K. and Söderlund, J. (2011) </w:t>
      </w:r>
      <w:r w:rsidRPr="007A10F1">
        <w:rPr>
          <w:rFonts w:ascii="Arial" w:hAnsi="Arial" w:cs="Arial"/>
          <w:i/>
          <w:iCs/>
          <w:sz w:val="24"/>
          <w:szCs w:val="24"/>
        </w:rPr>
        <w:t>The Oxford Handbook of Project Management</w:t>
      </w:r>
      <w:r w:rsidRPr="007A10F1">
        <w:rPr>
          <w:rFonts w:ascii="Arial" w:hAnsi="Arial" w:cs="Arial"/>
          <w:sz w:val="24"/>
          <w:szCs w:val="24"/>
        </w:rPr>
        <w:t xml:space="preserve">. 1st </w:t>
      </w:r>
      <w:proofErr w:type="spellStart"/>
      <w:r w:rsidRPr="007A10F1">
        <w:rPr>
          <w:rFonts w:ascii="Arial" w:hAnsi="Arial" w:cs="Arial"/>
          <w:sz w:val="24"/>
          <w:szCs w:val="24"/>
        </w:rPr>
        <w:t>edn</w:t>
      </w:r>
      <w:proofErr w:type="spellEnd"/>
      <w:r w:rsidRPr="007A10F1">
        <w:rPr>
          <w:rFonts w:ascii="Arial" w:hAnsi="Arial" w:cs="Arial"/>
          <w:sz w:val="24"/>
          <w:szCs w:val="24"/>
        </w:rPr>
        <w:t>. Edited by P.W.G. Morris, J. Pinto, and J. Söderlund. Oxford: Oxford University Press. Available at: https://doi.org/10.1093/oxfordhb/9780199563142.001.0001.</w:t>
      </w:r>
    </w:p>
    <w:p w14:paraId="1AA1028C"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Mullaly, M., 2006. Longitudinal analysis of project management maturity. </w:t>
      </w:r>
      <w:r w:rsidRPr="007A10F1">
        <w:rPr>
          <w:rFonts w:ascii="Arial" w:hAnsi="Arial" w:cs="Arial"/>
          <w:i/>
          <w:iCs/>
          <w:sz w:val="24"/>
          <w:szCs w:val="24"/>
        </w:rPr>
        <w:t>Project management journal</w:t>
      </w:r>
      <w:r w:rsidRPr="007A10F1">
        <w:rPr>
          <w:rFonts w:ascii="Arial" w:hAnsi="Arial" w:cs="Arial"/>
          <w:sz w:val="24"/>
          <w:szCs w:val="24"/>
        </w:rPr>
        <w:t>, </w:t>
      </w:r>
      <w:r w:rsidRPr="007A10F1">
        <w:rPr>
          <w:rFonts w:ascii="Arial" w:hAnsi="Arial" w:cs="Arial"/>
          <w:i/>
          <w:iCs/>
          <w:sz w:val="24"/>
          <w:szCs w:val="24"/>
        </w:rPr>
        <w:t>37</w:t>
      </w:r>
      <w:r w:rsidRPr="007A10F1">
        <w:rPr>
          <w:rFonts w:ascii="Arial" w:hAnsi="Arial" w:cs="Arial"/>
          <w:sz w:val="24"/>
          <w:szCs w:val="24"/>
        </w:rPr>
        <w:t>(3), pp.62-73.</w:t>
      </w:r>
    </w:p>
    <w:p w14:paraId="2DEB7DFE" w14:textId="77777777" w:rsidR="00D77879" w:rsidRPr="007A10F1" w:rsidRDefault="00D77879" w:rsidP="00D77879">
      <w:pPr>
        <w:jc w:val="both"/>
        <w:rPr>
          <w:rFonts w:ascii="Arial" w:hAnsi="Arial" w:cs="Arial"/>
          <w:sz w:val="24"/>
          <w:szCs w:val="24"/>
          <w:lang w:eastAsia="en-GB"/>
        </w:rPr>
      </w:pPr>
      <w:r w:rsidRPr="007A10F1">
        <w:rPr>
          <w:rFonts w:ascii="Arial" w:hAnsi="Arial" w:cs="Arial"/>
          <w:sz w:val="24"/>
          <w:szCs w:val="24"/>
          <w:lang w:eastAsia="en-GB"/>
        </w:rPr>
        <w:t xml:space="preserve">National Audit Office (2017) </w:t>
      </w:r>
      <w:r w:rsidRPr="007A10F1">
        <w:rPr>
          <w:rFonts w:ascii="Arial" w:hAnsi="Arial" w:cs="Arial"/>
          <w:i/>
          <w:iCs/>
          <w:sz w:val="24"/>
          <w:szCs w:val="24"/>
          <w:lang w:eastAsia="en-GB"/>
        </w:rPr>
        <w:t>Review of the Thames Tideway Tunnel - National Audit Office (NAO) Report</w:t>
      </w:r>
      <w:r w:rsidRPr="007A10F1">
        <w:rPr>
          <w:rFonts w:ascii="Arial" w:hAnsi="Arial" w:cs="Arial"/>
          <w:sz w:val="24"/>
          <w:szCs w:val="24"/>
          <w:lang w:eastAsia="en-GB"/>
        </w:rPr>
        <w:t xml:space="preserve">, </w:t>
      </w:r>
      <w:r w:rsidRPr="007A10F1">
        <w:rPr>
          <w:rFonts w:ascii="Arial" w:hAnsi="Arial" w:cs="Arial"/>
          <w:i/>
          <w:iCs/>
          <w:sz w:val="24"/>
          <w:szCs w:val="24"/>
          <w:lang w:eastAsia="en-GB"/>
        </w:rPr>
        <w:t>National Audit Office (NAO)</w:t>
      </w:r>
      <w:r w:rsidRPr="007A10F1">
        <w:rPr>
          <w:rFonts w:ascii="Arial" w:hAnsi="Arial" w:cs="Arial"/>
          <w:sz w:val="24"/>
          <w:szCs w:val="24"/>
          <w:lang w:eastAsia="en-GB"/>
        </w:rPr>
        <w:t>. Available at: https://www.nao.org.uk/reports/review-of-the-thames-tideway-tunnel/ (Accessed: 12 December 2025).</w:t>
      </w:r>
    </w:p>
    <w:p w14:paraId="3E4D378A"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National Audit Office (2019) </w:t>
      </w:r>
      <w:r w:rsidRPr="007A10F1">
        <w:rPr>
          <w:rFonts w:ascii="Arial" w:hAnsi="Arial" w:cs="Arial"/>
          <w:i/>
          <w:iCs/>
          <w:sz w:val="24"/>
          <w:szCs w:val="24"/>
        </w:rPr>
        <w:t>Completing Crossrail</w:t>
      </w:r>
      <w:r w:rsidRPr="007A10F1">
        <w:rPr>
          <w:rFonts w:ascii="Arial" w:hAnsi="Arial" w:cs="Arial"/>
          <w:sz w:val="24"/>
          <w:szCs w:val="24"/>
        </w:rPr>
        <w:t xml:space="preserve">, </w:t>
      </w:r>
      <w:r w:rsidRPr="007A10F1">
        <w:rPr>
          <w:rFonts w:ascii="Arial" w:hAnsi="Arial" w:cs="Arial"/>
          <w:i/>
          <w:iCs/>
          <w:sz w:val="24"/>
          <w:szCs w:val="24"/>
        </w:rPr>
        <w:t>National Audit Office</w:t>
      </w:r>
      <w:r w:rsidRPr="007A10F1">
        <w:rPr>
          <w:rFonts w:ascii="Arial" w:hAnsi="Arial" w:cs="Arial"/>
          <w:sz w:val="24"/>
          <w:szCs w:val="24"/>
        </w:rPr>
        <w:t>. Available at: https://www.nao.org.uk/reports/crossrail/ (Accessed: 15 December 2025).</w:t>
      </w:r>
    </w:p>
    <w:p w14:paraId="335880CD"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Pfeffer, J. and </w:t>
      </w:r>
      <w:proofErr w:type="spellStart"/>
      <w:r w:rsidRPr="007A10F1">
        <w:rPr>
          <w:rFonts w:ascii="Arial" w:hAnsi="Arial" w:cs="Arial"/>
          <w:sz w:val="24"/>
          <w:szCs w:val="24"/>
        </w:rPr>
        <w:t>Salancik</w:t>
      </w:r>
      <w:proofErr w:type="spellEnd"/>
      <w:r w:rsidRPr="007A10F1">
        <w:rPr>
          <w:rFonts w:ascii="Arial" w:hAnsi="Arial" w:cs="Arial"/>
          <w:sz w:val="24"/>
          <w:szCs w:val="24"/>
        </w:rPr>
        <w:t>, G., 2015. External control of organizations—Resource dependence perspective. In </w:t>
      </w:r>
      <w:r w:rsidRPr="007A10F1">
        <w:rPr>
          <w:rFonts w:ascii="Arial" w:hAnsi="Arial" w:cs="Arial"/>
          <w:i/>
          <w:iCs/>
          <w:sz w:val="24"/>
          <w:szCs w:val="24"/>
        </w:rPr>
        <w:t xml:space="preserve">Organizational </w:t>
      </w:r>
      <w:proofErr w:type="spellStart"/>
      <w:r w:rsidRPr="007A10F1">
        <w:rPr>
          <w:rFonts w:ascii="Arial" w:hAnsi="Arial" w:cs="Arial"/>
          <w:i/>
          <w:iCs/>
          <w:sz w:val="24"/>
          <w:szCs w:val="24"/>
        </w:rPr>
        <w:t>behavior</w:t>
      </w:r>
      <w:proofErr w:type="spellEnd"/>
      <w:r w:rsidRPr="007A10F1">
        <w:rPr>
          <w:rFonts w:ascii="Arial" w:hAnsi="Arial" w:cs="Arial"/>
          <w:i/>
          <w:iCs/>
          <w:sz w:val="24"/>
          <w:szCs w:val="24"/>
        </w:rPr>
        <w:t xml:space="preserve"> 2</w:t>
      </w:r>
      <w:r w:rsidRPr="007A10F1">
        <w:rPr>
          <w:rFonts w:ascii="Arial" w:hAnsi="Arial" w:cs="Arial"/>
          <w:sz w:val="24"/>
          <w:szCs w:val="24"/>
        </w:rPr>
        <w:t> (pp. 355-370). Routledge.</w:t>
      </w:r>
    </w:p>
    <w:p w14:paraId="6551FFE1" w14:textId="77777777" w:rsidR="00D77879" w:rsidRPr="007A10F1" w:rsidRDefault="00D77879" w:rsidP="00D77879">
      <w:pPr>
        <w:jc w:val="both"/>
        <w:rPr>
          <w:rFonts w:ascii="Arial" w:hAnsi="Arial" w:cs="Arial"/>
          <w:sz w:val="24"/>
          <w:szCs w:val="24"/>
          <w:lang w:eastAsia="en-GB"/>
        </w:rPr>
      </w:pPr>
      <w:r w:rsidRPr="007A10F1">
        <w:rPr>
          <w:rFonts w:ascii="Arial" w:hAnsi="Arial" w:cs="Arial"/>
          <w:i/>
          <w:iCs/>
          <w:sz w:val="24"/>
          <w:szCs w:val="24"/>
          <w:lang w:eastAsia="en-GB"/>
        </w:rPr>
        <w:t>PM Network</w:t>
      </w:r>
      <w:r w:rsidRPr="007A10F1">
        <w:rPr>
          <w:rFonts w:ascii="Arial" w:hAnsi="Arial" w:cs="Arial"/>
          <w:sz w:val="24"/>
          <w:szCs w:val="24"/>
          <w:lang w:eastAsia="en-GB"/>
        </w:rPr>
        <w:t xml:space="preserve"> (2017) ‘A Guide to the Project Management Body of Knowledge (PMBOK® Guide)- Sixth Edition and Agile Practice Guide’, p. 68.</w:t>
      </w:r>
    </w:p>
    <w:p w14:paraId="15D2388D"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Pritchard, C.L. and PMP, P.R., 2014. </w:t>
      </w:r>
      <w:r w:rsidRPr="007A10F1">
        <w:rPr>
          <w:rFonts w:ascii="Arial" w:hAnsi="Arial" w:cs="Arial"/>
          <w:i/>
          <w:iCs/>
          <w:sz w:val="24"/>
          <w:szCs w:val="24"/>
        </w:rPr>
        <w:t>Risk management: concepts and guidance</w:t>
      </w:r>
      <w:r w:rsidRPr="007A10F1">
        <w:rPr>
          <w:rFonts w:ascii="Arial" w:hAnsi="Arial" w:cs="Arial"/>
          <w:sz w:val="24"/>
          <w:szCs w:val="24"/>
        </w:rPr>
        <w:t>. CRC Press.</w:t>
      </w:r>
    </w:p>
    <w:p w14:paraId="3CD03C95"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Project management institute (2017) </w:t>
      </w:r>
      <w:r w:rsidRPr="007A10F1">
        <w:rPr>
          <w:rFonts w:ascii="Arial" w:hAnsi="Arial" w:cs="Arial"/>
          <w:i/>
          <w:iCs/>
          <w:sz w:val="24"/>
          <w:szCs w:val="24"/>
        </w:rPr>
        <w:t>Pulse of the Profession 2017</w:t>
      </w:r>
      <w:r w:rsidRPr="007A10F1">
        <w:rPr>
          <w:rFonts w:ascii="Arial" w:hAnsi="Arial" w:cs="Arial"/>
          <w:sz w:val="24"/>
          <w:szCs w:val="24"/>
        </w:rPr>
        <w:t xml:space="preserve">, </w:t>
      </w:r>
      <w:r w:rsidRPr="007A10F1">
        <w:rPr>
          <w:rFonts w:ascii="Arial" w:hAnsi="Arial" w:cs="Arial"/>
          <w:i/>
          <w:iCs/>
          <w:sz w:val="24"/>
          <w:szCs w:val="24"/>
        </w:rPr>
        <w:t>PMI</w:t>
      </w:r>
      <w:r w:rsidRPr="007A10F1">
        <w:rPr>
          <w:rFonts w:ascii="Arial" w:hAnsi="Arial" w:cs="Arial"/>
          <w:sz w:val="24"/>
          <w:szCs w:val="24"/>
        </w:rPr>
        <w:t>. Available at: https://www.pmi.org/learning/thought-leadership/pulse/pulse-of-the-profession-2017 (Accessed: 15 December 2025).</w:t>
      </w:r>
    </w:p>
    <w:p w14:paraId="1BB10549"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 xml:space="preserve">Randolph, S. (2012) ‘Book Review: Fundamentals of Project Management, Fourth Edition’, </w:t>
      </w:r>
      <w:r w:rsidRPr="007A10F1">
        <w:rPr>
          <w:rFonts w:ascii="Arial" w:hAnsi="Arial" w:cs="Arial"/>
          <w:i/>
          <w:iCs/>
          <w:sz w:val="24"/>
          <w:szCs w:val="24"/>
        </w:rPr>
        <w:t>Project management journal</w:t>
      </w:r>
      <w:r w:rsidRPr="007A10F1">
        <w:rPr>
          <w:rFonts w:ascii="Arial" w:hAnsi="Arial" w:cs="Arial"/>
          <w:sz w:val="24"/>
          <w:szCs w:val="24"/>
        </w:rPr>
        <w:t xml:space="preserve">, pp. 81–81. Available at: </w:t>
      </w:r>
      <w:hyperlink r:id="rId10" w:history="1">
        <w:r w:rsidRPr="007A10F1">
          <w:rPr>
            <w:rStyle w:val="Hyperlink"/>
            <w:rFonts w:ascii="Arial" w:hAnsi="Arial" w:cs="Arial"/>
            <w:sz w:val="24"/>
            <w:szCs w:val="24"/>
          </w:rPr>
          <w:t>https://doi.org/10.1002/pmj.21285</w:t>
        </w:r>
      </w:hyperlink>
      <w:r w:rsidRPr="007A10F1">
        <w:rPr>
          <w:rFonts w:ascii="Arial" w:hAnsi="Arial" w:cs="Arial"/>
          <w:sz w:val="24"/>
          <w:szCs w:val="24"/>
        </w:rPr>
        <w:t>.</w:t>
      </w:r>
    </w:p>
    <w:p w14:paraId="71247D3C" w14:textId="77777777" w:rsidR="00D77879" w:rsidRPr="007A10F1" w:rsidRDefault="00D77879" w:rsidP="00D77879">
      <w:pPr>
        <w:jc w:val="both"/>
        <w:rPr>
          <w:rFonts w:ascii="Arial" w:hAnsi="Arial" w:cs="Arial"/>
          <w:sz w:val="24"/>
          <w:szCs w:val="24"/>
          <w:lang w:eastAsia="en-GB"/>
        </w:rPr>
      </w:pPr>
      <w:r w:rsidRPr="007A10F1">
        <w:rPr>
          <w:rFonts w:ascii="Arial" w:hAnsi="Arial" w:cs="Arial"/>
          <w:sz w:val="24"/>
          <w:szCs w:val="24"/>
          <w:lang w:eastAsia="en-GB"/>
        </w:rPr>
        <w:t xml:space="preserve">Seldin, T., Beckmann, V. and Tan, R. (2020) ‘Public Participation and Airport Development: The Case of the Site Selection for Berlin Brandenburg Airport (BER) in Germany’, </w:t>
      </w:r>
      <w:r w:rsidRPr="007A10F1">
        <w:rPr>
          <w:rFonts w:ascii="Arial" w:hAnsi="Arial" w:cs="Arial"/>
          <w:i/>
          <w:iCs/>
          <w:sz w:val="24"/>
          <w:szCs w:val="24"/>
          <w:lang w:eastAsia="en-GB"/>
        </w:rPr>
        <w:t>Sustainability</w:t>
      </w:r>
      <w:r w:rsidRPr="007A10F1">
        <w:rPr>
          <w:rFonts w:ascii="Arial" w:hAnsi="Arial" w:cs="Arial"/>
          <w:sz w:val="24"/>
          <w:szCs w:val="24"/>
          <w:lang w:eastAsia="en-GB"/>
        </w:rPr>
        <w:t xml:space="preserve">, 12(24), p. 10535. Available at: </w:t>
      </w:r>
      <w:hyperlink r:id="rId11" w:history="1">
        <w:r w:rsidRPr="007A10F1">
          <w:rPr>
            <w:rStyle w:val="Hyperlink"/>
            <w:rFonts w:ascii="Arial" w:eastAsia="Times New Roman" w:hAnsi="Arial" w:cs="Arial"/>
            <w:kern w:val="0"/>
            <w:sz w:val="24"/>
            <w:szCs w:val="24"/>
            <w:lang w:eastAsia="en-GB"/>
            <w14:ligatures w14:val="none"/>
          </w:rPr>
          <w:t>https://doi.org/10.3390/su122410535</w:t>
        </w:r>
      </w:hyperlink>
      <w:r w:rsidRPr="007A10F1">
        <w:rPr>
          <w:rFonts w:ascii="Arial" w:hAnsi="Arial" w:cs="Arial"/>
          <w:sz w:val="24"/>
          <w:szCs w:val="24"/>
          <w:lang w:eastAsia="en-GB"/>
        </w:rPr>
        <w:t>.</w:t>
      </w:r>
    </w:p>
    <w:p w14:paraId="1FE55E16"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Tang, C.S., Zimmerman, J.D. and Nelson, J.I., 2009, January. Managing new product development and supply chain risks: The Boeing 787 case. In </w:t>
      </w:r>
      <w:r w:rsidRPr="007A10F1">
        <w:rPr>
          <w:rFonts w:ascii="Arial" w:hAnsi="Arial" w:cs="Arial"/>
          <w:i/>
          <w:iCs/>
          <w:sz w:val="24"/>
          <w:szCs w:val="24"/>
        </w:rPr>
        <w:t>Supply Chain Forum: An International Journal</w:t>
      </w:r>
      <w:r w:rsidRPr="007A10F1">
        <w:rPr>
          <w:rFonts w:ascii="Arial" w:hAnsi="Arial" w:cs="Arial"/>
          <w:sz w:val="24"/>
          <w:szCs w:val="24"/>
        </w:rPr>
        <w:t> (Vol. 10, No. 2, pp. 74-86). Taylor &amp; Francis.</w:t>
      </w:r>
    </w:p>
    <w:p w14:paraId="3D572C10" w14:textId="77777777" w:rsidR="00D77879" w:rsidRPr="007A10F1" w:rsidRDefault="00D77879" w:rsidP="00D77879">
      <w:pPr>
        <w:jc w:val="both"/>
        <w:rPr>
          <w:rFonts w:ascii="Arial" w:hAnsi="Arial" w:cs="Arial"/>
          <w:sz w:val="24"/>
          <w:szCs w:val="24"/>
        </w:rPr>
      </w:pPr>
      <w:r w:rsidRPr="007A10F1">
        <w:rPr>
          <w:rFonts w:ascii="Arial" w:hAnsi="Arial" w:cs="Arial"/>
          <w:sz w:val="24"/>
          <w:szCs w:val="24"/>
        </w:rPr>
        <w:t>Walker, A., 2015. </w:t>
      </w:r>
      <w:r w:rsidRPr="007A10F1">
        <w:rPr>
          <w:rFonts w:ascii="Arial" w:hAnsi="Arial" w:cs="Arial"/>
          <w:i/>
          <w:iCs/>
          <w:sz w:val="24"/>
          <w:szCs w:val="24"/>
        </w:rPr>
        <w:t>Project management in construction</w:t>
      </w:r>
      <w:r w:rsidRPr="007A10F1">
        <w:rPr>
          <w:rFonts w:ascii="Arial" w:hAnsi="Arial" w:cs="Arial"/>
          <w:sz w:val="24"/>
          <w:szCs w:val="24"/>
        </w:rPr>
        <w:t>. John Wiley &amp; Sons</w:t>
      </w:r>
    </w:p>
    <w:p w14:paraId="544232E2" w14:textId="77777777" w:rsidR="00D77879" w:rsidRDefault="00D77879" w:rsidP="00D77879">
      <w:pPr>
        <w:jc w:val="both"/>
        <w:rPr>
          <w:rFonts w:ascii="Arial" w:hAnsi="Arial" w:cs="Arial"/>
          <w:sz w:val="24"/>
          <w:szCs w:val="24"/>
        </w:rPr>
      </w:pPr>
      <w:r w:rsidRPr="007A10F1">
        <w:rPr>
          <w:rFonts w:ascii="Arial" w:hAnsi="Arial" w:cs="Arial"/>
          <w:sz w:val="24"/>
          <w:szCs w:val="24"/>
        </w:rPr>
        <w:t>Winch, G.M., 2012. </w:t>
      </w:r>
      <w:r w:rsidRPr="007A10F1">
        <w:rPr>
          <w:rFonts w:ascii="Arial" w:hAnsi="Arial" w:cs="Arial"/>
          <w:i/>
          <w:iCs/>
          <w:sz w:val="24"/>
          <w:szCs w:val="24"/>
        </w:rPr>
        <w:t>Managing construction projects</w:t>
      </w:r>
      <w:r w:rsidRPr="007A10F1">
        <w:rPr>
          <w:rFonts w:ascii="Arial" w:hAnsi="Arial" w:cs="Arial"/>
          <w:sz w:val="24"/>
          <w:szCs w:val="24"/>
        </w:rPr>
        <w:t>. John Wiley &amp; Sons.</w:t>
      </w:r>
    </w:p>
    <w:p w14:paraId="00232103" w14:textId="77777777" w:rsidR="00FD1FC0" w:rsidRPr="00FD1FC0" w:rsidRDefault="00FD1FC0" w:rsidP="00FD1FC0">
      <w:pPr>
        <w:jc w:val="both"/>
        <w:rPr>
          <w:rFonts w:ascii="Arial" w:hAnsi="Arial" w:cs="Arial"/>
          <w:sz w:val="24"/>
          <w:szCs w:val="24"/>
        </w:rPr>
      </w:pPr>
      <w:r w:rsidRPr="00FD1FC0">
        <w:rPr>
          <w:rFonts w:ascii="Arial" w:hAnsi="Arial" w:cs="Arial"/>
          <w:sz w:val="24"/>
          <w:szCs w:val="24"/>
        </w:rPr>
        <w:t xml:space="preserve">Wysocki, R.K. (2019) </w:t>
      </w:r>
      <w:r w:rsidRPr="00FD1FC0">
        <w:rPr>
          <w:rFonts w:ascii="Arial" w:hAnsi="Arial" w:cs="Arial"/>
          <w:i/>
          <w:iCs/>
          <w:sz w:val="24"/>
          <w:szCs w:val="24"/>
        </w:rPr>
        <w:t>Effective project management: traditional, agile, extreme, hybrid</w:t>
      </w:r>
      <w:r w:rsidRPr="00FD1FC0">
        <w:rPr>
          <w:rFonts w:ascii="Arial" w:hAnsi="Arial" w:cs="Arial"/>
          <w:sz w:val="24"/>
          <w:szCs w:val="24"/>
        </w:rPr>
        <w:t>. Eighth edition. Indianapolis, IN: Wiley.</w:t>
      </w:r>
    </w:p>
    <w:p w14:paraId="49FB1627" w14:textId="77777777" w:rsidR="00FD1FC0" w:rsidRPr="007A10F1" w:rsidRDefault="00FD1FC0" w:rsidP="00D77879">
      <w:pPr>
        <w:jc w:val="both"/>
        <w:rPr>
          <w:rFonts w:ascii="Arial" w:hAnsi="Arial" w:cs="Arial"/>
          <w:sz w:val="24"/>
          <w:szCs w:val="24"/>
        </w:rPr>
      </w:pPr>
    </w:p>
    <w:p w14:paraId="0AA6F679" w14:textId="77777777" w:rsidR="00D77879" w:rsidRPr="002D4825" w:rsidRDefault="00D77879" w:rsidP="00D77879"/>
    <w:p w14:paraId="424A48CA" w14:textId="77777777" w:rsidR="00D77879" w:rsidRPr="006401B4" w:rsidRDefault="00D77879" w:rsidP="00D77879"/>
    <w:p w14:paraId="36D73624" w14:textId="77777777" w:rsidR="00D77879" w:rsidRPr="00F9605F" w:rsidRDefault="00D77879" w:rsidP="00D77879"/>
    <w:p w14:paraId="7944C4DD" w14:textId="77777777" w:rsidR="00D77879" w:rsidRPr="00710393" w:rsidRDefault="00D77879" w:rsidP="00D77879"/>
    <w:p w14:paraId="5E413E8E" w14:textId="77777777" w:rsidR="00D77879" w:rsidRDefault="00D77879" w:rsidP="00D77879"/>
    <w:p w14:paraId="136FD785" w14:textId="77777777" w:rsidR="00D77879" w:rsidRPr="00D77879" w:rsidRDefault="00D77879" w:rsidP="00D77879"/>
    <w:p w14:paraId="62657F00" w14:textId="77777777" w:rsidR="00710393" w:rsidRDefault="00710393" w:rsidP="001C1ECE"/>
    <w:p w14:paraId="423CC7BE" w14:textId="77777777" w:rsidR="002E776D" w:rsidRPr="001C1ECE" w:rsidRDefault="002E776D" w:rsidP="001C1ECE"/>
    <w:p w14:paraId="798E123F" w14:textId="77777777" w:rsidR="001C1ECE" w:rsidRPr="00C73075" w:rsidRDefault="001C1ECE" w:rsidP="0077274F"/>
    <w:sectPr w:rsidR="001C1ECE" w:rsidRPr="00C73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5604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70270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365"/>
    <w:rsid w:val="000233E5"/>
    <w:rsid w:val="000C0782"/>
    <w:rsid w:val="000C1CD1"/>
    <w:rsid w:val="00114AD9"/>
    <w:rsid w:val="001251E0"/>
    <w:rsid w:val="001C1ECE"/>
    <w:rsid w:val="001C1F7B"/>
    <w:rsid w:val="001D50BB"/>
    <w:rsid w:val="00235FAD"/>
    <w:rsid w:val="002509E4"/>
    <w:rsid w:val="0026576E"/>
    <w:rsid w:val="00272C52"/>
    <w:rsid w:val="00291B6F"/>
    <w:rsid w:val="002A5065"/>
    <w:rsid w:val="002D063B"/>
    <w:rsid w:val="002D4825"/>
    <w:rsid w:val="002D52B9"/>
    <w:rsid w:val="002E776D"/>
    <w:rsid w:val="00341A4F"/>
    <w:rsid w:val="0035756D"/>
    <w:rsid w:val="00395B45"/>
    <w:rsid w:val="003A159C"/>
    <w:rsid w:val="0041318A"/>
    <w:rsid w:val="00423C98"/>
    <w:rsid w:val="004B278C"/>
    <w:rsid w:val="004B6D4F"/>
    <w:rsid w:val="004C4FE8"/>
    <w:rsid w:val="004D02D3"/>
    <w:rsid w:val="004E69C8"/>
    <w:rsid w:val="00505248"/>
    <w:rsid w:val="00513D6C"/>
    <w:rsid w:val="005265A1"/>
    <w:rsid w:val="00535C73"/>
    <w:rsid w:val="005366FF"/>
    <w:rsid w:val="00543AF3"/>
    <w:rsid w:val="005553D5"/>
    <w:rsid w:val="005C599A"/>
    <w:rsid w:val="00613FB7"/>
    <w:rsid w:val="006401B4"/>
    <w:rsid w:val="00675B57"/>
    <w:rsid w:val="006D012D"/>
    <w:rsid w:val="00710393"/>
    <w:rsid w:val="00725098"/>
    <w:rsid w:val="00734C80"/>
    <w:rsid w:val="00743733"/>
    <w:rsid w:val="00762A6D"/>
    <w:rsid w:val="0077274F"/>
    <w:rsid w:val="007759AF"/>
    <w:rsid w:val="00792FED"/>
    <w:rsid w:val="007A10F1"/>
    <w:rsid w:val="007C124D"/>
    <w:rsid w:val="007E0EE1"/>
    <w:rsid w:val="007E180B"/>
    <w:rsid w:val="007E78E6"/>
    <w:rsid w:val="007F19F5"/>
    <w:rsid w:val="00855B22"/>
    <w:rsid w:val="00860B72"/>
    <w:rsid w:val="008756C5"/>
    <w:rsid w:val="008A2365"/>
    <w:rsid w:val="00903A3A"/>
    <w:rsid w:val="00906F9F"/>
    <w:rsid w:val="00933998"/>
    <w:rsid w:val="0094437E"/>
    <w:rsid w:val="00951453"/>
    <w:rsid w:val="009857B2"/>
    <w:rsid w:val="00993B8D"/>
    <w:rsid w:val="009B3652"/>
    <w:rsid w:val="009B3E3D"/>
    <w:rsid w:val="009C7E4D"/>
    <w:rsid w:val="009D3AC0"/>
    <w:rsid w:val="009D5E19"/>
    <w:rsid w:val="009E1921"/>
    <w:rsid w:val="00A00A46"/>
    <w:rsid w:val="00A029EF"/>
    <w:rsid w:val="00A53673"/>
    <w:rsid w:val="00A87158"/>
    <w:rsid w:val="00AA59BF"/>
    <w:rsid w:val="00AF74C2"/>
    <w:rsid w:val="00B05037"/>
    <w:rsid w:val="00B21231"/>
    <w:rsid w:val="00B45925"/>
    <w:rsid w:val="00B747F9"/>
    <w:rsid w:val="00B81E7C"/>
    <w:rsid w:val="00B92EAF"/>
    <w:rsid w:val="00BD1F14"/>
    <w:rsid w:val="00BE2E6B"/>
    <w:rsid w:val="00C413FA"/>
    <w:rsid w:val="00C73075"/>
    <w:rsid w:val="00C83FE9"/>
    <w:rsid w:val="00CA5461"/>
    <w:rsid w:val="00D0428E"/>
    <w:rsid w:val="00D1391D"/>
    <w:rsid w:val="00D15CF8"/>
    <w:rsid w:val="00D16BBD"/>
    <w:rsid w:val="00D50EC3"/>
    <w:rsid w:val="00D77879"/>
    <w:rsid w:val="00D81A6E"/>
    <w:rsid w:val="00DE1353"/>
    <w:rsid w:val="00DE69E9"/>
    <w:rsid w:val="00DF7DE5"/>
    <w:rsid w:val="00E25141"/>
    <w:rsid w:val="00E52B35"/>
    <w:rsid w:val="00EC702A"/>
    <w:rsid w:val="00ED2A49"/>
    <w:rsid w:val="00EF0DA4"/>
    <w:rsid w:val="00F10721"/>
    <w:rsid w:val="00F122C3"/>
    <w:rsid w:val="00F71D3B"/>
    <w:rsid w:val="00F9605F"/>
    <w:rsid w:val="00FA04E7"/>
    <w:rsid w:val="00FB3EE1"/>
    <w:rsid w:val="00FD1FC0"/>
    <w:rsid w:val="00FE0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D85E3"/>
  <w15:chartTrackingRefBased/>
  <w15:docId w15:val="{CB8A15BE-6B50-456B-AA80-165CBC95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365"/>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A2365"/>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2365"/>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365"/>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365"/>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365"/>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365"/>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365"/>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365"/>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3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23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23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3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3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3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3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3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365"/>
    <w:rPr>
      <w:rFonts w:eastAsiaTheme="majorEastAsia" w:cstheme="majorBidi"/>
      <w:color w:val="272727" w:themeColor="text1" w:themeTint="D8"/>
    </w:rPr>
  </w:style>
  <w:style w:type="paragraph" w:styleId="Title">
    <w:name w:val="Title"/>
    <w:basedOn w:val="Normal"/>
    <w:next w:val="Normal"/>
    <w:link w:val="TitleChar"/>
    <w:uiPriority w:val="10"/>
    <w:qFormat/>
    <w:rsid w:val="008A23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3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3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3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365"/>
    <w:pPr>
      <w:spacing w:before="160"/>
      <w:jc w:val="center"/>
    </w:pPr>
    <w:rPr>
      <w:i/>
      <w:iCs/>
      <w:color w:val="404040" w:themeColor="text1" w:themeTint="BF"/>
    </w:rPr>
  </w:style>
  <w:style w:type="character" w:customStyle="1" w:styleId="QuoteChar">
    <w:name w:val="Quote Char"/>
    <w:basedOn w:val="DefaultParagraphFont"/>
    <w:link w:val="Quote"/>
    <w:uiPriority w:val="29"/>
    <w:rsid w:val="008A2365"/>
    <w:rPr>
      <w:i/>
      <w:iCs/>
      <w:color w:val="404040" w:themeColor="text1" w:themeTint="BF"/>
    </w:rPr>
  </w:style>
  <w:style w:type="paragraph" w:styleId="ListParagraph">
    <w:name w:val="List Paragraph"/>
    <w:basedOn w:val="Normal"/>
    <w:uiPriority w:val="34"/>
    <w:qFormat/>
    <w:rsid w:val="008A2365"/>
    <w:pPr>
      <w:ind w:left="720"/>
      <w:contextualSpacing/>
    </w:pPr>
  </w:style>
  <w:style w:type="character" w:styleId="IntenseEmphasis">
    <w:name w:val="Intense Emphasis"/>
    <w:basedOn w:val="DefaultParagraphFont"/>
    <w:uiPriority w:val="21"/>
    <w:qFormat/>
    <w:rsid w:val="008A2365"/>
    <w:rPr>
      <w:i/>
      <w:iCs/>
      <w:color w:val="0F4761" w:themeColor="accent1" w:themeShade="BF"/>
    </w:rPr>
  </w:style>
  <w:style w:type="paragraph" w:styleId="IntenseQuote">
    <w:name w:val="Intense Quote"/>
    <w:basedOn w:val="Normal"/>
    <w:next w:val="Normal"/>
    <w:link w:val="IntenseQuoteChar"/>
    <w:uiPriority w:val="30"/>
    <w:qFormat/>
    <w:rsid w:val="008A23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365"/>
    <w:rPr>
      <w:i/>
      <w:iCs/>
      <w:color w:val="0F4761" w:themeColor="accent1" w:themeShade="BF"/>
    </w:rPr>
  </w:style>
  <w:style w:type="character" w:styleId="IntenseReference">
    <w:name w:val="Intense Reference"/>
    <w:basedOn w:val="DefaultParagraphFont"/>
    <w:uiPriority w:val="32"/>
    <w:qFormat/>
    <w:rsid w:val="008A2365"/>
    <w:rPr>
      <w:b/>
      <w:bCs/>
      <w:smallCaps/>
      <w:color w:val="0F4761" w:themeColor="accent1" w:themeShade="BF"/>
      <w:spacing w:val="5"/>
    </w:rPr>
  </w:style>
  <w:style w:type="character" w:styleId="Hyperlink">
    <w:name w:val="Hyperlink"/>
    <w:basedOn w:val="DefaultParagraphFont"/>
    <w:uiPriority w:val="99"/>
    <w:unhideWhenUsed/>
    <w:rsid w:val="00CA5461"/>
    <w:rPr>
      <w:color w:val="467886" w:themeColor="hyperlink"/>
      <w:u w:val="single"/>
    </w:rPr>
  </w:style>
  <w:style w:type="character" w:styleId="UnresolvedMention">
    <w:name w:val="Unresolved Mention"/>
    <w:basedOn w:val="DefaultParagraphFont"/>
    <w:uiPriority w:val="99"/>
    <w:semiHidden/>
    <w:unhideWhenUsed/>
    <w:rsid w:val="00CA5461"/>
    <w:rPr>
      <w:color w:val="605E5C"/>
      <w:shd w:val="clear" w:color="auto" w:fill="E1DFDD"/>
    </w:rPr>
  </w:style>
  <w:style w:type="paragraph" w:styleId="TOCHeading">
    <w:name w:val="TOC Heading"/>
    <w:basedOn w:val="Heading1"/>
    <w:next w:val="Normal"/>
    <w:uiPriority w:val="39"/>
    <w:unhideWhenUsed/>
    <w:qFormat/>
    <w:rsid w:val="00423C98"/>
    <w:pPr>
      <w:numPr>
        <w:numId w:val="0"/>
      </w:num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23C98"/>
    <w:pPr>
      <w:spacing w:after="100"/>
    </w:pPr>
  </w:style>
  <w:style w:type="paragraph" w:styleId="TOC2">
    <w:name w:val="toc 2"/>
    <w:basedOn w:val="Normal"/>
    <w:next w:val="Normal"/>
    <w:autoRedefine/>
    <w:uiPriority w:val="39"/>
    <w:unhideWhenUsed/>
    <w:rsid w:val="00423C9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16847901775140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61/(ASCE)0733-9364(1998)124:6(43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2%31%386%310@st%75%64%65%6e%74.%75%77%74%73%64%2e%61c%2e%75k" TargetMode="External"/><Relationship Id="rId11" Type="http://schemas.openxmlformats.org/officeDocument/2006/relationships/hyperlink" Target="https://doi.org/10.3390/su122410535" TargetMode="External"/><Relationship Id="rId5" Type="http://schemas.openxmlformats.org/officeDocument/2006/relationships/image" Target="media/image1.png"/><Relationship Id="rId10" Type="http://schemas.openxmlformats.org/officeDocument/2006/relationships/hyperlink" Target="https://doi.org/10.1002/pmj.21285" TargetMode="External"/><Relationship Id="rId4" Type="http://schemas.openxmlformats.org/officeDocument/2006/relationships/webSettings" Target="webSettings.xml"/><Relationship Id="rId9" Type="http://schemas.openxmlformats.org/officeDocument/2006/relationships/hyperlink" Target="https://doi.org/10.1177/0306312705052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1686</TotalTime>
  <Pages>12</Pages>
  <Words>4246</Words>
  <Characters>24205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dc:creator>
  <cp:keywords/>
  <dc:description/>
  <cp:lastModifiedBy>cecile abuzour</cp:lastModifiedBy>
  <cp:revision>20</cp:revision>
  <dcterms:created xsi:type="dcterms:W3CDTF">2025-12-16T15:33:00Z</dcterms:created>
  <dcterms:modified xsi:type="dcterms:W3CDTF">2025-12-17T21:34:00Z</dcterms:modified>
</cp:coreProperties>
</file>