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B48127" w14:textId="77777777" w:rsidR="00D96EC4" w:rsidRDefault="00D96EC4" w:rsidP="00D96EC4">
      <w:pPr>
        <w:spacing w:line="360" w:lineRule="auto"/>
        <w:ind w:firstLine="720"/>
        <w:jc w:val="both"/>
        <w:rPr>
          <w:rFonts w:asciiTheme="majorBidi" w:hAnsiTheme="majorBidi" w:cstheme="majorBidi"/>
          <w:sz w:val="28"/>
          <w:szCs w:val="28"/>
        </w:rPr>
      </w:pPr>
      <w:r>
        <w:rPr>
          <w:rFonts w:asciiTheme="majorBidi" w:hAnsiTheme="majorBidi" w:cstheme="majorBidi"/>
          <w:sz w:val="28"/>
          <w:szCs w:val="28"/>
        </w:rPr>
        <w:t>The contribution of this research lies in exploring a deeper understanding of how specified leadership styles can effectively drive and influence sustainability practises and initiatives within non-profit organisations. For instance,</w:t>
      </w:r>
      <w:r w:rsidRPr="00A74E25">
        <w:rPr>
          <w:rFonts w:asciiTheme="majorBidi" w:hAnsiTheme="majorBidi" w:cstheme="majorBidi"/>
          <w:sz w:val="28"/>
          <w:szCs w:val="28"/>
        </w:rPr>
        <w:t xml:space="preserve"> Non-profit organi</w:t>
      </w:r>
      <w:r>
        <w:rPr>
          <w:rFonts w:asciiTheme="majorBidi" w:hAnsiTheme="majorBidi" w:cstheme="majorBidi"/>
          <w:sz w:val="28"/>
          <w:szCs w:val="28"/>
        </w:rPr>
        <w:t>s</w:t>
      </w:r>
      <w:r w:rsidRPr="00A74E25">
        <w:rPr>
          <w:rFonts w:asciiTheme="majorBidi" w:hAnsiTheme="majorBidi" w:cstheme="majorBidi"/>
          <w:sz w:val="28"/>
          <w:szCs w:val="28"/>
        </w:rPr>
        <w:t>ations are often created to address social and environmental issues and rely heavily on the leadership of their executives to achieve their mission.</w:t>
      </w:r>
      <w:r>
        <w:rPr>
          <w:rFonts w:asciiTheme="majorBidi" w:hAnsiTheme="majorBidi" w:cstheme="majorBidi"/>
          <w:sz w:val="28"/>
          <w:szCs w:val="28"/>
        </w:rPr>
        <w:t xml:space="preserve"> There are several leaderships styles including transformational, democratic, transactional, and laissez-faire. Each has advantages and disadvantages, </w:t>
      </w:r>
      <w:r w:rsidRPr="000C66CE">
        <w:rPr>
          <w:rFonts w:asciiTheme="majorBidi" w:hAnsiTheme="majorBidi" w:cstheme="majorBidi"/>
          <w:sz w:val="28"/>
          <w:szCs w:val="28"/>
        </w:rPr>
        <w:t>and the choice of leadership style depends on the specific needs and goals of the organi</w:t>
      </w:r>
      <w:r>
        <w:rPr>
          <w:rFonts w:asciiTheme="majorBidi" w:hAnsiTheme="majorBidi" w:cstheme="majorBidi"/>
          <w:sz w:val="28"/>
          <w:szCs w:val="28"/>
        </w:rPr>
        <w:t>s</w:t>
      </w:r>
      <w:r w:rsidRPr="000C66CE">
        <w:rPr>
          <w:rFonts w:asciiTheme="majorBidi" w:hAnsiTheme="majorBidi" w:cstheme="majorBidi"/>
          <w:sz w:val="28"/>
          <w:szCs w:val="28"/>
        </w:rPr>
        <w:t>ation</w:t>
      </w:r>
      <w:r>
        <w:rPr>
          <w:rFonts w:asciiTheme="majorBidi" w:hAnsiTheme="majorBidi" w:cstheme="majorBidi"/>
          <w:sz w:val="28"/>
          <w:szCs w:val="28"/>
        </w:rPr>
        <w:t xml:space="preserve">. However, according to </w:t>
      </w:r>
      <w:r w:rsidRPr="003245A6">
        <w:rPr>
          <w:rFonts w:asciiTheme="majorBidi" w:hAnsiTheme="majorBidi" w:cstheme="majorBidi"/>
          <w:sz w:val="28"/>
          <w:szCs w:val="28"/>
        </w:rPr>
        <w:t>Curcillo</w:t>
      </w:r>
      <w:r>
        <w:rPr>
          <w:rFonts w:asciiTheme="majorBidi" w:hAnsiTheme="majorBidi" w:cstheme="majorBidi"/>
          <w:sz w:val="28"/>
          <w:szCs w:val="28"/>
        </w:rPr>
        <w:t xml:space="preserve">, </w:t>
      </w:r>
      <w:r w:rsidRPr="003245A6">
        <w:rPr>
          <w:rFonts w:asciiTheme="majorBidi" w:hAnsiTheme="majorBidi" w:cstheme="majorBidi"/>
          <w:sz w:val="28"/>
          <w:szCs w:val="28"/>
        </w:rPr>
        <w:t>(2022)</w:t>
      </w:r>
      <w:r w:rsidRPr="00802CB8">
        <w:rPr>
          <w:rFonts w:asciiTheme="majorBidi" w:hAnsiTheme="majorBidi" w:cstheme="majorBidi"/>
          <w:sz w:val="28"/>
          <w:szCs w:val="28"/>
        </w:rPr>
        <w:t xml:space="preserve"> Transformational leaders </w:t>
      </w:r>
      <w:r w:rsidRPr="000B0B5E">
        <w:rPr>
          <w:rFonts w:asciiTheme="majorBidi" w:hAnsiTheme="majorBidi" w:cstheme="majorBidi"/>
          <w:sz w:val="28"/>
          <w:szCs w:val="28"/>
        </w:rPr>
        <w:t xml:space="preserve">motivate and </w:t>
      </w:r>
      <w:r w:rsidRPr="00802CB8">
        <w:rPr>
          <w:rFonts w:asciiTheme="majorBidi" w:hAnsiTheme="majorBidi" w:cstheme="majorBidi"/>
          <w:sz w:val="28"/>
          <w:szCs w:val="28"/>
        </w:rPr>
        <w:t>inspi</w:t>
      </w:r>
      <w:r>
        <w:rPr>
          <w:rFonts w:asciiTheme="majorBidi" w:hAnsiTheme="majorBidi" w:cstheme="majorBidi"/>
          <w:sz w:val="28"/>
          <w:szCs w:val="28"/>
        </w:rPr>
        <w:t xml:space="preserve">re </w:t>
      </w:r>
      <w:r w:rsidRPr="000B0B5E">
        <w:rPr>
          <w:rFonts w:asciiTheme="majorBidi" w:hAnsiTheme="majorBidi" w:cstheme="majorBidi"/>
          <w:sz w:val="28"/>
          <w:szCs w:val="28"/>
        </w:rPr>
        <w:t>their followers to achieve higher of performance and promote innovation and creativity</w:t>
      </w:r>
      <w:r>
        <w:rPr>
          <w:rFonts w:asciiTheme="majorBidi" w:hAnsiTheme="majorBidi" w:cstheme="majorBidi"/>
          <w:sz w:val="28"/>
          <w:szCs w:val="28"/>
        </w:rPr>
        <w:t xml:space="preserve">. </w:t>
      </w:r>
      <w:r w:rsidRPr="00E44DC9">
        <w:rPr>
          <w:rFonts w:asciiTheme="majorBidi" w:hAnsiTheme="majorBidi" w:cstheme="majorBidi"/>
          <w:sz w:val="28"/>
          <w:szCs w:val="28"/>
        </w:rPr>
        <w:t xml:space="preserve">They also encourage their followers to work towards a shared vision and are likely to empower </w:t>
      </w:r>
      <w:r>
        <w:rPr>
          <w:rFonts w:asciiTheme="majorBidi" w:hAnsiTheme="majorBidi" w:cstheme="majorBidi"/>
          <w:sz w:val="28"/>
          <w:szCs w:val="28"/>
        </w:rPr>
        <w:t>stakeholder</w:t>
      </w:r>
      <w:r w:rsidRPr="00E44DC9">
        <w:rPr>
          <w:rFonts w:asciiTheme="majorBidi" w:hAnsiTheme="majorBidi" w:cstheme="majorBidi"/>
          <w:sz w:val="28"/>
          <w:szCs w:val="28"/>
        </w:rPr>
        <w:t xml:space="preserve"> to take </w:t>
      </w:r>
      <w:r>
        <w:rPr>
          <w:rFonts w:asciiTheme="majorBidi" w:hAnsiTheme="majorBidi" w:cstheme="majorBidi"/>
          <w:sz w:val="28"/>
          <w:szCs w:val="28"/>
        </w:rPr>
        <w:t>part</w:t>
      </w:r>
      <w:r w:rsidRPr="00E44DC9">
        <w:rPr>
          <w:rFonts w:asciiTheme="majorBidi" w:hAnsiTheme="majorBidi" w:cstheme="majorBidi"/>
          <w:sz w:val="28"/>
          <w:szCs w:val="28"/>
        </w:rPr>
        <w:t xml:space="preserve"> of their work.</w:t>
      </w:r>
      <w:r>
        <w:rPr>
          <w:rFonts w:asciiTheme="majorBidi" w:hAnsiTheme="majorBidi" w:cstheme="majorBidi"/>
          <w:sz w:val="28"/>
          <w:szCs w:val="28"/>
        </w:rPr>
        <w:t xml:space="preserve"> This explanation of the practices can make transformational leadership style is </w:t>
      </w:r>
      <w:r w:rsidRPr="00802CB8">
        <w:rPr>
          <w:rFonts w:asciiTheme="majorBidi" w:hAnsiTheme="majorBidi" w:cstheme="majorBidi"/>
          <w:sz w:val="28"/>
          <w:szCs w:val="28"/>
        </w:rPr>
        <w:t>well-suited to non-profit organi</w:t>
      </w:r>
      <w:r>
        <w:rPr>
          <w:rFonts w:asciiTheme="majorBidi" w:hAnsiTheme="majorBidi" w:cstheme="majorBidi"/>
          <w:sz w:val="28"/>
          <w:szCs w:val="28"/>
        </w:rPr>
        <w:t>s</w:t>
      </w:r>
      <w:r w:rsidRPr="00802CB8">
        <w:rPr>
          <w:rFonts w:asciiTheme="majorBidi" w:hAnsiTheme="majorBidi" w:cstheme="majorBidi"/>
          <w:sz w:val="28"/>
          <w:szCs w:val="28"/>
        </w:rPr>
        <w:t>ations seeking to promote sustainable environmental practices.</w:t>
      </w:r>
      <w:r>
        <w:rPr>
          <w:rFonts w:asciiTheme="majorBidi" w:hAnsiTheme="majorBidi" w:cstheme="majorBidi"/>
          <w:sz w:val="28"/>
          <w:szCs w:val="28"/>
        </w:rPr>
        <w:t xml:space="preserve"> The second leadership style recommended is a democratic leadership style. I</w:t>
      </w:r>
      <w:r w:rsidRPr="002000F3">
        <w:rPr>
          <w:rFonts w:asciiTheme="majorBidi" w:hAnsiTheme="majorBidi" w:cstheme="majorBidi"/>
          <w:sz w:val="28"/>
          <w:szCs w:val="28"/>
        </w:rPr>
        <w:t xml:space="preserve">n this style, the leader involves others in decision-making processes, which can lead to more innovative solutions and a greater sense of </w:t>
      </w:r>
      <w:r>
        <w:rPr>
          <w:rFonts w:asciiTheme="majorBidi" w:hAnsiTheme="majorBidi" w:cstheme="majorBidi"/>
          <w:sz w:val="28"/>
          <w:szCs w:val="28"/>
        </w:rPr>
        <w:t>value that focus on the collective good and fundamental rather than profit</w:t>
      </w:r>
      <w:r w:rsidRPr="00402AC9">
        <w:rPr>
          <w:sz w:val="24"/>
          <w:szCs w:val="24"/>
        </w:rPr>
        <w:t xml:space="preserve"> </w:t>
      </w:r>
      <w:r w:rsidRPr="00122699">
        <w:rPr>
          <w:rFonts w:asciiTheme="majorBidi" w:hAnsiTheme="majorBidi" w:cstheme="majorBidi"/>
          <w:sz w:val="28"/>
          <w:szCs w:val="28"/>
        </w:rPr>
        <w:t>(Bozeman and Crow, 2021)</w:t>
      </w:r>
      <w:r>
        <w:rPr>
          <w:rFonts w:asciiTheme="majorBidi" w:hAnsiTheme="majorBidi" w:cstheme="majorBidi"/>
          <w:sz w:val="28"/>
          <w:szCs w:val="28"/>
        </w:rPr>
        <w:t>,</w:t>
      </w:r>
      <w:r w:rsidRPr="00AB5C38">
        <w:rPr>
          <w:rFonts w:asciiTheme="majorBidi" w:hAnsiTheme="majorBidi" w:cstheme="majorBidi"/>
          <w:sz w:val="28"/>
          <w:szCs w:val="28"/>
        </w:rPr>
        <w:t xml:space="preserve"> can also be effective in promoting sustainable environmental practices.</w:t>
      </w:r>
      <w:r w:rsidRPr="002000F3">
        <w:rPr>
          <w:rFonts w:asciiTheme="majorBidi" w:hAnsiTheme="majorBidi" w:cstheme="majorBidi"/>
          <w:sz w:val="28"/>
          <w:szCs w:val="28"/>
        </w:rPr>
        <w:t xml:space="preserve"> among team members</w:t>
      </w:r>
      <w:r>
        <w:rPr>
          <w:rFonts w:asciiTheme="majorBidi" w:hAnsiTheme="majorBidi" w:cstheme="majorBidi"/>
          <w:sz w:val="28"/>
          <w:szCs w:val="28"/>
        </w:rPr>
        <w:t xml:space="preserve"> in non-profit organisations. </w:t>
      </w:r>
      <w:r w:rsidRPr="00BA1D45">
        <w:rPr>
          <w:rFonts w:asciiTheme="majorBidi" w:hAnsiTheme="majorBidi" w:cstheme="majorBidi"/>
          <w:sz w:val="28"/>
          <w:szCs w:val="28"/>
        </w:rPr>
        <w:t>In contrast, Autocratic leaders make decisions without input from others and can be resistant to change</w:t>
      </w:r>
      <w:r w:rsidRPr="004D7E3A">
        <w:rPr>
          <w:rFonts w:ascii="Segoe UI" w:hAnsi="Segoe UI" w:cs="Segoe UI"/>
          <w:color w:val="374151"/>
          <w:shd w:val="clear" w:color="auto" w:fill="F7F7F8"/>
        </w:rPr>
        <w:t xml:space="preserve"> </w:t>
      </w:r>
      <w:r w:rsidRPr="004D7E3A">
        <w:rPr>
          <w:rFonts w:asciiTheme="majorBidi" w:hAnsiTheme="majorBidi" w:cstheme="majorBidi"/>
          <w:sz w:val="28"/>
          <w:szCs w:val="28"/>
        </w:rPr>
        <w:t>making it difficult to implement new environmental practices. Similarly, a laissez-faire leadership style, in which the leader is hands-off and provides little guidance or direction</w:t>
      </w:r>
      <w:r w:rsidRPr="006E3379">
        <w:rPr>
          <w:sz w:val="24"/>
          <w:szCs w:val="24"/>
        </w:rPr>
        <w:t xml:space="preserve"> </w:t>
      </w:r>
      <w:r w:rsidRPr="00917630">
        <w:rPr>
          <w:rFonts w:asciiTheme="majorBidi" w:hAnsiTheme="majorBidi" w:cstheme="majorBidi"/>
          <w:sz w:val="28"/>
          <w:szCs w:val="28"/>
        </w:rPr>
        <w:t>(Duncan,</w:t>
      </w:r>
      <w:r>
        <w:rPr>
          <w:rFonts w:asciiTheme="majorBidi" w:hAnsiTheme="majorBidi" w:cstheme="majorBidi"/>
          <w:sz w:val="28"/>
          <w:szCs w:val="28"/>
        </w:rPr>
        <w:t xml:space="preserve"> et al, </w:t>
      </w:r>
      <w:r w:rsidRPr="00917630">
        <w:rPr>
          <w:rFonts w:asciiTheme="majorBidi" w:hAnsiTheme="majorBidi" w:cstheme="majorBidi"/>
          <w:sz w:val="28"/>
          <w:szCs w:val="28"/>
        </w:rPr>
        <w:t>20</w:t>
      </w:r>
      <w:r>
        <w:rPr>
          <w:rFonts w:asciiTheme="majorBidi" w:hAnsiTheme="majorBidi" w:cstheme="majorBidi"/>
          <w:sz w:val="28"/>
          <w:szCs w:val="28"/>
        </w:rPr>
        <w:t>14</w:t>
      </w:r>
      <w:r w:rsidRPr="00917630">
        <w:rPr>
          <w:rFonts w:asciiTheme="majorBidi" w:hAnsiTheme="majorBidi" w:cstheme="majorBidi"/>
          <w:sz w:val="28"/>
          <w:szCs w:val="28"/>
        </w:rPr>
        <w:t>)</w:t>
      </w:r>
      <w:r w:rsidRPr="004D7E3A">
        <w:rPr>
          <w:rFonts w:asciiTheme="majorBidi" w:hAnsiTheme="majorBidi" w:cstheme="majorBidi"/>
          <w:sz w:val="28"/>
          <w:szCs w:val="28"/>
        </w:rPr>
        <w:t xml:space="preserve">, </w:t>
      </w:r>
      <w:r>
        <w:rPr>
          <w:rFonts w:asciiTheme="majorBidi" w:hAnsiTheme="majorBidi" w:cstheme="majorBidi"/>
          <w:sz w:val="28"/>
          <w:szCs w:val="28"/>
        </w:rPr>
        <w:t xml:space="preserve">which </w:t>
      </w:r>
      <w:r w:rsidRPr="004D7E3A">
        <w:rPr>
          <w:rFonts w:asciiTheme="majorBidi" w:hAnsiTheme="majorBidi" w:cstheme="majorBidi"/>
          <w:sz w:val="28"/>
          <w:szCs w:val="28"/>
        </w:rPr>
        <w:t>can lead</w:t>
      </w:r>
      <w:r w:rsidRPr="00D936C5">
        <w:rPr>
          <w:rFonts w:asciiTheme="majorBidi" w:hAnsiTheme="majorBidi" w:cstheme="majorBidi"/>
          <w:sz w:val="28"/>
          <w:szCs w:val="28"/>
        </w:rPr>
        <w:t xml:space="preserve"> to a lack of focus and accountability</w:t>
      </w:r>
      <w:r>
        <w:rPr>
          <w:rFonts w:asciiTheme="majorBidi" w:hAnsiTheme="majorBidi" w:cstheme="majorBidi"/>
          <w:sz w:val="28"/>
          <w:szCs w:val="28"/>
        </w:rPr>
        <w:t xml:space="preserve">. </w:t>
      </w:r>
      <w:r w:rsidRPr="00BA1D45">
        <w:rPr>
          <w:rFonts w:asciiTheme="majorBidi" w:hAnsiTheme="majorBidi" w:cstheme="majorBidi"/>
          <w:sz w:val="28"/>
          <w:szCs w:val="28"/>
        </w:rPr>
        <w:t>An autocratic leadership style can hinder a non-profit organi</w:t>
      </w:r>
      <w:r>
        <w:rPr>
          <w:rFonts w:asciiTheme="majorBidi" w:hAnsiTheme="majorBidi" w:cstheme="majorBidi"/>
          <w:sz w:val="28"/>
          <w:szCs w:val="28"/>
        </w:rPr>
        <w:t>s</w:t>
      </w:r>
      <w:r w:rsidRPr="00BA1D45">
        <w:rPr>
          <w:rFonts w:asciiTheme="majorBidi" w:hAnsiTheme="majorBidi" w:cstheme="majorBidi"/>
          <w:sz w:val="28"/>
          <w:szCs w:val="28"/>
        </w:rPr>
        <w:t>ation's efforts to promote sustainability</w:t>
      </w:r>
      <w:r>
        <w:rPr>
          <w:rFonts w:asciiTheme="majorBidi" w:hAnsiTheme="majorBidi" w:cstheme="majorBidi"/>
          <w:sz w:val="28"/>
          <w:szCs w:val="28"/>
        </w:rPr>
        <w:t xml:space="preserve">. The impact of leadership style on non-profit organisations and their ability to promote sustainability depends on style that has been employed, and clearly, we can identify that transformational </w:t>
      </w:r>
      <w:r>
        <w:rPr>
          <w:rFonts w:asciiTheme="majorBidi" w:hAnsiTheme="majorBidi" w:cstheme="majorBidi"/>
          <w:sz w:val="28"/>
          <w:szCs w:val="28"/>
        </w:rPr>
        <w:lastRenderedPageBreak/>
        <w:t>and democratic leadership styles are more likely to promote sustainable environment practices within non-profit organisations.</w:t>
      </w:r>
      <w:r w:rsidRPr="003829D1">
        <w:rPr>
          <w:rFonts w:asciiTheme="majorBidi" w:hAnsiTheme="majorBidi" w:cstheme="majorBidi"/>
          <w:sz w:val="28"/>
          <w:szCs w:val="28"/>
        </w:rPr>
        <w:t xml:space="preserve"> </w:t>
      </w:r>
      <w:r>
        <w:rPr>
          <w:rFonts w:asciiTheme="majorBidi" w:hAnsiTheme="majorBidi" w:cstheme="majorBidi"/>
          <w:sz w:val="28"/>
          <w:szCs w:val="28"/>
        </w:rPr>
        <w:t xml:space="preserve">However, in this research we will focus only on two significant leadership styles which are </w:t>
      </w:r>
      <w:r w:rsidRPr="00EB3E29">
        <w:rPr>
          <w:rFonts w:asciiTheme="majorBidi" w:hAnsiTheme="majorBidi" w:cstheme="majorBidi"/>
          <w:b/>
          <w:bCs/>
          <w:sz w:val="28"/>
          <w:szCs w:val="28"/>
        </w:rPr>
        <w:t>transformational</w:t>
      </w:r>
      <w:r>
        <w:rPr>
          <w:rFonts w:asciiTheme="majorBidi" w:hAnsiTheme="majorBidi" w:cstheme="majorBidi"/>
          <w:sz w:val="28"/>
          <w:szCs w:val="28"/>
        </w:rPr>
        <w:t xml:space="preserve"> and </w:t>
      </w:r>
      <w:r w:rsidRPr="00EB3E29">
        <w:rPr>
          <w:rFonts w:asciiTheme="majorBidi" w:hAnsiTheme="majorBidi" w:cstheme="majorBidi"/>
          <w:b/>
          <w:bCs/>
          <w:sz w:val="28"/>
          <w:szCs w:val="28"/>
        </w:rPr>
        <w:t>democratic</w:t>
      </w:r>
      <w:r>
        <w:rPr>
          <w:rFonts w:asciiTheme="majorBidi" w:hAnsiTheme="majorBidi" w:cstheme="majorBidi"/>
          <w:sz w:val="28"/>
          <w:szCs w:val="28"/>
        </w:rPr>
        <w:t xml:space="preserve"> leadership styles, because they are essential role in leading complex work groups such as non-profit organisations</w:t>
      </w:r>
      <w:r w:rsidRPr="005E41E8">
        <w:rPr>
          <w:rFonts w:asciiTheme="majorBidi" w:hAnsiTheme="majorBidi" w:cstheme="majorBidi"/>
          <w:sz w:val="28"/>
          <w:szCs w:val="28"/>
        </w:rPr>
        <w:t xml:space="preserve"> (Megheirkouni, 2017)</w:t>
      </w:r>
      <w:r>
        <w:rPr>
          <w:rFonts w:asciiTheme="majorBidi" w:hAnsiTheme="majorBidi" w:cstheme="majorBidi"/>
          <w:sz w:val="28"/>
          <w:szCs w:val="28"/>
        </w:rPr>
        <w:t xml:space="preserve">. </w:t>
      </w:r>
    </w:p>
    <w:p w14:paraId="15CB8D70" w14:textId="77777777" w:rsidR="00D96EC4" w:rsidRDefault="00D96EC4" w:rsidP="00D96EC4">
      <w:pPr>
        <w:spacing w:line="360" w:lineRule="auto"/>
        <w:ind w:firstLine="720"/>
        <w:jc w:val="both"/>
        <w:rPr>
          <w:rFonts w:asciiTheme="majorBidi" w:hAnsiTheme="majorBidi" w:cstheme="majorBidi"/>
          <w:sz w:val="28"/>
          <w:szCs w:val="28"/>
        </w:rPr>
      </w:pPr>
      <w:r>
        <w:rPr>
          <w:rFonts w:asciiTheme="majorBidi" w:hAnsiTheme="majorBidi" w:cstheme="majorBidi"/>
          <w:sz w:val="28"/>
          <w:szCs w:val="28"/>
        </w:rPr>
        <w:t>This research believes that there are predictable patterns could bring significant values to better understanding of relationships between leadership style and sustainability within non-profit organisations. For example, further investigation could:</w:t>
      </w:r>
    </w:p>
    <w:p w14:paraId="3CFDB41D" w14:textId="77777777" w:rsidR="00D96EC4" w:rsidRDefault="00D96EC4" w:rsidP="00D96EC4">
      <w:pPr>
        <w:pStyle w:val="ListParagraph"/>
        <w:numPr>
          <w:ilvl w:val="0"/>
          <w:numId w:val="1"/>
        </w:numPr>
        <w:spacing w:line="360" w:lineRule="auto"/>
        <w:jc w:val="both"/>
        <w:rPr>
          <w:rFonts w:asciiTheme="majorBidi" w:hAnsiTheme="majorBidi" w:cstheme="majorBidi"/>
          <w:sz w:val="28"/>
          <w:szCs w:val="28"/>
        </w:rPr>
      </w:pPr>
      <w:r>
        <w:rPr>
          <w:rFonts w:asciiTheme="majorBidi" w:hAnsiTheme="majorBidi" w:cstheme="majorBidi"/>
          <w:sz w:val="28"/>
          <w:szCs w:val="28"/>
        </w:rPr>
        <w:t>E</w:t>
      </w:r>
      <w:r w:rsidRPr="00FC52AC">
        <w:rPr>
          <w:rFonts w:asciiTheme="majorBidi" w:hAnsiTheme="majorBidi" w:cstheme="majorBidi"/>
          <w:sz w:val="28"/>
          <w:szCs w:val="28"/>
        </w:rPr>
        <w:t xml:space="preserve">nhanced knowledge and </w:t>
      </w:r>
      <w:r>
        <w:rPr>
          <w:rFonts w:asciiTheme="majorBidi" w:hAnsiTheme="majorBidi" w:cstheme="majorBidi"/>
          <w:sz w:val="28"/>
          <w:szCs w:val="28"/>
        </w:rPr>
        <w:t>u</w:t>
      </w:r>
      <w:r w:rsidRPr="00FC52AC">
        <w:rPr>
          <w:rFonts w:asciiTheme="majorBidi" w:hAnsiTheme="majorBidi" w:cstheme="majorBidi"/>
          <w:sz w:val="28"/>
          <w:szCs w:val="28"/>
        </w:rPr>
        <w:t>nderstanding of the specific mechanisms of leadership styles that impacts sustainability outcomes and dynamic factors that contribute to successful sustainability initiatives in non-profit organisations</w:t>
      </w:r>
      <w:r>
        <w:rPr>
          <w:rFonts w:asciiTheme="majorBidi" w:hAnsiTheme="majorBidi" w:cstheme="majorBidi"/>
          <w:sz w:val="28"/>
          <w:szCs w:val="28"/>
        </w:rPr>
        <w:t>.</w:t>
      </w:r>
    </w:p>
    <w:p w14:paraId="6BF39FBD" w14:textId="77777777" w:rsidR="00D96EC4" w:rsidRDefault="00D96EC4" w:rsidP="00D96EC4">
      <w:pPr>
        <w:pStyle w:val="ListParagraph"/>
        <w:numPr>
          <w:ilvl w:val="0"/>
          <w:numId w:val="1"/>
        </w:numPr>
        <w:spacing w:line="360" w:lineRule="auto"/>
        <w:jc w:val="both"/>
        <w:rPr>
          <w:rFonts w:asciiTheme="majorBidi" w:hAnsiTheme="majorBidi" w:cstheme="majorBidi"/>
          <w:sz w:val="28"/>
          <w:szCs w:val="28"/>
        </w:rPr>
      </w:pPr>
      <w:r>
        <w:rPr>
          <w:rFonts w:asciiTheme="majorBidi" w:hAnsiTheme="majorBidi" w:cstheme="majorBidi"/>
          <w:sz w:val="28"/>
          <w:szCs w:val="28"/>
        </w:rPr>
        <w:t>P</w:t>
      </w:r>
      <w:r w:rsidRPr="00FC52AC">
        <w:rPr>
          <w:rFonts w:asciiTheme="majorBidi" w:hAnsiTheme="majorBidi" w:cstheme="majorBidi"/>
          <w:sz w:val="28"/>
          <w:szCs w:val="28"/>
        </w:rPr>
        <w:t xml:space="preserve">rovide best practices and guidelines for leaders and mangers </w:t>
      </w:r>
      <w:r>
        <w:rPr>
          <w:rFonts w:asciiTheme="majorBidi" w:hAnsiTheme="majorBidi" w:cstheme="majorBidi"/>
          <w:sz w:val="28"/>
          <w:szCs w:val="28"/>
        </w:rPr>
        <w:t>to effectively drive sustainability in non-profit organisations.</w:t>
      </w:r>
    </w:p>
    <w:p w14:paraId="7C440261" w14:textId="77777777" w:rsidR="00D96EC4" w:rsidRDefault="00D96EC4" w:rsidP="00D96EC4">
      <w:pPr>
        <w:pStyle w:val="ListParagraph"/>
        <w:numPr>
          <w:ilvl w:val="0"/>
          <w:numId w:val="1"/>
        </w:numPr>
        <w:spacing w:line="360" w:lineRule="auto"/>
        <w:jc w:val="both"/>
        <w:rPr>
          <w:rFonts w:asciiTheme="majorBidi" w:hAnsiTheme="majorBidi" w:cstheme="majorBidi"/>
          <w:sz w:val="28"/>
          <w:szCs w:val="28"/>
        </w:rPr>
      </w:pPr>
      <w:r>
        <w:rPr>
          <w:rFonts w:asciiTheme="majorBidi" w:hAnsiTheme="majorBidi" w:cstheme="majorBidi"/>
          <w:sz w:val="28"/>
          <w:szCs w:val="28"/>
        </w:rPr>
        <w:t>E</w:t>
      </w:r>
      <w:r w:rsidRPr="000D3AE5">
        <w:rPr>
          <w:rFonts w:asciiTheme="majorBidi" w:hAnsiTheme="majorBidi" w:cstheme="majorBidi"/>
          <w:sz w:val="28"/>
          <w:szCs w:val="28"/>
        </w:rPr>
        <w:t>xplore the perspectives of various stakeholders, including staff, volunteers, beneficiaries, donors, and community members, regarding the impact of leadership styles on sustainability</w:t>
      </w:r>
      <w:r>
        <w:rPr>
          <w:rFonts w:asciiTheme="majorBidi" w:hAnsiTheme="majorBidi" w:cstheme="majorBidi"/>
          <w:sz w:val="28"/>
          <w:szCs w:val="28"/>
        </w:rPr>
        <w:t xml:space="preserve"> in non-profit organisations.</w:t>
      </w:r>
    </w:p>
    <w:p w14:paraId="581C32A8" w14:textId="77777777" w:rsidR="00D96EC4" w:rsidRPr="00802CB8" w:rsidRDefault="00D96EC4" w:rsidP="00D96EC4">
      <w:pPr>
        <w:spacing w:line="360" w:lineRule="auto"/>
        <w:jc w:val="both"/>
        <w:rPr>
          <w:rFonts w:asciiTheme="majorBidi" w:hAnsiTheme="majorBidi" w:cstheme="majorBidi"/>
          <w:sz w:val="28"/>
          <w:szCs w:val="28"/>
        </w:rPr>
      </w:pPr>
      <w:r w:rsidRPr="00802CB8">
        <w:rPr>
          <w:rFonts w:asciiTheme="majorBidi" w:hAnsiTheme="majorBidi" w:cstheme="majorBidi"/>
          <w:sz w:val="28"/>
          <w:szCs w:val="28"/>
        </w:rPr>
        <w:t>Ultimately, further investigation could contribute to advancing knowledge, improving practices, and guiding decision-making processes related to leadership and sustainability. It can also, increase positive environmental impacts and foster sustainable practices within the non-profit sector.</w:t>
      </w:r>
    </w:p>
    <w:p w14:paraId="4CD034C4" w14:textId="77777777" w:rsidR="00D96EC4" w:rsidRDefault="00D96EC4" w:rsidP="00D96EC4">
      <w:pPr>
        <w:spacing w:line="360" w:lineRule="auto"/>
        <w:ind w:firstLine="720"/>
        <w:jc w:val="both"/>
        <w:rPr>
          <w:rFonts w:asciiTheme="majorBidi" w:hAnsiTheme="majorBidi" w:cstheme="majorBidi"/>
          <w:sz w:val="28"/>
          <w:szCs w:val="28"/>
        </w:rPr>
      </w:pPr>
      <w:r>
        <w:rPr>
          <w:rFonts w:asciiTheme="majorBidi" w:hAnsiTheme="majorBidi" w:cstheme="majorBidi"/>
          <w:sz w:val="28"/>
          <w:szCs w:val="28"/>
        </w:rPr>
        <w:t xml:space="preserve"> The investigation utilised research questions to identify and evaluate the obtained data from the survey</w:t>
      </w:r>
      <w:r w:rsidRPr="00A74E25">
        <w:rPr>
          <w:rFonts w:asciiTheme="majorBidi" w:hAnsiTheme="majorBidi" w:cstheme="majorBidi"/>
          <w:sz w:val="28"/>
          <w:szCs w:val="28"/>
        </w:rPr>
        <w:t xml:space="preserve"> </w:t>
      </w:r>
      <w:r w:rsidRPr="00BA6F8D">
        <w:rPr>
          <w:rFonts w:asciiTheme="majorBidi" w:hAnsiTheme="majorBidi" w:cstheme="majorBidi"/>
          <w:sz w:val="28"/>
          <w:szCs w:val="28"/>
        </w:rPr>
        <w:t>(Loucks, 2022)</w:t>
      </w:r>
      <w:r>
        <w:rPr>
          <w:rFonts w:asciiTheme="majorBidi" w:hAnsiTheme="majorBidi" w:cstheme="majorBidi"/>
          <w:sz w:val="28"/>
          <w:szCs w:val="28"/>
        </w:rPr>
        <w:t xml:space="preserve">. First the impact, to what extent is the correlation between leadership style (transformational, democratic) and </w:t>
      </w:r>
      <w:r>
        <w:rPr>
          <w:rFonts w:asciiTheme="majorBidi" w:hAnsiTheme="majorBidi" w:cstheme="majorBidi"/>
          <w:sz w:val="28"/>
          <w:szCs w:val="28"/>
        </w:rPr>
        <w:lastRenderedPageBreak/>
        <w:t>implementation of sustainability practices within non-profit organisations? Second human resources, how does the non-profit organisations involve their staff, volunteers, and stakeholder in environmental sustainability efforts? The research intention of using abductive reasoning methodology which is ‘produces exploratory hypotheses’ according to (</w:t>
      </w:r>
      <w:r w:rsidRPr="003B65AD">
        <w:rPr>
          <w:rFonts w:asciiTheme="majorBidi" w:hAnsiTheme="majorBidi" w:cstheme="majorBidi"/>
          <w:sz w:val="28"/>
          <w:szCs w:val="28"/>
        </w:rPr>
        <w:t>Coghlan and Shani, 2021)</w:t>
      </w:r>
      <w:r>
        <w:rPr>
          <w:rFonts w:asciiTheme="majorBidi" w:hAnsiTheme="majorBidi" w:cstheme="majorBidi"/>
          <w:sz w:val="28"/>
          <w:szCs w:val="28"/>
        </w:rPr>
        <w:t>, in this research it could mean that, provide construct through in which we can understand how this theory develops in action research.  Also help to provide more robust and practical insights that can inform leadership (practices, strategies, and approaches) and enhance sustainability effort in the non- profit sector</w:t>
      </w:r>
      <w:r w:rsidRPr="00D321B2">
        <w:rPr>
          <w:rFonts w:asciiTheme="majorBidi" w:hAnsiTheme="majorBidi" w:cstheme="majorBidi"/>
          <w:sz w:val="28"/>
          <w:szCs w:val="28"/>
        </w:rPr>
        <w:t xml:space="preserve"> (Engelschalt and et al, 2021).</w:t>
      </w:r>
      <w:r>
        <w:rPr>
          <w:rFonts w:asciiTheme="majorBidi" w:hAnsiTheme="majorBidi" w:cstheme="majorBidi"/>
          <w:sz w:val="28"/>
          <w:szCs w:val="28"/>
        </w:rPr>
        <w:t xml:space="preserve"> The research approach carried mixed methods which are the compensation of ‘quantitative and qualitative method approaches’ for collecting the data to gather more ‘comprehensive understanding’ of the topic and to fulfil the gap identified in the research questions</w:t>
      </w:r>
      <w:r w:rsidRPr="00C30842">
        <w:rPr>
          <w:sz w:val="24"/>
          <w:szCs w:val="24"/>
        </w:rPr>
        <w:t xml:space="preserve"> </w:t>
      </w:r>
      <w:r>
        <w:rPr>
          <w:sz w:val="24"/>
          <w:szCs w:val="24"/>
        </w:rPr>
        <w:t>(</w:t>
      </w:r>
      <w:r w:rsidRPr="00C30842">
        <w:rPr>
          <w:rFonts w:asciiTheme="majorBidi" w:hAnsiTheme="majorBidi" w:cstheme="majorBidi"/>
          <w:sz w:val="28"/>
          <w:szCs w:val="28"/>
        </w:rPr>
        <w:t>Zou, et al. 2018)</w:t>
      </w:r>
      <w:r>
        <w:rPr>
          <w:rFonts w:asciiTheme="majorBidi" w:hAnsiTheme="majorBidi" w:cstheme="majorBidi"/>
          <w:sz w:val="28"/>
          <w:szCs w:val="28"/>
        </w:rPr>
        <w:t>. However,</w:t>
      </w:r>
      <w:r w:rsidRPr="00C30842">
        <w:rPr>
          <w:rFonts w:asciiTheme="majorBidi" w:hAnsiTheme="majorBidi" w:cstheme="majorBidi"/>
          <w:sz w:val="28"/>
          <w:szCs w:val="28"/>
        </w:rPr>
        <w:t xml:space="preserve"> Czernek</w:t>
      </w:r>
      <w:r>
        <w:rPr>
          <w:rFonts w:asciiTheme="majorBidi" w:hAnsiTheme="majorBidi" w:cstheme="majorBidi"/>
          <w:sz w:val="28"/>
          <w:szCs w:val="28"/>
        </w:rPr>
        <w:t xml:space="preserve"> </w:t>
      </w:r>
      <w:r w:rsidRPr="00C30842">
        <w:rPr>
          <w:rFonts w:asciiTheme="majorBidi" w:hAnsiTheme="majorBidi" w:cstheme="majorBidi"/>
          <w:sz w:val="28"/>
          <w:szCs w:val="28"/>
        </w:rPr>
        <w:t xml:space="preserve">(2019) </w:t>
      </w:r>
      <w:r>
        <w:rPr>
          <w:rFonts w:asciiTheme="majorBidi" w:hAnsiTheme="majorBidi" w:cstheme="majorBidi"/>
          <w:sz w:val="28"/>
          <w:szCs w:val="28"/>
        </w:rPr>
        <w:t xml:space="preserve">has mentioned that the mixed methods approach is to help researchers reach a ‘better understanding’ of whether produce a new literature or just to highlight the gaps. </w:t>
      </w:r>
    </w:p>
    <w:p w14:paraId="6A8525F5" w14:textId="77777777" w:rsidR="00D96EC4" w:rsidRPr="00967CF6" w:rsidRDefault="00D96EC4" w:rsidP="00D96EC4">
      <w:pPr>
        <w:spacing w:line="360" w:lineRule="auto"/>
        <w:ind w:firstLine="720"/>
        <w:jc w:val="both"/>
        <w:rPr>
          <w:rFonts w:asciiTheme="majorBidi" w:hAnsiTheme="majorBidi" w:cstheme="majorBidi"/>
          <w:sz w:val="28"/>
          <w:szCs w:val="28"/>
        </w:rPr>
      </w:pPr>
      <w:r>
        <w:rPr>
          <w:rFonts w:asciiTheme="majorBidi" w:hAnsiTheme="majorBidi" w:cstheme="majorBidi"/>
          <w:sz w:val="28"/>
          <w:szCs w:val="28"/>
        </w:rPr>
        <w:t xml:space="preserve">For example, this research had conducted a primary survey to </w:t>
      </w:r>
      <w:r w:rsidRPr="008243B5">
        <w:rPr>
          <w:rFonts w:asciiTheme="majorBidi" w:hAnsiTheme="majorBidi" w:cstheme="majorBidi"/>
          <w:sz w:val="28"/>
          <w:szCs w:val="28"/>
        </w:rPr>
        <w:t xml:space="preserve">gather numerical data </w:t>
      </w:r>
      <w:r>
        <w:rPr>
          <w:rFonts w:asciiTheme="majorBidi" w:hAnsiTheme="majorBidi" w:cstheme="majorBidi"/>
          <w:sz w:val="28"/>
          <w:szCs w:val="28"/>
        </w:rPr>
        <w:t>as a quantitative (</w:t>
      </w:r>
      <w:r w:rsidRPr="00546F5A">
        <w:rPr>
          <w:rFonts w:asciiTheme="majorBidi" w:hAnsiTheme="majorBidi" w:cstheme="majorBidi"/>
          <w:sz w:val="28"/>
          <w:szCs w:val="28"/>
        </w:rPr>
        <w:t>closed-ended questions)</w:t>
      </w:r>
      <w:r>
        <w:rPr>
          <w:rFonts w:asciiTheme="majorBidi" w:hAnsiTheme="majorBidi" w:cstheme="majorBidi"/>
          <w:sz w:val="28"/>
          <w:szCs w:val="28"/>
        </w:rPr>
        <w:t xml:space="preserve"> through online platform </w:t>
      </w:r>
      <w:r w:rsidRPr="008243B5">
        <w:rPr>
          <w:rFonts w:asciiTheme="majorBidi" w:hAnsiTheme="majorBidi" w:cstheme="majorBidi"/>
          <w:sz w:val="28"/>
          <w:szCs w:val="28"/>
        </w:rPr>
        <w:t>and follow</w:t>
      </w:r>
      <w:r>
        <w:rPr>
          <w:rFonts w:asciiTheme="majorBidi" w:hAnsiTheme="majorBidi" w:cstheme="majorBidi"/>
          <w:sz w:val="28"/>
          <w:szCs w:val="28"/>
        </w:rPr>
        <w:t>ed</w:t>
      </w:r>
      <w:r w:rsidRPr="008243B5">
        <w:rPr>
          <w:rFonts w:asciiTheme="majorBidi" w:hAnsiTheme="majorBidi" w:cstheme="majorBidi"/>
          <w:sz w:val="28"/>
          <w:szCs w:val="28"/>
        </w:rPr>
        <w:t xml:space="preserve"> up with </w:t>
      </w:r>
      <w:r>
        <w:rPr>
          <w:rFonts w:asciiTheme="majorBidi" w:hAnsiTheme="majorBidi" w:cstheme="majorBidi"/>
          <w:sz w:val="28"/>
          <w:szCs w:val="28"/>
        </w:rPr>
        <w:t>qualitative (open-ended question)</w:t>
      </w:r>
      <w:r w:rsidRPr="008243B5">
        <w:rPr>
          <w:rFonts w:asciiTheme="majorBidi" w:hAnsiTheme="majorBidi" w:cstheme="majorBidi"/>
          <w:sz w:val="28"/>
          <w:szCs w:val="28"/>
        </w:rPr>
        <w:t xml:space="preserve"> to gather more detailed information about the experiences and perspectives of the survey respondents.</w:t>
      </w:r>
      <w:r>
        <w:rPr>
          <w:rFonts w:asciiTheme="majorBidi" w:hAnsiTheme="majorBidi" w:cstheme="majorBidi"/>
          <w:sz w:val="28"/>
          <w:szCs w:val="28"/>
        </w:rPr>
        <w:t xml:space="preserve"> This survey adopted sampling size method with consideration that the specific </w:t>
      </w:r>
      <w:r w:rsidRPr="007619FA">
        <w:rPr>
          <w:rFonts w:asciiTheme="majorBidi" w:hAnsiTheme="majorBidi" w:cstheme="majorBidi"/>
          <w:sz w:val="28"/>
          <w:szCs w:val="28"/>
        </w:rPr>
        <w:t>research design and analysis techniques employed</w:t>
      </w:r>
      <w:r>
        <w:rPr>
          <w:rFonts w:asciiTheme="majorBidi" w:hAnsiTheme="majorBidi" w:cstheme="majorBidi"/>
          <w:sz w:val="28"/>
          <w:szCs w:val="28"/>
        </w:rPr>
        <w:t>,</w:t>
      </w:r>
      <w:r w:rsidRPr="007619FA">
        <w:rPr>
          <w:rFonts w:asciiTheme="majorBidi" w:hAnsiTheme="majorBidi" w:cstheme="majorBidi"/>
          <w:sz w:val="28"/>
          <w:szCs w:val="28"/>
        </w:rPr>
        <w:t xml:space="preserve"> have specific sample size requirements</w:t>
      </w:r>
      <w:r>
        <w:rPr>
          <w:rFonts w:asciiTheme="majorBidi" w:hAnsiTheme="majorBidi" w:cstheme="majorBidi"/>
          <w:sz w:val="28"/>
          <w:szCs w:val="28"/>
        </w:rPr>
        <w:t xml:space="preserve"> internally, (home) focus group of representatives of non-profit organisations to obtain the data and understanding the mechanisms of sustainable practices in relation to non-profit organisations activities. Which is important for non-profit organizations to sustain these activities in consistent ways for achieving their mission</w:t>
      </w:r>
      <w:r w:rsidRPr="008274DA">
        <w:rPr>
          <w:rFonts w:asciiTheme="majorBidi" w:hAnsiTheme="majorBidi" w:cstheme="majorBidi"/>
          <w:sz w:val="28"/>
          <w:szCs w:val="28"/>
        </w:rPr>
        <w:t xml:space="preserve"> (Dvoryadkina and Prostova, 2020).</w:t>
      </w:r>
    </w:p>
    <w:p w14:paraId="110E1148" w14:textId="6DC0BEF3" w:rsidR="00D96EC4" w:rsidRDefault="00D96EC4" w:rsidP="00D96EC4">
      <w:pPr>
        <w:rPr>
          <w:sz w:val="24"/>
          <w:szCs w:val="24"/>
        </w:rPr>
      </w:pPr>
      <w:proofErr w:type="gramStart"/>
      <w:r w:rsidRPr="00D96EC4">
        <w:rPr>
          <w:color w:val="FF0000"/>
          <w:sz w:val="24"/>
          <w:szCs w:val="24"/>
        </w:rPr>
        <w:lastRenderedPageBreak/>
        <w:t>Note</w:t>
      </w:r>
      <w:r>
        <w:rPr>
          <w:sz w:val="24"/>
          <w:szCs w:val="24"/>
        </w:rPr>
        <w:t>:.</w:t>
      </w:r>
      <w:proofErr w:type="gramEnd"/>
      <w:r>
        <w:rPr>
          <w:sz w:val="24"/>
          <w:szCs w:val="24"/>
        </w:rPr>
        <w:t xml:space="preserve"> I still working on the rest of the tasks, but your feedbacks are important for helping me to continue in structed </w:t>
      </w:r>
      <w:proofErr w:type="gramStart"/>
      <w:r>
        <w:rPr>
          <w:sz w:val="24"/>
          <w:szCs w:val="24"/>
        </w:rPr>
        <w:t>way..</w:t>
      </w:r>
      <w:proofErr w:type="gramEnd"/>
    </w:p>
    <w:p w14:paraId="67964B20" w14:textId="77777777" w:rsidR="00D96EC4" w:rsidRDefault="00D96EC4" w:rsidP="00D96EC4">
      <w:pPr>
        <w:rPr>
          <w:sz w:val="24"/>
          <w:szCs w:val="24"/>
        </w:rPr>
      </w:pPr>
    </w:p>
    <w:p w14:paraId="0BCD043D" w14:textId="77777777" w:rsidR="00D96EC4" w:rsidRPr="00DA4AE8" w:rsidRDefault="00D96EC4" w:rsidP="00D96EC4">
      <w:pPr>
        <w:pBdr>
          <w:bottom w:val="single" w:sz="4" w:space="1" w:color="auto"/>
        </w:pBdr>
        <w:rPr>
          <w:b/>
          <w:bCs/>
          <w:sz w:val="28"/>
          <w:szCs w:val="28"/>
        </w:rPr>
      </w:pPr>
      <w:r w:rsidRPr="00DA4AE8">
        <w:rPr>
          <w:b/>
          <w:bCs/>
          <w:sz w:val="28"/>
          <w:szCs w:val="28"/>
        </w:rPr>
        <w:t>References</w:t>
      </w:r>
    </w:p>
    <w:p w14:paraId="58D1116C" w14:textId="77777777" w:rsidR="00D96EC4" w:rsidRDefault="00D96EC4" w:rsidP="00D96EC4">
      <w:pPr>
        <w:rPr>
          <w:sz w:val="24"/>
          <w:szCs w:val="24"/>
        </w:rPr>
      </w:pPr>
    </w:p>
    <w:p w14:paraId="190E12F5" w14:textId="3B9EDEAB" w:rsidR="00D96EC4" w:rsidRPr="002118DA" w:rsidRDefault="00D96EC4" w:rsidP="00D96EC4">
      <w:pPr>
        <w:rPr>
          <w:sz w:val="24"/>
          <w:szCs w:val="24"/>
        </w:rPr>
      </w:pPr>
      <w:r w:rsidRPr="000B13D1">
        <w:rPr>
          <w:sz w:val="24"/>
          <w:szCs w:val="24"/>
        </w:rPr>
        <w:t>Loucks, D.P. (2022) Public Systems Modeling: Methods for Identifying and Evaluating Alternative Plans and Policies. Cham: Springer Nature.</w:t>
      </w:r>
    </w:p>
    <w:p w14:paraId="539FD0C1" w14:textId="78A7D23A" w:rsidR="00D96EC4" w:rsidRPr="004D7F8C" w:rsidRDefault="00D96EC4" w:rsidP="00D96EC4">
      <w:pPr>
        <w:rPr>
          <w:sz w:val="24"/>
          <w:szCs w:val="24"/>
        </w:rPr>
      </w:pPr>
      <w:r w:rsidRPr="002118DA">
        <w:rPr>
          <w:sz w:val="24"/>
          <w:szCs w:val="24"/>
        </w:rPr>
        <w:t xml:space="preserve">  </w:t>
      </w:r>
      <w:proofErr w:type="spellStart"/>
      <w:r w:rsidRPr="002118DA">
        <w:rPr>
          <w:sz w:val="24"/>
          <w:szCs w:val="24"/>
        </w:rPr>
        <w:t>Upmeier</w:t>
      </w:r>
      <w:proofErr w:type="spellEnd"/>
      <w:r w:rsidRPr="002118DA">
        <w:rPr>
          <w:sz w:val="24"/>
          <w:szCs w:val="24"/>
        </w:rPr>
        <w:t xml:space="preserve"> </w:t>
      </w:r>
      <w:proofErr w:type="spellStart"/>
      <w:r w:rsidRPr="002118DA">
        <w:rPr>
          <w:sz w:val="24"/>
          <w:szCs w:val="24"/>
        </w:rPr>
        <w:t>zu</w:t>
      </w:r>
      <w:proofErr w:type="spellEnd"/>
      <w:r w:rsidRPr="002118DA">
        <w:rPr>
          <w:sz w:val="24"/>
          <w:szCs w:val="24"/>
        </w:rPr>
        <w:t xml:space="preserve"> </w:t>
      </w:r>
      <w:proofErr w:type="spellStart"/>
      <w:r w:rsidRPr="002118DA">
        <w:rPr>
          <w:sz w:val="24"/>
          <w:szCs w:val="24"/>
        </w:rPr>
        <w:t>Belzen</w:t>
      </w:r>
      <w:proofErr w:type="spellEnd"/>
      <w:r w:rsidRPr="002118DA">
        <w:rPr>
          <w:sz w:val="24"/>
          <w:szCs w:val="24"/>
        </w:rPr>
        <w:t xml:space="preserve">, A., Engelschalt, P. and </w:t>
      </w:r>
      <w:proofErr w:type="spellStart"/>
      <w:r w:rsidRPr="002118DA">
        <w:rPr>
          <w:sz w:val="24"/>
          <w:szCs w:val="24"/>
        </w:rPr>
        <w:t>Krüger</w:t>
      </w:r>
      <w:proofErr w:type="spellEnd"/>
      <w:r w:rsidRPr="002118DA">
        <w:rPr>
          <w:sz w:val="24"/>
          <w:szCs w:val="24"/>
        </w:rPr>
        <w:t xml:space="preserve">, D. (2021) ‘Modeling as Scientific Reasoning—The Role of Abductive Reasoning for Modeling Competence’, Education sciences, 11(9), p. 495–. Available at: </w:t>
      </w:r>
      <w:hyperlink r:id="rId5" w:history="1">
        <w:r w:rsidRPr="00D96EC4">
          <w:t>https://doi.org/10.3390/educsci11090495</w:t>
        </w:r>
      </w:hyperlink>
      <w:r w:rsidRPr="002118DA">
        <w:rPr>
          <w:sz w:val="24"/>
          <w:szCs w:val="24"/>
        </w:rPr>
        <w:t>.</w:t>
      </w:r>
    </w:p>
    <w:p w14:paraId="35185AD3" w14:textId="77777777" w:rsidR="00D96EC4" w:rsidRPr="00C30842" w:rsidRDefault="00D96EC4" w:rsidP="00D96EC4">
      <w:pPr>
        <w:rPr>
          <w:sz w:val="24"/>
          <w:szCs w:val="24"/>
        </w:rPr>
      </w:pPr>
      <w:r w:rsidRPr="004D7F8C">
        <w:rPr>
          <w:sz w:val="24"/>
          <w:szCs w:val="24"/>
        </w:rPr>
        <w:t xml:space="preserve">  Czernek-</w:t>
      </w:r>
      <w:proofErr w:type="spellStart"/>
      <w:r w:rsidRPr="004D7F8C">
        <w:rPr>
          <w:sz w:val="24"/>
          <w:szCs w:val="24"/>
        </w:rPr>
        <w:t>Marszałek</w:t>
      </w:r>
      <w:proofErr w:type="spellEnd"/>
      <w:r w:rsidRPr="004D7F8C">
        <w:rPr>
          <w:sz w:val="24"/>
          <w:szCs w:val="24"/>
        </w:rPr>
        <w:t xml:space="preserve">, K. (2019) ‘Applying mixed methods in social network research – The case of cooperation in a Polish tourist destination’, Journal of destination marketing &amp; management, 11, pp. 40–52. Available at: </w:t>
      </w:r>
      <w:hyperlink r:id="rId6" w:history="1">
        <w:r w:rsidRPr="00D96EC4">
          <w:t>https://doi.org/10.1016/j.jdmm.2018.10.004</w:t>
        </w:r>
      </w:hyperlink>
      <w:r w:rsidRPr="004D7F8C">
        <w:rPr>
          <w:sz w:val="24"/>
          <w:szCs w:val="24"/>
        </w:rPr>
        <w:t>.</w:t>
      </w:r>
      <w:r>
        <w:rPr>
          <w:sz w:val="24"/>
          <w:szCs w:val="24"/>
        </w:rPr>
        <w:t xml:space="preserve"> </w:t>
      </w:r>
    </w:p>
    <w:p w14:paraId="02611AE9" w14:textId="77777777" w:rsidR="00D96EC4" w:rsidRDefault="00D96EC4" w:rsidP="00D96EC4">
      <w:pPr>
        <w:rPr>
          <w:sz w:val="24"/>
          <w:szCs w:val="24"/>
        </w:rPr>
      </w:pPr>
      <w:r w:rsidRPr="00C30842">
        <w:rPr>
          <w:sz w:val="24"/>
          <w:szCs w:val="24"/>
        </w:rPr>
        <w:t xml:space="preserve">  Zou, P.X.W. et al. (2018) ‘A mixed methods design for building occupants’ energy </w:t>
      </w:r>
      <w:proofErr w:type="spellStart"/>
      <w:r w:rsidRPr="00C30842">
        <w:rPr>
          <w:sz w:val="24"/>
          <w:szCs w:val="24"/>
        </w:rPr>
        <w:t>behavior</w:t>
      </w:r>
      <w:proofErr w:type="spellEnd"/>
      <w:r w:rsidRPr="00C30842">
        <w:rPr>
          <w:sz w:val="24"/>
          <w:szCs w:val="24"/>
        </w:rPr>
        <w:t xml:space="preserve"> research’, Energy and buildings, 166, pp. 239–249. Available at: </w:t>
      </w:r>
      <w:hyperlink r:id="rId7" w:history="1">
        <w:r w:rsidRPr="00D96EC4">
          <w:t>https://doi.org/10.1016/j.enbuild.2018.01.068</w:t>
        </w:r>
      </w:hyperlink>
      <w:r w:rsidRPr="00C30842">
        <w:rPr>
          <w:sz w:val="24"/>
          <w:szCs w:val="24"/>
        </w:rPr>
        <w:t>.</w:t>
      </w:r>
    </w:p>
    <w:p w14:paraId="62521058" w14:textId="77777777" w:rsidR="00D96EC4" w:rsidRPr="00D96EC4" w:rsidRDefault="00D96EC4" w:rsidP="00D96EC4">
      <w:pPr>
        <w:rPr>
          <w:sz w:val="24"/>
          <w:szCs w:val="24"/>
        </w:rPr>
      </w:pPr>
      <w:r w:rsidRPr="00D96EC4">
        <w:rPr>
          <w:sz w:val="24"/>
          <w:szCs w:val="24"/>
        </w:rPr>
        <w:t xml:space="preserve"> DVORYADKINA, E. and PROSTOVA, D., (2020). Mechanisms of the sustainable development of non-profit organizations in the region. Les Ulis: EDP Sciences. </w:t>
      </w:r>
    </w:p>
    <w:p w14:paraId="0B1E6CE4" w14:textId="3FB0B1F5" w:rsidR="00D96EC4" w:rsidRPr="00C46896" w:rsidRDefault="00D96EC4" w:rsidP="00D96EC4">
      <w:pPr>
        <w:rPr>
          <w:sz w:val="24"/>
          <w:szCs w:val="24"/>
        </w:rPr>
      </w:pPr>
      <w:r w:rsidRPr="00D96EC4">
        <w:rPr>
          <w:sz w:val="24"/>
          <w:szCs w:val="24"/>
        </w:rPr>
        <w:t>MEGHEIRKOUNI, M., (2017). Leadership styles and organizational learning in UK for-profit and non-profit sports organizations. International Journal of Organizational Analysis, 25(4), pp. 596-612.</w:t>
      </w:r>
    </w:p>
    <w:p w14:paraId="29442D1D" w14:textId="77777777" w:rsidR="00D96EC4" w:rsidRDefault="00D96EC4" w:rsidP="00D96EC4">
      <w:pPr>
        <w:rPr>
          <w:sz w:val="24"/>
          <w:szCs w:val="24"/>
        </w:rPr>
      </w:pPr>
      <w:r w:rsidRPr="00C46896">
        <w:rPr>
          <w:sz w:val="24"/>
          <w:szCs w:val="24"/>
        </w:rPr>
        <w:t xml:space="preserve">  Coghlan, D. and Shani, A.B. (Rami) (2021) ‘Abductive Reasoning as the Integrating Mechanism between First- Second- and Third-Person Practice in Action Research’, Systemic practice and action research, 34(4), pp. 463–474. Available at: </w:t>
      </w:r>
      <w:hyperlink r:id="rId8" w:history="1">
        <w:r w:rsidRPr="00D96EC4">
          <w:t>https://doi.org/10.1007/s11213-020-09542-9</w:t>
        </w:r>
      </w:hyperlink>
      <w:r w:rsidRPr="00C46896">
        <w:rPr>
          <w:sz w:val="24"/>
          <w:szCs w:val="24"/>
        </w:rPr>
        <w:t>.</w:t>
      </w:r>
    </w:p>
    <w:p w14:paraId="37837F0D" w14:textId="77777777" w:rsidR="00D96EC4" w:rsidRPr="00D96EC4" w:rsidRDefault="00D96EC4" w:rsidP="00D96EC4">
      <w:pPr>
        <w:rPr>
          <w:sz w:val="24"/>
          <w:szCs w:val="24"/>
        </w:rPr>
      </w:pPr>
      <w:r w:rsidRPr="00D96EC4">
        <w:rPr>
          <w:sz w:val="24"/>
          <w:szCs w:val="24"/>
        </w:rPr>
        <w:t>Curcillo, J., (2022). Find the Glue that Binds Your Team. </w:t>
      </w:r>
      <w:proofErr w:type="spellStart"/>
      <w:r w:rsidRPr="00D96EC4">
        <w:rPr>
          <w:sz w:val="24"/>
          <w:szCs w:val="24"/>
        </w:rPr>
        <w:t>Nonprofit</w:t>
      </w:r>
      <w:proofErr w:type="spellEnd"/>
      <w:r w:rsidRPr="00D96EC4">
        <w:rPr>
          <w:sz w:val="24"/>
          <w:szCs w:val="24"/>
        </w:rPr>
        <w:t xml:space="preserve"> World, 40(4), pp. 22-23.</w:t>
      </w:r>
    </w:p>
    <w:p w14:paraId="4AADD8D2" w14:textId="77777777" w:rsidR="00D96EC4" w:rsidRPr="00035711" w:rsidRDefault="00D96EC4" w:rsidP="00D96EC4">
      <w:pPr>
        <w:rPr>
          <w:sz w:val="24"/>
          <w:szCs w:val="24"/>
        </w:rPr>
      </w:pPr>
      <w:r w:rsidRPr="00402AC9">
        <w:rPr>
          <w:sz w:val="24"/>
          <w:szCs w:val="24"/>
        </w:rPr>
        <w:t xml:space="preserve">  Bozeman, B. and Crow, M.M. (2021) Public values leadership: striving to achieve democratic ideals. Johns Hopkins University Press.</w:t>
      </w:r>
      <w:r>
        <w:rPr>
          <w:sz w:val="24"/>
          <w:szCs w:val="24"/>
        </w:rPr>
        <w:t xml:space="preserve"> </w:t>
      </w:r>
    </w:p>
    <w:p w14:paraId="3236FB30" w14:textId="70B343A1" w:rsidR="00D96EC4" w:rsidRPr="006E3379" w:rsidRDefault="00D96EC4" w:rsidP="00D96EC4">
      <w:pPr>
        <w:rPr>
          <w:sz w:val="24"/>
          <w:szCs w:val="24"/>
        </w:rPr>
      </w:pPr>
      <w:r w:rsidRPr="00035711">
        <w:rPr>
          <w:sz w:val="24"/>
          <w:szCs w:val="24"/>
        </w:rPr>
        <w:t xml:space="preserve">  Toni </w:t>
      </w:r>
      <w:proofErr w:type="spellStart"/>
      <w:r w:rsidRPr="00035711">
        <w:rPr>
          <w:sz w:val="24"/>
          <w:szCs w:val="24"/>
        </w:rPr>
        <w:t>Bielić</w:t>
      </w:r>
      <w:proofErr w:type="spellEnd"/>
      <w:r w:rsidRPr="00035711">
        <w:rPr>
          <w:sz w:val="24"/>
          <w:szCs w:val="24"/>
        </w:rPr>
        <w:t xml:space="preserve">, Dalibor </w:t>
      </w:r>
      <w:proofErr w:type="spellStart"/>
      <w:r w:rsidRPr="00035711">
        <w:rPr>
          <w:sz w:val="24"/>
          <w:szCs w:val="24"/>
        </w:rPr>
        <w:t>Ivanišević</w:t>
      </w:r>
      <w:proofErr w:type="spellEnd"/>
      <w:r w:rsidRPr="00035711">
        <w:rPr>
          <w:sz w:val="24"/>
          <w:szCs w:val="24"/>
        </w:rPr>
        <w:t xml:space="preserve"> and Ana </w:t>
      </w:r>
      <w:proofErr w:type="spellStart"/>
      <w:r w:rsidRPr="00035711">
        <w:rPr>
          <w:sz w:val="24"/>
          <w:szCs w:val="24"/>
        </w:rPr>
        <w:t>Gundić</w:t>
      </w:r>
      <w:proofErr w:type="spellEnd"/>
      <w:r w:rsidRPr="00035711">
        <w:rPr>
          <w:sz w:val="24"/>
          <w:szCs w:val="24"/>
        </w:rPr>
        <w:t xml:space="preserve"> (2014) ‘PARTICIPATION BASED MODEL OF SHIP CREW MANAGEMENT’, </w:t>
      </w:r>
      <w:proofErr w:type="spellStart"/>
      <w:r w:rsidRPr="00035711">
        <w:rPr>
          <w:sz w:val="24"/>
          <w:szCs w:val="24"/>
        </w:rPr>
        <w:t>Promet</w:t>
      </w:r>
      <w:proofErr w:type="spellEnd"/>
      <w:r w:rsidRPr="00035711">
        <w:rPr>
          <w:sz w:val="24"/>
          <w:szCs w:val="24"/>
        </w:rPr>
        <w:t xml:space="preserve">, 26(5), pp. 437–443. Available at: </w:t>
      </w:r>
      <w:hyperlink r:id="rId9" w:history="1">
        <w:r w:rsidRPr="00D96EC4">
          <w:t>https://doi.org/10.7307/ptt.v26i5.1502</w:t>
        </w:r>
      </w:hyperlink>
      <w:r w:rsidRPr="00035711">
        <w:rPr>
          <w:sz w:val="24"/>
          <w:szCs w:val="24"/>
        </w:rPr>
        <w:t>.</w:t>
      </w:r>
      <w:r>
        <w:rPr>
          <w:sz w:val="24"/>
          <w:szCs w:val="24"/>
        </w:rPr>
        <w:t xml:space="preserve"> </w:t>
      </w:r>
    </w:p>
    <w:p w14:paraId="024F1EEF" w14:textId="5D346FC5" w:rsidR="00D96EC4" w:rsidRPr="00287F74" w:rsidRDefault="00D96EC4" w:rsidP="00D96EC4">
      <w:pPr>
        <w:rPr>
          <w:sz w:val="24"/>
          <w:szCs w:val="24"/>
        </w:rPr>
      </w:pPr>
      <w:r w:rsidRPr="006E3379">
        <w:rPr>
          <w:sz w:val="24"/>
          <w:szCs w:val="24"/>
        </w:rPr>
        <w:t xml:space="preserve">  Duncan, W.J., LaFrance, K.G. and Ginter, P.M. (2003) ‘Leadership and Decision Making: A Retrospective Application and Assessment’, Journal of leadership &amp; organizational studies, 9(4), pp. 1–20. Available at: </w:t>
      </w:r>
      <w:hyperlink r:id="rId10" w:history="1">
        <w:r w:rsidRPr="00D96EC4">
          <w:t>https://doi.org/10.1177/107179190300900401</w:t>
        </w:r>
      </w:hyperlink>
      <w:r>
        <w:rPr>
          <w:sz w:val="24"/>
          <w:szCs w:val="24"/>
        </w:rPr>
        <w:t xml:space="preserve">. </w:t>
      </w:r>
    </w:p>
    <w:p w14:paraId="63B9B27F" w14:textId="77777777" w:rsidR="00D96EC4" w:rsidRDefault="00D96EC4" w:rsidP="00D96EC4">
      <w:pPr>
        <w:rPr>
          <w:sz w:val="24"/>
          <w:szCs w:val="24"/>
        </w:rPr>
      </w:pPr>
    </w:p>
    <w:p w14:paraId="1B8C88D4" w14:textId="77777777" w:rsidR="001F544D" w:rsidRPr="00D96EC4" w:rsidRDefault="001F544D">
      <w:pPr>
        <w:rPr>
          <w:sz w:val="24"/>
          <w:szCs w:val="24"/>
        </w:rPr>
      </w:pPr>
    </w:p>
    <w:sectPr w:rsidR="001F544D" w:rsidRPr="00D96E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8A1F35"/>
    <w:multiLevelType w:val="hybridMultilevel"/>
    <w:tmpl w:val="098A528C"/>
    <w:lvl w:ilvl="0" w:tplc="7A6AAE4C">
      <w:start w:val="8"/>
      <w:numFmt w:val="bullet"/>
      <w:lvlText w:val=""/>
      <w:lvlJc w:val="left"/>
      <w:pPr>
        <w:ind w:left="1080" w:hanging="360"/>
      </w:pPr>
      <w:rPr>
        <w:rFonts w:ascii="Symbol" w:eastAsiaTheme="minorEastAsia" w:hAnsi="Symbol" w:cstheme="maj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7113029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6EC4"/>
    <w:rsid w:val="001F544D"/>
    <w:rsid w:val="0041231A"/>
    <w:rsid w:val="00D96EC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299B34"/>
  <w15:chartTrackingRefBased/>
  <w15:docId w15:val="{FCE2F55A-2D8B-4813-89A5-FF7FC53532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6EC4"/>
    <w:rPr>
      <w:rFonts w:eastAsiaTheme="minorEastAsia"/>
      <w:kern w:val="0"/>
      <w:lang w:eastAsia="zh-C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96EC4"/>
    <w:pPr>
      <w:ind w:left="720"/>
      <w:contextualSpacing/>
    </w:pPr>
  </w:style>
  <w:style w:type="character" w:styleId="Hyperlink">
    <w:name w:val="Hyperlink"/>
    <w:basedOn w:val="DefaultParagraphFont"/>
    <w:uiPriority w:val="99"/>
    <w:unhideWhenUsed/>
    <w:rsid w:val="00D96EC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1213-020-09542-9" TargetMode="External"/><Relationship Id="rId3" Type="http://schemas.openxmlformats.org/officeDocument/2006/relationships/settings" Target="settings.xml"/><Relationship Id="rId7" Type="http://schemas.openxmlformats.org/officeDocument/2006/relationships/hyperlink" Target="https://doi.org/10.1016/j.enbuild.2018.01.068"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16/j.jdmm.2018.10.004" TargetMode="External"/><Relationship Id="rId11" Type="http://schemas.openxmlformats.org/officeDocument/2006/relationships/fontTable" Target="fontTable.xml"/><Relationship Id="rId5" Type="http://schemas.openxmlformats.org/officeDocument/2006/relationships/hyperlink" Target="https://doi.org/10.3390/educsci11090495" TargetMode="External"/><Relationship Id="rId10" Type="http://schemas.openxmlformats.org/officeDocument/2006/relationships/hyperlink" Target="https://doi.org/10.1177/107179190300900401" TargetMode="External"/><Relationship Id="rId4" Type="http://schemas.openxmlformats.org/officeDocument/2006/relationships/webSettings" Target="webSettings.xml"/><Relationship Id="rId9" Type="http://schemas.openxmlformats.org/officeDocument/2006/relationships/hyperlink" Target="https://doi.org/10.7307/ptt.v26i5.15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1290</Words>
  <Characters>7359</Characters>
  <Application>Microsoft Office Word</Application>
  <DocSecurity>0</DocSecurity>
  <Lines>61</Lines>
  <Paragraphs>17</Paragraphs>
  <ScaleCrop>false</ScaleCrop>
  <Company/>
  <LinksUpToDate>false</LinksUpToDate>
  <CharactersWithSpaces>8632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Mohamed Babekir</dc:creator>
  <cp:keywords/>
  <dc:description/>
  <cp:lastModifiedBy>Mohamed Babekir</cp:lastModifiedBy>
  <cp:revision>2</cp:revision>
  <dcterms:created xsi:type="dcterms:W3CDTF">2023-06-09T20:43:00Z</dcterms:created>
  <dcterms:modified xsi:type="dcterms:W3CDTF">2023-06-09T20:43:00Z</dcterms:modified>
</cp:coreProperties>
</file>