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F67B97" w14:textId="77777777" w:rsidR="00AC4B92" w:rsidRPr="00AC4B92" w:rsidRDefault="00AC4B92" w:rsidP="00AC4B92">
      <w:pPr>
        <w:spacing w:before="100" w:beforeAutospacing="1" w:after="100" w:afterAutospacing="1" w:line="360" w:lineRule="auto"/>
        <w:jc w:val="center"/>
        <w:rPr>
          <w:rFonts w:ascii="Times New Roman" w:eastAsia="Times New Roman" w:hAnsi="Times New Roman" w:cs="Times New Roman"/>
          <w:b/>
          <w:bCs/>
          <w:sz w:val="24"/>
          <w:szCs w:val="24"/>
        </w:rPr>
      </w:pPr>
    </w:p>
    <w:p w14:paraId="77DD70F8" w14:textId="77777777" w:rsidR="00AC4B92" w:rsidRPr="00AC4B92" w:rsidRDefault="00AC4B92" w:rsidP="00AC4B92">
      <w:pPr>
        <w:spacing w:before="100" w:beforeAutospacing="1" w:after="100" w:afterAutospacing="1" w:line="360" w:lineRule="auto"/>
        <w:jc w:val="center"/>
        <w:rPr>
          <w:rFonts w:ascii="Times New Roman" w:eastAsia="Times New Roman" w:hAnsi="Times New Roman" w:cs="Times New Roman"/>
          <w:b/>
          <w:bCs/>
          <w:sz w:val="24"/>
          <w:szCs w:val="24"/>
        </w:rPr>
      </w:pPr>
    </w:p>
    <w:p w14:paraId="18AFB50D" w14:textId="77777777" w:rsidR="00AC4B92" w:rsidRPr="00AC4B92" w:rsidRDefault="00AC4B92" w:rsidP="00AC4B92">
      <w:pPr>
        <w:spacing w:before="100" w:beforeAutospacing="1" w:after="100" w:afterAutospacing="1" w:line="360" w:lineRule="auto"/>
        <w:jc w:val="center"/>
        <w:rPr>
          <w:rFonts w:ascii="Times New Roman" w:eastAsia="Times New Roman" w:hAnsi="Times New Roman" w:cs="Times New Roman"/>
          <w:b/>
          <w:bCs/>
          <w:sz w:val="24"/>
          <w:szCs w:val="24"/>
        </w:rPr>
      </w:pPr>
    </w:p>
    <w:p w14:paraId="40B80BAD" w14:textId="77777777" w:rsidR="00AC4B92" w:rsidRPr="00AC4B92" w:rsidRDefault="00AC4B92" w:rsidP="00AC4B92">
      <w:pPr>
        <w:spacing w:before="100" w:beforeAutospacing="1" w:after="100" w:afterAutospacing="1" w:line="360" w:lineRule="auto"/>
        <w:jc w:val="center"/>
        <w:rPr>
          <w:rFonts w:ascii="Times New Roman" w:eastAsia="Times New Roman" w:hAnsi="Times New Roman" w:cs="Times New Roman"/>
          <w:b/>
          <w:bCs/>
          <w:sz w:val="24"/>
          <w:szCs w:val="24"/>
        </w:rPr>
      </w:pPr>
    </w:p>
    <w:p w14:paraId="1D77B72D" w14:textId="77777777" w:rsidR="00AC4B92" w:rsidRPr="00AC4B92" w:rsidRDefault="00AC4B92" w:rsidP="00AC4B92">
      <w:pPr>
        <w:spacing w:before="100" w:beforeAutospacing="1" w:after="100" w:afterAutospacing="1" w:line="360" w:lineRule="auto"/>
        <w:jc w:val="center"/>
        <w:rPr>
          <w:rFonts w:ascii="Times New Roman" w:eastAsia="Times New Roman" w:hAnsi="Times New Roman" w:cs="Times New Roman"/>
          <w:b/>
          <w:bCs/>
          <w:sz w:val="24"/>
          <w:szCs w:val="24"/>
        </w:rPr>
      </w:pPr>
    </w:p>
    <w:p w14:paraId="4FC1E4E9" w14:textId="51A8964C" w:rsidR="003A2C1C" w:rsidRPr="00AC4B92" w:rsidRDefault="00000000" w:rsidP="00AC4B92">
      <w:pPr>
        <w:spacing w:before="100" w:beforeAutospacing="1" w:after="100" w:afterAutospacing="1" w:line="360" w:lineRule="auto"/>
        <w:jc w:val="center"/>
        <w:rPr>
          <w:rFonts w:ascii="Times New Roman" w:eastAsia="Times New Roman" w:hAnsi="Times New Roman" w:cs="Times New Roman"/>
          <w:b/>
          <w:bCs/>
          <w:sz w:val="24"/>
          <w:szCs w:val="24"/>
        </w:rPr>
      </w:pPr>
      <w:r w:rsidRPr="00AC4B92">
        <w:rPr>
          <w:rFonts w:ascii="Times New Roman" w:eastAsia="Times New Roman" w:hAnsi="Times New Roman" w:cs="Times New Roman"/>
          <w:b/>
          <w:bCs/>
          <w:sz w:val="24"/>
          <w:szCs w:val="24"/>
        </w:rPr>
        <w:t>BA (Hons) Business Management</w:t>
      </w:r>
    </w:p>
    <w:p w14:paraId="72ABC405" w14:textId="66792C62" w:rsidR="003A2C1C" w:rsidRPr="00AC4B92" w:rsidRDefault="00AC4B92" w:rsidP="00AC4B92">
      <w:pPr>
        <w:spacing w:before="100" w:beforeAutospacing="1" w:after="100" w:afterAutospacing="1" w:line="360" w:lineRule="auto"/>
        <w:jc w:val="center"/>
        <w:rPr>
          <w:rFonts w:ascii="Times New Roman" w:eastAsia="Times New Roman" w:hAnsi="Times New Roman" w:cs="Times New Roman"/>
          <w:b/>
          <w:bCs/>
          <w:sz w:val="24"/>
          <w:szCs w:val="24"/>
        </w:rPr>
      </w:pPr>
      <w:r w:rsidRPr="00AC4B92">
        <w:rPr>
          <w:rFonts w:ascii="Times New Roman" w:eastAsia="Times New Roman" w:hAnsi="Times New Roman" w:cs="Times New Roman"/>
          <w:b/>
          <w:bCs/>
          <w:sz w:val="24"/>
          <w:szCs w:val="24"/>
        </w:rPr>
        <w:t>LCBB5015 Principles of Marketing</w:t>
      </w:r>
    </w:p>
    <w:p w14:paraId="428BDCB7" w14:textId="0F099E91" w:rsidR="003A2C1C" w:rsidRPr="00AC4B92" w:rsidRDefault="00000000" w:rsidP="00AC4B92">
      <w:pPr>
        <w:spacing w:before="100" w:beforeAutospacing="1" w:after="100" w:afterAutospacing="1" w:line="360" w:lineRule="auto"/>
        <w:jc w:val="center"/>
        <w:rPr>
          <w:rFonts w:ascii="Times New Roman" w:eastAsia="Times New Roman" w:hAnsi="Times New Roman" w:cs="Times New Roman"/>
          <w:b/>
          <w:bCs/>
          <w:sz w:val="24"/>
          <w:szCs w:val="24"/>
        </w:rPr>
      </w:pPr>
      <w:r w:rsidRPr="00AC4B92">
        <w:rPr>
          <w:rFonts w:ascii="Times New Roman" w:eastAsia="Times New Roman" w:hAnsi="Times New Roman" w:cs="Times New Roman"/>
          <w:b/>
          <w:bCs/>
          <w:sz w:val="24"/>
          <w:szCs w:val="24"/>
        </w:rPr>
        <w:t>Component 1: Coursework: Individual Report</w:t>
      </w:r>
    </w:p>
    <w:p w14:paraId="48448FDA" w14:textId="429B7D73" w:rsidR="00AC4B92" w:rsidRPr="00AC4B92" w:rsidRDefault="00AC4B92" w:rsidP="00AC4B92">
      <w:pPr>
        <w:spacing w:before="100" w:beforeAutospacing="1" w:after="100" w:afterAutospacing="1" w:line="360" w:lineRule="auto"/>
        <w:jc w:val="center"/>
        <w:rPr>
          <w:rFonts w:ascii="Times New Roman" w:eastAsia="Times New Roman" w:hAnsi="Times New Roman" w:cs="Times New Roman"/>
          <w:b/>
          <w:bCs/>
          <w:sz w:val="24"/>
          <w:szCs w:val="24"/>
        </w:rPr>
      </w:pPr>
      <w:r w:rsidRPr="00AC4B92">
        <w:rPr>
          <w:rFonts w:ascii="Times New Roman" w:eastAsia="Times New Roman" w:hAnsi="Times New Roman" w:cs="Times New Roman"/>
          <w:b/>
          <w:bCs/>
          <w:sz w:val="24"/>
          <w:szCs w:val="24"/>
        </w:rPr>
        <w:t>Chosen Company: Barclays PLC</w:t>
      </w:r>
    </w:p>
    <w:p w14:paraId="0DDBD100" w14:textId="77777777" w:rsidR="00AC4B92" w:rsidRPr="00AC4B92" w:rsidRDefault="00000000" w:rsidP="00AC4B92">
      <w:pPr>
        <w:spacing w:before="100" w:beforeAutospacing="1" w:after="100" w:afterAutospacing="1" w:line="360" w:lineRule="auto"/>
        <w:jc w:val="center"/>
        <w:rPr>
          <w:rFonts w:ascii="Times New Roman" w:eastAsia="Times New Roman" w:hAnsi="Times New Roman" w:cs="Times New Roman"/>
          <w:b/>
          <w:bCs/>
          <w:sz w:val="24"/>
          <w:szCs w:val="24"/>
        </w:rPr>
      </w:pPr>
      <w:r w:rsidRPr="00AC4B92">
        <w:rPr>
          <w:rFonts w:ascii="Times New Roman" w:eastAsia="Times New Roman" w:hAnsi="Times New Roman" w:cs="Times New Roman"/>
          <w:b/>
          <w:bCs/>
          <w:sz w:val="24"/>
          <w:szCs w:val="24"/>
        </w:rPr>
        <w:t xml:space="preserve">Lecturer: </w:t>
      </w:r>
      <w:proofErr w:type="spellStart"/>
      <w:r w:rsidRPr="00AC4B92">
        <w:rPr>
          <w:rFonts w:ascii="Times New Roman" w:eastAsia="Times New Roman" w:hAnsi="Times New Roman" w:cs="Times New Roman"/>
          <w:b/>
          <w:bCs/>
          <w:sz w:val="24"/>
          <w:szCs w:val="24"/>
        </w:rPr>
        <w:t>Piyumika</w:t>
      </w:r>
      <w:proofErr w:type="spellEnd"/>
      <w:r w:rsidRPr="00AC4B92">
        <w:rPr>
          <w:rFonts w:ascii="Times New Roman" w:eastAsia="Times New Roman" w:hAnsi="Times New Roman" w:cs="Times New Roman"/>
          <w:b/>
          <w:bCs/>
          <w:sz w:val="24"/>
          <w:szCs w:val="24"/>
        </w:rPr>
        <w:t xml:space="preserve"> K. Gamage </w:t>
      </w:r>
    </w:p>
    <w:p w14:paraId="70ADE52D" w14:textId="1178EFAE" w:rsidR="00AC4B92" w:rsidRPr="00AC4B92" w:rsidRDefault="00AC4B92" w:rsidP="00AC4B92">
      <w:pPr>
        <w:spacing w:before="100" w:beforeAutospacing="1" w:after="100" w:afterAutospacing="1" w:line="360" w:lineRule="auto"/>
        <w:jc w:val="center"/>
        <w:rPr>
          <w:rFonts w:ascii="Times New Roman" w:eastAsia="Times New Roman" w:hAnsi="Times New Roman" w:cs="Times New Roman"/>
          <w:b/>
          <w:bCs/>
          <w:sz w:val="24"/>
          <w:szCs w:val="24"/>
        </w:rPr>
      </w:pPr>
      <w:r w:rsidRPr="00AC4B92">
        <w:rPr>
          <w:rFonts w:ascii="Times New Roman" w:eastAsia="Times New Roman" w:hAnsi="Times New Roman" w:cs="Times New Roman"/>
          <w:b/>
          <w:bCs/>
          <w:sz w:val="24"/>
          <w:szCs w:val="24"/>
        </w:rPr>
        <w:t>Student ID:</w:t>
      </w:r>
      <w:r w:rsidR="007E3592">
        <w:rPr>
          <w:rFonts w:ascii="Times New Roman" w:eastAsia="Times New Roman" w:hAnsi="Times New Roman" w:cs="Times New Roman"/>
          <w:b/>
          <w:bCs/>
          <w:sz w:val="24"/>
          <w:szCs w:val="24"/>
        </w:rPr>
        <w:t xml:space="preserve"> 2428159</w:t>
      </w:r>
    </w:p>
    <w:p w14:paraId="0A9F3DB6" w14:textId="3B473300" w:rsidR="003A2C1C" w:rsidRPr="00AC4B92" w:rsidRDefault="00AC4B92" w:rsidP="00AC4B92">
      <w:pPr>
        <w:spacing w:before="100" w:beforeAutospacing="1" w:after="100" w:afterAutospacing="1" w:line="360" w:lineRule="auto"/>
        <w:jc w:val="center"/>
        <w:rPr>
          <w:rFonts w:ascii="Times New Roman" w:eastAsia="Times New Roman" w:hAnsi="Times New Roman" w:cs="Times New Roman"/>
          <w:b/>
          <w:bCs/>
          <w:sz w:val="24"/>
          <w:szCs w:val="24"/>
        </w:rPr>
      </w:pPr>
      <w:r w:rsidRPr="00AC4B92">
        <w:rPr>
          <w:rFonts w:ascii="Times New Roman" w:eastAsia="Times New Roman" w:hAnsi="Times New Roman" w:cs="Times New Roman"/>
          <w:b/>
          <w:bCs/>
          <w:sz w:val="24"/>
          <w:szCs w:val="24"/>
        </w:rPr>
        <w:t>Word Count:</w:t>
      </w:r>
      <w:r w:rsidR="00C42278">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1096</w:t>
      </w:r>
      <w:r w:rsidRPr="00AC4B92">
        <w:rPr>
          <w:sz w:val="24"/>
          <w:szCs w:val="24"/>
        </w:rPr>
        <w:br w:type="page"/>
      </w:r>
    </w:p>
    <w:sdt>
      <w:sdtPr>
        <w:rPr>
          <w:sz w:val="24"/>
          <w:szCs w:val="24"/>
        </w:rPr>
        <w:id w:val="986156894"/>
        <w:docPartObj>
          <w:docPartGallery w:val="Table of Contents"/>
          <w:docPartUnique/>
        </w:docPartObj>
      </w:sdtPr>
      <w:sdtContent>
        <w:p w14:paraId="1A0F31CE" w14:textId="77777777" w:rsidR="003A2C1C" w:rsidRPr="00AC4B92" w:rsidRDefault="003A2C1C" w:rsidP="00AC4B92">
          <w:pPr>
            <w:widowControl w:val="0"/>
            <w:tabs>
              <w:tab w:val="right" w:pos="9025"/>
            </w:tabs>
            <w:spacing w:before="100" w:beforeAutospacing="1" w:after="100" w:afterAutospacing="1" w:line="360" w:lineRule="auto"/>
            <w:jc w:val="center"/>
            <w:rPr>
              <w:rFonts w:ascii="Times New Roman" w:eastAsia="Times New Roman" w:hAnsi="Times New Roman" w:cs="Times New Roman"/>
              <w:b/>
              <w:bCs/>
              <w:sz w:val="24"/>
              <w:szCs w:val="24"/>
            </w:rPr>
          </w:pPr>
          <w:r w:rsidRPr="00AC4B92">
            <w:rPr>
              <w:sz w:val="24"/>
              <w:szCs w:val="24"/>
            </w:rPr>
            <w:fldChar w:fldCharType="begin"/>
          </w:r>
          <w:r w:rsidR="00000000" w:rsidRPr="00AC4B92">
            <w:rPr>
              <w:sz w:val="24"/>
              <w:szCs w:val="24"/>
            </w:rPr>
            <w:instrText xml:space="preserve"> TOC \h \u \z \t "Heading 1,1,Heading 2,2,Heading 3,3,Heading 4,4,Heading 5,5,Heading 6,6,"</w:instrText>
          </w:r>
          <w:r w:rsidRPr="00AC4B92">
            <w:rPr>
              <w:sz w:val="24"/>
              <w:szCs w:val="24"/>
            </w:rPr>
            <w:fldChar w:fldCharType="separate"/>
          </w:r>
          <w:r w:rsidR="00000000" w:rsidRPr="00AC4B92">
            <w:rPr>
              <w:rFonts w:ascii="Times New Roman" w:eastAsia="Times New Roman" w:hAnsi="Times New Roman" w:cs="Times New Roman"/>
              <w:b/>
              <w:bCs/>
              <w:sz w:val="24"/>
              <w:szCs w:val="24"/>
            </w:rPr>
            <w:t xml:space="preserve">Table of Contents </w:t>
          </w:r>
        </w:p>
        <w:p w14:paraId="53F678A3" w14:textId="77777777" w:rsidR="003A2C1C" w:rsidRPr="00AC4B92" w:rsidRDefault="003A2C1C" w:rsidP="00AC4B92">
          <w:pPr>
            <w:widowControl w:val="0"/>
            <w:tabs>
              <w:tab w:val="right" w:pos="9025"/>
            </w:tabs>
            <w:spacing w:before="100" w:beforeAutospacing="1" w:after="100" w:afterAutospacing="1" w:line="360" w:lineRule="auto"/>
            <w:jc w:val="both"/>
            <w:rPr>
              <w:rFonts w:ascii="Times New Roman" w:eastAsia="Times New Roman" w:hAnsi="Times New Roman" w:cs="Times New Roman"/>
              <w:color w:val="000000"/>
              <w:sz w:val="24"/>
              <w:szCs w:val="24"/>
            </w:rPr>
          </w:pPr>
          <w:hyperlink w:anchor="_1gu8n3vuu7rl">
            <w:r w:rsidRPr="00AC4B92">
              <w:rPr>
                <w:rFonts w:ascii="Times New Roman" w:eastAsia="Times New Roman" w:hAnsi="Times New Roman" w:cs="Times New Roman"/>
                <w:color w:val="000000"/>
                <w:sz w:val="24"/>
                <w:szCs w:val="24"/>
              </w:rPr>
              <w:t>1. Introduction</w:t>
            </w:r>
            <w:r w:rsidRPr="00AC4B92">
              <w:rPr>
                <w:rFonts w:ascii="Times New Roman" w:eastAsia="Times New Roman" w:hAnsi="Times New Roman" w:cs="Times New Roman"/>
                <w:color w:val="000000"/>
                <w:sz w:val="24"/>
                <w:szCs w:val="24"/>
              </w:rPr>
              <w:tab/>
            </w:r>
          </w:hyperlink>
          <w:r w:rsidRPr="00AC4B92">
            <w:rPr>
              <w:sz w:val="24"/>
              <w:szCs w:val="24"/>
            </w:rPr>
            <w:fldChar w:fldCharType="begin"/>
          </w:r>
          <w:r w:rsidRPr="00AC4B92">
            <w:rPr>
              <w:sz w:val="24"/>
              <w:szCs w:val="24"/>
            </w:rPr>
            <w:instrText xml:space="preserve"> PAGEREF _1gu8n3vuu7rl \h </w:instrText>
          </w:r>
          <w:r w:rsidRPr="00AC4B92">
            <w:rPr>
              <w:sz w:val="24"/>
              <w:szCs w:val="24"/>
            </w:rPr>
          </w:r>
          <w:r w:rsidRPr="00AC4B92">
            <w:rPr>
              <w:sz w:val="24"/>
              <w:szCs w:val="24"/>
            </w:rPr>
            <w:fldChar w:fldCharType="separate"/>
          </w:r>
          <w:r w:rsidRPr="00AC4B92">
            <w:rPr>
              <w:rFonts w:ascii="Times New Roman" w:eastAsia="Times New Roman" w:hAnsi="Times New Roman" w:cs="Times New Roman"/>
              <w:sz w:val="24"/>
              <w:szCs w:val="24"/>
            </w:rPr>
            <w:t>3</w:t>
          </w:r>
          <w:r w:rsidRPr="00AC4B92">
            <w:rPr>
              <w:sz w:val="24"/>
              <w:szCs w:val="24"/>
            </w:rPr>
            <w:fldChar w:fldCharType="end"/>
          </w:r>
        </w:p>
        <w:p w14:paraId="317EE606" w14:textId="77777777" w:rsidR="003A2C1C" w:rsidRPr="00AC4B92" w:rsidRDefault="003A2C1C" w:rsidP="00AC4B92">
          <w:pPr>
            <w:widowControl w:val="0"/>
            <w:tabs>
              <w:tab w:val="right" w:pos="9025"/>
            </w:tabs>
            <w:spacing w:before="100" w:beforeAutospacing="1" w:after="100" w:afterAutospacing="1" w:line="360" w:lineRule="auto"/>
            <w:jc w:val="both"/>
            <w:rPr>
              <w:rFonts w:ascii="Times New Roman" w:eastAsia="Times New Roman" w:hAnsi="Times New Roman" w:cs="Times New Roman"/>
              <w:color w:val="000000"/>
              <w:sz w:val="24"/>
              <w:szCs w:val="24"/>
            </w:rPr>
          </w:pPr>
          <w:hyperlink w:anchor="_psbavncdam9i">
            <w:r w:rsidRPr="00AC4B92">
              <w:rPr>
                <w:rFonts w:ascii="Times New Roman" w:eastAsia="Times New Roman" w:hAnsi="Times New Roman" w:cs="Times New Roman"/>
                <w:color w:val="000000"/>
                <w:sz w:val="24"/>
                <w:szCs w:val="24"/>
              </w:rPr>
              <w:t>2. Situational Analysis</w:t>
            </w:r>
            <w:r w:rsidRPr="00AC4B92">
              <w:rPr>
                <w:rFonts w:ascii="Times New Roman" w:eastAsia="Times New Roman" w:hAnsi="Times New Roman" w:cs="Times New Roman"/>
                <w:color w:val="000000"/>
                <w:sz w:val="24"/>
                <w:szCs w:val="24"/>
              </w:rPr>
              <w:tab/>
            </w:r>
          </w:hyperlink>
          <w:r w:rsidRPr="00AC4B92">
            <w:rPr>
              <w:sz w:val="24"/>
              <w:szCs w:val="24"/>
            </w:rPr>
            <w:fldChar w:fldCharType="begin"/>
          </w:r>
          <w:r w:rsidRPr="00AC4B92">
            <w:rPr>
              <w:sz w:val="24"/>
              <w:szCs w:val="24"/>
            </w:rPr>
            <w:instrText xml:space="preserve"> PAGEREF _psbavncdam9i \h </w:instrText>
          </w:r>
          <w:r w:rsidRPr="00AC4B92">
            <w:rPr>
              <w:sz w:val="24"/>
              <w:szCs w:val="24"/>
            </w:rPr>
          </w:r>
          <w:r w:rsidRPr="00AC4B92">
            <w:rPr>
              <w:sz w:val="24"/>
              <w:szCs w:val="24"/>
            </w:rPr>
            <w:fldChar w:fldCharType="separate"/>
          </w:r>
          <w:r w:rsidRPr="00AC4B92">
            <w:rPr>
              <w:rFonts w:ascii="Times New Roman" w:eastAsia="Times New Roman" w:hAnsi="Times New Roman" w:cs="Times New Roman"/>
              <w:sz w:val="24"/>
              <w:szCs w:val="24"/>
            </w:rPr>
            <w:t>3</w:t>
          </w:r>
          <w:r w:rsidRPr="00AC4B92">
            <w:rPr>
              <w:sz w:val="24"/>
              <w:szCs w:val="24"/>
            </w:rPr>
            <w:fldChar w:fldCharType="end"/>
          </w:r>
        </w:p>
        <w:p w14:paraId="6C4B41BA" w14:textId="77777777" w:rsidR="003A2C1C" w:rsidRPr="00AC4B92" w:rsidRDefault="003A2C1C" w:rsidP="00AC4B92">
          <w:pPr>
            <w:widowControl w:val="0"/>
            <w:tabs>
              <w:tab w:val="right" w:pos="9025"/>
            </w:tabs>
            <w:spacing w:before="100" w:beforeAutospacing="1" w:after="100" w:afterAutospacing="1" w:line="360" w:lineRule="auto"/>
            <w:jc w:val="both"/>
            <w:rPr>
              <w:rFonts w:ascii="Times New Roman" w:eastAsia="Times New Roman" w:hAnsi="Times New Roman" w:cs="Times New Roman"/>
              <w:color w:val="000000"/>
              <w:sz w:val="24"/>
              <w:szCs w:val="24"/>
            </w:rPr>
          </w:pPr>
          <w:hyperlink w:anchor="_3ogmkpm498xh">
            <w:r w:rsidRPr="00AC4B92">
              <w:rPr>
                <w:rFonts w:ascii="Times New Roman" w:eastAsia="Times New Roman" w:hAnsi="Times New Roman" w:cs="Times New Roman"/>
                <w:color w:val="000000"/>
                <w:sz w:val="24"/>
                <w:szCs w:val="24"/>
              </w:rPr>
              <w:t>3. Critical Analysis and Evaluation</w:t>
            </w:r>
            <w:r w:rsidRPr="00AC4B92">
              <w:rPr>
                <w:rFonts w:ascii="Times New Roman" w:eastAsia="Times New Roman" w:hAnsi="Times New Roman" w:cs="Times New Roman"/>
                <w:color w:val="000000"/>
                <w:sz w:val="24"/>
                <w:szCs w:val="24"/>
              </w:rPr>
              <w:tab/>
            </w:r>
          </w:hyperlink>
          <w:r w:rsidRPr="00AC4B92">
            <w:rPr>
              <w:sz w:val="24"/>
              <w:szCs w:val="24"/>
            </w:rPr>
            <w:fldChar w:fldCharType="begin"/>
          </w:r>
          <w:r w:rsidRPr="00AC4B92">
            <w:rPr>
              <w:sz w:val="24"/>
              <w:szCs w:val="24"/>
            </w:rPr>
            <w:instrText xml:space="preserve"> PAGEREF _3ogmkpm498xh \h </w:instrText>
          </w:r>
          <w:r w:rsidRPr="00AC4B92">
            <w:rPr>
              <w:sz w:val="24"/>
              <w:szCs w:val="24"/>
            </w:rPr>
          </w:r>
          <w:r w:rsidRPr="00AC4B92">
            <w:rPr>
              <w:sz w:val="24"/>
              <w:szCs w:val="24"/>
            </w:rPr>
            <w:fldChar w:fldCharType="separate"/>
          </w:r>
          <w:r w:rsidRPr="00AC4B92">
            <w:rPr>
              <w:rFonts w:ascii="Times New Roman" w:eastAsia="Times New Roman" w:hAnsi="Times New Roman" w:cs="Times New Roman"/>
              <w:sz w:val="24"/>
              <w:szCs w:val="24"/>
            </w:rPr>
            <w:t>4</w:t>
          </w:r>
          <w:r w:rsidRPr="00AC4B92">
            <w:rPr>
              <w:sz w:val="24"/>
              <w:szCs w:val="24"/>
            </w:rPr>
            <w:fldChar w:fldCharType="end"/>
          </w:r>
        </w:p>
        <w:p w14:paraId="1E257CB3" w14:textId="77777777" w:rsidR="003A2C1C" w:rsidRPr="00AC4B92" w:rsidRDefault="003A2C1C" w:rsidP="00AC4B92">
          <w:pPr>
            <w:widowControl w:val="0"/>
            <w:tabs>
              <w:tab w:val="right" w:pos="9025"/>
            </w:tabs>
            <w:spacing w:before="100" w:beforeAutospacing="1" w:after="100" w:afterAutospacing="1" w:line="360" w:lineRule="auto"/>
            <w:jc w:val="both"/>
            <w:rPr>
              <w:rFonts w:ascii="Times New Roman" w:eastAsia="Times New Roman" w:hAnsi="Times New Roman" w:cs="Times New Roman"/>
              <w:color w:val="000000"/>
              <w:sz w:val="24"/>
              <w:szCs w:val="24"/>
            </w:rPr>
          </w:pPr>
          <w:hyperlink w:anchor="_btd8m9bege1">
            <w:r w:rsidRPr="00AC4B92">
              <w:rPr>
                <w:rFonts w:ascii="Times New Roman" w:eastAsia="Times New Roman" w:hAnsi="Times New Roman" w:cs="Times New Roman"/>
                <w:color w:val="000000"/>
                <w:sz w:val="24"/>
                <w:szCs w:val="24"/>
              </w:rPr>
              <w:t>4. Conclusion</w:t>
            </w:r>
            <w:r w:rsidRPr="00AC4B92">
              <w:rPr>
                <w:rFonts w:ascii="Times New Roman" w:eastAsia="Times New Roman" w:hAnsi="Times New Roman" w:cs="Times New Roman"/>
                <w:color w:val="000000"/>
                <w:sz w:val="24"/>
                <w:szCs w:val="24"/>
              </w:rPr>
              <w:tab/>
            </w:r>
          </w:hyperlink>
          <w:r w:rsidRPr="00AC4B92">
            <w:rPr>
              <w:sz w:val="24"/>
              <w:szCs w:val="24"/>
            </w:rPr>
            <w:fldChar w:fldCharType="begin"/>
          </w:r>
          <w:r w:rsidRPr="00AC4B92">
            <w:rPr>
              <w:sz w:val="24"/>
              <w:szCs w:val="24"/>
            </w:rPr>
            <w:instrText xml:space="preserve"> PAGEREF _btd8m9bege1 \h </w:instrText>
          </w:r>
          <w:r w:rsidRPr="00AC4B92">
            <w:rPr>
              <w:sz w:val="24"/>
              <w:szCs w:val="24"/>
            </w:rPr>
          </w:r>
          <w:r w:rsidRPr="00AC4B92">
            <w:rPr>
              <w:sz w:val="24"/>
              <w:szCs w:val="24"/>
            </w:rPr>
            <w:fldChar w:fldCharType="separate"/>
          </w:r>
          <w:r w:rsidRPr="00AC4B92">
            <w:rPr>
              <w:rFonts w:ascii="Times New Roman" w:eastAsia="Times New Roman" w:hAnsi="Times New Roman" w:cs="Times New Roman"/>
              <w:sz w:val="24"/>
              <w:szCs w:val="24"/>
            </w:rPr>
            <w:t>6</w:t>
          </w:r>
          <w:r w:rsidRPr="00AC4B92">
            <w:rPr>
              <w:sz w:val="24"/>
              <w:szCs w:val="24"/>
            </w:rPr>
            <w:fldChar w:fldCharType="end"/>
          </w:r>
        </w:p>
        <w:p w14:paraId="1F2DA9E2" w14:textId="77777777" w:rsidR="003A2C1C" w:rsidRPr="00AC4B92" w:rsidRDefault="003A2C1C" w:rsidP="00AC4B92">
          <w:pPr>
            <w:widowControl w:val="0"/>
            <w:tabs>
              <w:tab w:val="right" w:pos="9025"/>
            </w:tabs>
            <w:spacing w:before="100" w:beforeAutospacing="1" w:after="100" w:afterAutospacing="1" w:line="360" w:lineRule="auto"/>
            <w:jc w:val="both"/>
            <w:rPr>
              <w:rFonts w:ascii="Times New Roman" w:eastAsia="Times New Roman" w:hAnsi="Times New Roman" w:cs="Times New Roman"/>
              <w:b/>
              <w:bCs/>
              <w:color w:val="000000"/>
              <w:sz w:val="24"/>
              <w:szCs w:val="24"/>
            </w:rPr>
          </w:pPr>
          <w:hyperlink w:anchor="_tsyz1itrpqxp">
            <w:r w:rsidRPr="00AC4B92">
              <w:rPr>
                <w:rFonts w:ascii="Times New Roman" w:eastAsia="Times New Roman" w:hAnsi="Times New Roman" w:cs="Times New Roman"/>
                <w:color w:val="000000"/>
                <w:sz w:val="24"/>
                <w:szCs w:val="24"/>
              </w:rPr>
              <w:t>5. References</w:t>
            </w:r>
            <w:r w:rsidRPr="00AC4B92">
              <w:rPr>
                <w:rFonts w:ascii="Times New Roman" w:eastAsia="Times New Roman" w:hAnsi="Times New Roman" w:cs="Times New Roman"/>
                <w:color w:val="000000"/>
                <w:sz w:val="24"/>
                <w:szCs w:val="24"/>
              </w:rPr>
              <w:tab/>
            </w:r>
          </w:hyperlink>
          <w:r w:rsidRPr="00AC4B92">
            <w:rPr>
              <w:sz w:val="24"/>
              <w:szCs w:val="24"/>
            </w:rPr>
            <w:fldChar w:fldCharType="begin"/>
          </w:r>
          <w:r w:rsidRPr="00AC4B92">
            <w:rPr>
              <w:sz w:val="24"/>
              <w:szCs w:val="24"/>
            </w:rPr>
            <w:instrText xml:space="preserve"> PAGEREF _tsyz1itrpqxp \h </w:instrText>
          </w:r>
          <w:r w:rsidRPr="00AC4B92">
            <w:rPr>
              <w:sz w:val="24"/>
              <w:szCs w:val="24"/>
            </w:rPr>
          </w:r>
          <w:r w:rsidRPr="00AC4B92">
            <w:rPr>
              <w:sz w:val="24"/>
              <w:szCs w:val="24"/>
            </w:rPr>
            <w:fldChar w:fldCharType="separate"/>
          </w:r>
          <w:r w:rsidRPr="00AC4B92">
            <w:rPr>
              <w:rFonts w:ascii="Times New Roman" w:eastAsia="Times New Roman" w:hAnsi="Times New Roman" w:cs="Times New Roman"/>
              <w:sz w:val="24"/>
              <w:szCs w:val="24"/>
            </w:rPr>
            <w:t>7</w:t>
          </w:r>
          <w:r w:rsidRPr="00AC4B92">
            <w:rPr>
              <w:sz w:val="24"/>
              <w:szCs w:val="24"/>
            </w:rPr>
            <w:fldChar w:fldCharType="end"/>
          </w:r>
          <w:r w:rsidRPr="00AC4B92">
            <w:rPr>
              <w:sz w:val="24"/>
              <w:szCs w:val="24"/>
            </w:rPr>
            <w:fldChar w:fldCharType="end"/>
          </w:r>
        </w:p>
      </w:sdtContent>
    </w:sdt>
    <w:p w14:paraId="35DB0830" w14:textId="77777777" w:rsidR="003A2C1C" w:rsidRPr="00AC4B92" w:rsidRDefault="00000000" w:rsidP="00AC4B92">
      <w:pPr>
        <w:spacing w:before="100" w:beforeAutospacing="1" w:after="100" w:afterAutospacing="1" w:line="360" w:lineRule="auto"/>
        <w:rPr>
          <w:rFonts w:ascii="Times New Roman" w:eastAsia="Times New Roman" w:hAnsi="Times New Roman" w:cs="Times New Roman"/>
          <w:b/>
          <w:bCs/>
          <w:sz w:val="24"/>
          <w:szCs w:val="24"/>
        </w:rPr>
      </w:pPr>
      <w:r w:rsidRPr="00AC4B92">
        <w:rPr>
          <w:sz w:val="24"/>
          <w:szCs w:val="24"/>
        </w:rPr>
        <w:br w:type="page"/>
      </w:r>
    </w:p>
    <w:p w14:paraId="2ED5DF0C" w14:textId="7713E5D5" w:rsidR="003A2C1C" w:rsidRPr="00AC4B92" w:rsidRDefault="00AC4B92" w:rsidP="00AC4B92">
      <w:pPr>
        <w:pStyle w:val="Heading1"/>
        <w:spacing w:before="100" w:beforeAutospacing="1" w:after="100" w:afterAutospacing="1" w:line="360" w:lineRule="auto"/>
        <w:rPr>
          <w:rFonts w:ascii="Times New Roman" w:eastAsia="Times New Roman" w:hAnsi="Times New Roman" w:cs="Times New Roman"/>
          <w:b/>
          <w:bCs/>
          <w:sz w:val="24"/>
          <w:szCs w:val="24"/>
        </w:rPr>
      </w:pPr>
      <w:bookmarkStart w:id="0" w:name="_1gu8n3vuu7rl" w:colFirst="0" w:colLast="0"/>
      <w:bookmarkEnd w:id="0"/>
      <w:r>
        <w:rPr>
          <w:rFonts w:ascii="Times New Roman" w:eastAsia="Times New Roman" w:hAnsi="Times New Roman" w:cs="Times New Roman"/>
          <w:b/>
          <w:bCs/>
          <w:sz w:val="24"/>
          <w:szCs w:val="24"/>
        </w:rPr>
        <w:lastRenderedPageBreak/>
        <w:t xml:space="preserve">1. </w:t>
      </w:r>
      <w:r w:rsidRPr="00AC4B92">
        <w:rPr>
          <w:rFonts w:ascii="Times New Roman" w:eastAsia="Times New Roman" w:hAnsi="Times New Roman" w:cs="Times New Roman"/>
          <w:b/>
          <w:bCs/>
          <w:sz w:val="24"/>
          <w:szCs w:val="24"/>
        </w:rPr>
        <w:t>Introduction</w:t>
      </w:r>
    </w:p>
    <w:p w14:paraId="5DDA9F62" w14:textId="77777777" w:rsidR="003A2C1C" w:rsidRPr="00AC4B92" w:rsidRDefault="00000000"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sz w:val="24"/>
          <w:szCs w:val="24"/>
        </w:rPr>
        <w:t>Barclays PLC is the most popular British multinational universal bank, situated in London. Barclays PLC operates in five divisions: UK corporate bank, UK consumer bank, Investment bank, Private Bank, Wealth management and the US consumer bank (Barclays, 2025a). Barclays, operating in the financial services and banking sector, provides financial services to different countries apart from the UK, such as America, Europe and the Middle East. Further, Barclays holds a significant market position and is deemed as one of the ‘Big Four’ banks serving millions of people.</w:t>
      </w:r>
    </w:p>
    <w:p w14:paraId="27214C25" w14:textId="77777777" w:rsidR="003A2C1C" w:rsidRPr="00AC4B92" w:rsidRDefault="00000000" w:rsidP="00AC4B92">
      <w:pPr>
        <w:spacing w:before="100" w:beforeAutospacing="1" w:after="100" w:afterAutospacing="1" w:line="360" w:lineRule="auto"/>
        <w:jc w:val="center"/>
        <w:rPr>
          <w:rFonts w:ascii="Times New Roman" w:eastAsia="Times New Roman" w:hAnsi="Times New Roman" w:cs="Times New Roman"/>
          <w:sz w:val="24"/>
          <w:szCs w:val="24"/>
        </w:rPr>
      </w:pPr>
      <w:r w:rsidRPr="00AC4B92">
        <w:rPr>
          <w:rFonts w:ascii="Times New Roman" w:eastAsia="Times New Roman" w:hAnsi="Times New Roman" w:cs="Times New Roman"/>
          <w:noProof/>
          <w:sz w:val="24"/>
          <w:szCs w:val="24"/>
        </w:rPr>
        <w:drawing>
          <wp:inline distT="114300" distB="114300" distL="114300" distR="114300" wp14:anchorId="6DBEDBDB" wp14:editId="4E0553A6">
            <wp:extent cx="3829050" cy="11906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829050" cy="1190625"/>
                    </a:xfrm>
                    <a:prstGeom prst="rect">
                      <a:avLst/>
                    </a:prstGeom>
                    <a:ln/>
                  </pic:spPr>
                </pic:pic>
              </a:graphicData>
            </a:graphic>
          </wp:inline>
        </w:drawing>
      </w:r>
    </w:p>
    <w:p w14:paraId="4372DD3D" w14:textId="77777777" w:rsidR="003A2C1C" w:rsidRPr="00AC4B92" w:rsidRDefault="00000000" w:rsidP="00AC4B92">
      <w:pPr>
        <w:spacing w:before="100" w:beforeAutospacing="1" w:after="100" w:afterAutospacing="1" w:line="360" w:lineRule="auto"/>
        <w:jc w:val="center"/>
        <w:rPr>
          <w:rFonts w:ascii="Times New Roman" w:eastAsia="Times New Roman" w:hAnsi="Times New Roman" w:cs="Times New Roman"/>
          <w:b/>
          <w:bCs/>
          <w:sz w:val="24"/>
          <w:szCs w:val="24"/>
        </w:rPr>
      </w:pPr>
      <w:r w:rsidRPr="00AC4B92">
        <w:rPr>
          <w:rFonts w:ascii="Times New Roman" w:eastAsia="Times New Roman" w:hAnsi="Times New Roman" w:cs="Times New Roman"/>
          <w:b/>
          <w:bCs/>
          <w:sz w:val="24"/>
          <w:szCs w:val="24"/>
        </w:rPr>
        <w:t xml:space="preserve">Figure 1: Company logo </w:t>
      </w:r>
    </w:p>
    <w:p w14:paraId="289E5709" w14:textId="11C3563E" w:rsidR="003A2C1C" w:rsidRPr="00AC4B92" w:rsidRDefault="00000000" w:rsidP="00AC4B92">
      <w:pPr>
        <w:spacing w:before="100" w:beforeAutospacing="1" w:after="100" w:afterAutospacing="1" w:line="360" w:lineRule="auto"/>
        <w:jc w:val="center"/>
        <w:rPr>
          <w:rFonts w:ascii="Times New Roman" w:eastAsia="Times New Roman" w:hAnsi="Times New Roman" w:cs="Times New Roman"/>
          <w:sz w:val="24"/>
          <w:szCs w:val="24"/>
        </w:rPr>
      </w:pPr>
      <w:r w:rsidRPr="00AC4B92">
        <w:rPr>
          <w:rFonts w:ascii="Times New Roman" w:eastAsia="Times New Roman" w:hAnsi="Times New Roman" w:cs="Times New Roman"/>
          <w:sz w:val="24"/>
          <w:szCs w:val="24"/>
        </w:rPr>
        <w:t>(Source:</w:t>
      </w:r>
      <w:r w:rsidR="00AC4B92">
        <w:rPr>
          <w:rFonts w:ascii="Times New Roman" w:eastAsia="Times New Roman" w:hAnsi="Times New Roman" w:cs="Times New Roman"/>
          <w:sz w:val="24"/>
          <w:szCs w:val="24"/>
        </w:rPr>
        <w:t xml:space="preserve"> </w:t>
      </w:r>
      <w:r w:rsidRPr="00AC4B92">
        <w:rPr>
          <w:rFonts w:ascii="Times New Roman" w:eastAsia="Times New Roman" w:hAnsi="Times New Roman" w:cs="Times New Roman"/>
          <w:sz w:val="24"/>
          <w:szCs w:val="24"/>
        </w:rPr>
        <w:t>Barclays, 2025a)</w:t>
      </w:r>
    </w:p>
    <w:p w14:paraId="5D7DC0FF" w14:textId="77777777" w:rsidR="003A2C1C" w:rsidRPr="00AC4B92" w:rsidRDefault="00000000"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sz w:val="24"/>
          <w:szCs w:val="24"/>
        </w:rPr>
        <w:t>This report focused on conducting a situational analysis of Barclays PLC through the PESTLE analysis framework. Through this, the internal and external factors influencing the company’s capability to compete effectively within the industry will be analysed.</w:t>
      </w:r>
    </w:p>
    <w:p w14:paraId="3C61D07A" w14:textId="070B9B44" w:rsidR="003A2C1C" w:rsidRPr="00AC4B92" w:rsidRDefault="00AC4B92" w:rsidP="00AC4B92">
      <w:pPr>
        <w:pStyle w:val="Heading1"/>
        <w:spacing w:before="100" w:beforeAutospacing="1" w:after="100" w:afterAutospacing="1" w:line="360" w:lineRule="auto"/>
        <w:rPr>
          <w:rFonts w:ascii="Times New Roman" w:eastAsia="Times New Roman" w:hAnsi="Times New Roman" w:cs="Times New Roman"/>
          <w:b/>
          <w:bCs/>
          <w:sz w:val="24"/>
          <w:szCs w:val="24"/>
        </w:rPr>
      </w:pPr>
      <w:bookmarkStart w:id="1" w:name="_psbavncdam9i" w:colFirst="0" w:colLast="0"/>
      <w:bookmarkEnd w:id="1"/>
      <w:r>
        <w:rPr>
          <w:rFonts w:ascii="Times New Roman" w:eastAsia="Times New Roman" w:hAnsi="Times New Roman" w:cs="Times New Roman"/>
          <w:b/>
          <w:bCs/>
          <w:sz w:val="24"/>
          <w:szCs w:val="24"/>
        </w:rPr>
        <w:t xml:space="preserve">2. </w:t>
      </w:r>
      <w:r w:rsidRPr="00AC4B92">
        <w:rPr>
          <w:rFonts w:ascii="Times New Roman" w:eastAsia="Times New Roman" w:hAnsi="Times New Roman" w:cs="Times New Roman"/>
          <w:b/>
          <w:bCs/>
          <w:sz w:val="24"/>
          <w:szCs w:val="24"/>
        </w:rPr>
        <w:t xml:space="preserve">Situational Analysis </w:t>
      </w:r>
    </w:p>
    <w:p w14:paraId="0F87A9FF" w14:textId="75B94DC2" w:rsidR="003A2C1C" w:rsidRPr="00AC4B92" w:rsidRDefault="00000000"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b/>
          <w:bCs/>
          <w:sz w:val="24"/>
          <w:szCs w:val="24"/>
        </w:rPr>
        <w:t xml:space="preserve">Political: </w:t>
      </w:r>
      <w:r w:rsidRPr="00AC4B92">
        <w:rPr>
          <w:rFonts w:ascii="Times New Roman" w:eastAsia="Times New Roman" w:hAnsi="Times New Roman" w:cs="Times New Roman"/>
          <w:sz w:val="24"/>
          <w:szCs w:val="24"/>
        </w:rPr>
        <w:t xml:space="preserve">The financial service and banking sector is regulated because it is shaped by fiscal policies, political stability and banking legislations (Karen and Azzahra, 2024). The UK government also has numerous financial regulatory authorities like </w:t>
      </w:r>
      <w:r w:rsidR="00AC4B92">
        <w:rPr>
          <w:rFonts w:ascii="Times New Roman" w:eastAsia="Times New Roman" w:hAnsi="Times New Roman" w:cs="Times New Roman"/>
          <w:sz w:val="24"/>
          <w:szCs w:val="24"/>
        </w:rPr>
        <w:t xml:space="preserve">the </w:t>
      </w:r>
      <w:r w:rsidRPr="00AC4B92">
        <w:rPr>
          <w:rFonts w:ascii="Times New Roman" w:eastAsia="Times New Roman" w:hAnsi="Times New Roman" w:cs="Times New Roman"/>
          <w:sz w:val="24"/>
          <w:szCs w:val="24"/>
        </w:rPr>
        <w:t>Financial Conduct Authority (FCA), Prudential Regulation Authority (PRA), etc</w:t>
      </w:r>
      <w:r w:rsidR="00AC4B92">
        <w:rPr>
          <w:rFonts w:ascii="Times New Roman" w:eastAsia="Times New Roman" w:hAnsi="Times New Roman" w:cs="Times New Roman"/>
          <w:sz w:val="24"/>
          <w:szCs w:val="24"/>
        </w:rPr>
        <w:t>.</w:t>
      </w:r>
      <w:r w:rsidRPr="00AC4B92">
        <w:rPr>
          <w:rFonts w:ascii="Times New Roman" w:eastAsia="Times New Roman" w:hAnsi="Times New Roman" w:cs="Times New Roman"/>
          <w:sz w:val="24"/>
          <w:szCs w:val="24"/>
        </w:rPr>
        <w:t xml:space="preserve"> (Ferran, 2023)</w:t>
      </w:r>
      <w:r w:rsidR="00AC4B92">
        <w:rPr>
          <w:rFonts w:ascii="Times New Roman" w:eastAsia="Times New Roman" w:hAnsi="Times New Roman" w:cs="Times New Roman"/>
          <w:sz w:val="24"/>
          <w:szCs w:val="24"/>
        </w:rPr>
        <w:t>.</w:t>
      </w:r>
      <w:r w:rsidRPr="00AC4B92">
        <w:rPr>
          <w:rFonts w:ascii="Times New Roman" w:eastAsia="Times New Roman" w:hAnsi="Times New Roman" w:cs="Times New Roman"/>
          <w:sz w:val="24"/>
          <w:szCs w:val="24"/>
        </w:rPr>
        <w:t xml:space="preserve"> All these authorities highly influence how Barclays manages liquidity, risk and consumer protection rights. Further, political priorities related to Anti-money laundering (AML), financial transparency and sanctions also </w:t>
      </w:r>
      <w:r w:rsidR="00AC4B92">
        <w:rPr>
          <w:rFonts w:ascii="Times New Roman" w:eastAsia="Times New Roman" w:hAnsi="Times New Roman" w:cs="Times New Roman"/>
          <w:sz w:val="24"/>
          <w:szCs w:val="24"/>
        </w:rPr>
        <w:t>pressure</w:t>
      </w:r>
      <w:r w:rsidRPr="00AC4B92">
        <w:rPr>
          <w:rFonts w:ascii="Times New Roman" w:eastAsia="Times New Roman" w:hAnsi="Times New Roman" w:cs="Times New Roman"/>
          <w:sz w:val="24"/>
          <w:szCs w:val="24"/>
        </w:rPr>
        <w:t xml:space="preserve"> Barclays to maintain strong internal controls. Thus, Barclays needs to structure its marketing strategies very efficiently to ensure transparency, trust and consumer protection. </w:t>
      </w:r>
    </w:p>
    <w:p w14:paraId="62914EA9" w14:textId="11C84BD0" w:rsidR="003A2C1C" w:rsidRPr="00AC4B92" w:rsidRDefault="00000000"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b/>
          <w:bCs/>
          <w:sz w:val="24"/>
          <w:szCs w:val="24"/>
        </w:rPr>
        <w:lastRenderedPageBreak/>
        <w:t xml:space="preserve">Economic: </w:t>
      </w:r>
      <w:r w:rsidRPr="00AC4B92">
        <w:rPr>
          <w:rFonts w:ascii="Times New Roman" w:eastAsia="Times New Roman" w:hAnsi="Times New Roman" w:cs="Times New Roman"/>
          <w:sz w:val="24"/>
          <w:szCs w:val="24"/>
        </w:rPr>
        <w:t xml:space="preserve">As one of the popular and biggest UK banks, Barclays is extremely sensitive to economic conditions like interest rates, inflation, GDP growth and unemployment. Economic issues such as high inflation can directly impact consumer borrowings and business investment (Chen, 2022). This can affect the net interest margin of Barclays, which can impact pricing strategies and profits of </w:t>
      </w:r>
      <w:r w:rsidR="00AC4B92">
        <w:rPr>
          <w:rFonts w:ascii="Times New Roman" w:eastAsia="Times New Roman" w:hAnsi="Times New Roman" w:cs="Times New Roman"/>
          <w:sz w:val="24"/>
          <w:szCs w:val="24"/>
        </w:rPr>
        <w:t>the company</w:t>
      </w:r>
      <w:r w:rsidRPr="00AC4B92">
        <w:rPr>
          <w:rFonts w:ascii="Times New Roman" w:eastAsia="Times New Roman" w:hAnsi="Times New Roman" w:cs="Times New Roman"/>
          <w:sz w:val="24"/>
          <w:szCs w:val="24"/>
        </w:rPr>
        <w:t>. Thus, in challenging situations, Barclays is required to focus on having flexible financial solutions for businesses and households.</w:t>
      </w:r>
    </w:p>
    <w:p w14:paraId="7B839DFB" w14:textId="4C112E26" w:rsidR="003A2C1C" w:rsidRPr="00AC4B92" w:rsidRDefault="00000000"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b/>
          <w:bCs/>
          <w:sz w:val="24"/>
          <w:szCs w:val="24"/>
        </w:rPr>
        <w:t xml:space="preserve">Social: </w:t>
      </w:r>
      <w:r w:rsidRPr="00AC4B92">
        <w:rPr>
          <w:rFonts w:ascii="Times New Roman" w:eastAsia="Times New Roman" w:hAnsi="Times New Roman" w:cs="Times New Roman"/>
          <w:sz w:val="24"/>
          <w:szCs w:val="24"/>
        </w:rPr>
        <w:t xml:space="preserve">Even the smallest shifts in demographics, consumer behaviour and lifestyle trends influence the brand position of Barclays. Today, consumers want a digital-first banking approach and do not want to visit banks. Simultaneously, younger banking customers want app-based fast banking services (Addula, 2025). Hence, this increased public awareness about debt management and </w:t>
      </w:r>
      <w:r w:rsidR="00AC4B92">
        <w:rPr>
          <w:rFonts w:ascii="Times New Roman" w:eastAsia="Times New Roman" w:hAnsi="Times New Roman" w:cs="Times New Roman"/>
          <w:sz w:val="24"/>
          <w:szCs w:val="24"/>
        </w:rPr>
        <w:t xml:space="preserve">the </w:t>
      </w:r>
      <w:r w:rsidRPr="00AC4B92">
        <w:rPr>
          <w:rFonts w:ascii="Times New Roman" w:eastAsia="Times New Roman" w:hAnsi="Times New Roman" w:cs="Times New Roman"/>
          <w:sz w:val="24"/>
          <w:szCs w:val="24"/>
        </w:rPr>
        <w:t xml:space="preserve">financial wellbeing of customers necessitates Barclays to respond inclusively while serving everyone well. </w:t>
      </w:r>
    </w:p>
    <w:p w14:paraId="0350984E" w14:textId="0C1344E6" w:rsidR="003A2C1C" w:rsidRPr="00AC4B92" w:rsidRDefault="00000000"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b/>
          <w:bCs/>
          <w:sz w:val="24"/>
          <w:szCs w:val="24"/>
        </w:rPr>
        <w:t xml:space="preserve">Technological: </w:t>
      </w:r>
      <w:r w:rsidRPr="00AC4B92">
        <w:rPr>
          <w:rFonts w:ascii="Times New Roman" w:eastAsia="Times New Roman" w:hAnsi="Times New Roman" w:cs="Times New Roman"/>
          <w:sz w:val="24"/>
          <w:szCs w:val="24"/>
        </w:rPr>
        <w:t xml:space="preserve">Technology is a driver of competitiveness in the current economy. Barclays also comes across huge pressure to innovate rapidly due to advancements in Artificial Intelligence (AI), fintech, cybersecurity, etc. Various competitors like Starling, Monzo and Revolut have cracked this code and have introduced seamless mobile banking experiences. In the same way, Barclays has also responded well through contactless payments, </w:t>
      </w:r>
      <w:r w:rsidR="00AC4B92">
        <w:rPr>
          <w:rFonts w:ascii="Times New Roman" w:eastAsia="Times New Roman" w:hAnsi="Times New Roman" w:cs="Times New Roman"/>
          <w:sz w:val="24"/>
          <w:szCs w:val="24"/>
        </w:rPr>
        <w:t xml:space="preserve">the </w:t>
      </w:r>
      <w:r w:rsidRPr="00AC4B92">
        <w:rPr>
          <w:rFonts w:ascii="Times New Roman" w:eastAsia="Times New Roman" w:hAnsi="Times New Roman" w:cs="Times New Roman"/>
          <w:sz w:val="24"/>
          <w:szCs w:val="24"/>
        </w:rPr>
        <w:t>Barclays mobile banking app and biometric authentication (Barclays, 2025b). This has helped Barclays to position itself as a digital-first bank, appealing to young and tech-savvy customers.</w:t>
      </w:r>
    </w:p>
    <w:p w14:paraId="45EF8E06" w14:textId="0CFD7072" w:rsidR="003A2C1C" w:rsidRPr="00AC4B92" w:rsidRDefault="00000000"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b/>
          <w:bCs/>
          <w:sz w:val="24"/>
          <w:szCs w:val="24"/>
        </w:rPr>
        <w:t>Legal:</w:t>
      </w:r>
      <w:r w:rsidRPr="00AC4B92">
        <w:rPr>
          <w:rFonts w:ascii="Times New Roman" w:eastAsia="Times New Roman" w:hAnsi="Times New Roman" w:cs="Times New Roman"/>
          <w:sz w:val="24"/>
          <w:szCs w:val="24"/>
        </w:rPr>
        <w:t xml:space="preserve"> Barclays is required to comply with several regulations, such as General Data Protection Regulation (GDPR), FCA regulations, anti-money laundering laws, etc (Hossain, 2023). A failure to comply with all these legalities might result in Barclays facing reputational damage and heavy penalties. In </w:t>
      </w:r>
      <w:r w:rsidR="00F639D6" w:rsidRPr="00AC4B92">
        <w:rPr>
          <w:rFonts w:ascii="Times New Roman" w:eastAsia="Times New Roman" w:hAnsi="Times New Roman" w:cs="Times New Roman"/>
          <w:sz w:val="24"/>
          <w:szCs w:val="24"/>
        </w:rPr>
        <w:t>this</w:t>
      </w:r>
      <w:r w:rsidRPr="00AC4B92">
        <w:rPr>
          <w:rFonts w:ascii="Times New Roman" w:eastAsia="Times New Roman" w:hAnsi="Times New Roman" w:cs="Times New Roman"/>
          <w:sz w:val="24"/>
          <w:szCs w:val="24"/>
        </w:rPr>
        <w:t xml:space="preserve"> regard, the company needs to comply well with these regulations to promote responsible and genuine lending for the customers.</w:t>
      </w:r>
    </w:p>
    <w:p w14:paraId="12286409" w14:textId="6FF1486F" w:rsidR="003A2C1C" w:rsidRPr="00AC4B92" w:rsidRDefault="00000000"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b/>
          <w:bCs/>
          <w:sz w:val="24"/>
          <w:szCs w:val="24"/>
        </w:rPr>
        <w:t xml:space="preserve">Environmental: </w:t>
      </w:r>
      <w:r w:rsidRPr="00AC4B92">
        <w:rPr>
          <w:rFonts w:ascii="Times New Roman" w:eastAsia="Times New Roman" w:hAnsi="Times New Roman" w:cs="Times New Roman"/>
          <w:sz w:val="24"/>
          <w:szCs w:val="24"/>
        </w:rPr>
        <w:t xml:space="preserve">Environmental sustainability is increasing day by day. Therefore, Barclays also faces pressure from investors, governments, and climate-conscious customers to decrease </w:t>
      </w:r>
      <w:r w:rsidR="00AC4B92">
        <w:rPr>
          <w:rFonts w:ascii="Times New Roman" w:eastAsia="Times New Roman" w:hAnsi="Times New Roman" w:cs="Times New Roman"/>
          <w:sz w:val="24"/>
          <w:szCs w:val="24"/>
        </w:rPr>
        <w:t>its</w:t>
      </w:r>
      <w:r w:rsidRPr="00AC4B92">
        <w:rPr>
          <w:rFonts w:ascii="Times New Roman" w:eastAsia="Times New Roman" w:hAnsi="Times New Roman" w:cs="Times New Roman"/>
          <w:sz w:val="24"/>
          <w:szCs w:val="24"/>
        </w:rPr>
        <w:t xml:space="preserve"> carbon footprint while supporting green finance. Owing to this, Barclays is already committed to becoming a net-zero banking giant by 2050 through green bonds and sustainable loans (Barclays, 2025c). This can be a great step for attracting climate-conscious customers by marketing green financial products.</w:t>
      </w:r>
    </w:p>
    <w:p w14:paraId="32926E4F" w14:textId="32B34B9D" w:rsidR="003A2C1C" w:rsidRPr="00AC4B92" w:rsidRDefault="00AC4B92" w:rsidP="00AC4B92">
      <w:pPr>
        <w:pStyle w:val="Heading1"/>
        <w:spacing w:before="100" w:beforeAutospacing="1" w:after="100" w:afterAutospacing="1" w:line="360" w:lineRule="auto"/>
        <w:rPr>
          <w:rFonts w:ascii="Times New Roman" w:eastAsia="Times New Roman" w:hAnsi="Times New Roman" w:cs="Times New Roman"/>
          <w:b/>
          <w:bCs/>
          <w:sz w:val="24"/>
          <w:szCs w:val="24"/>
        </w:rPr>
      </w:pPr>
      <w:bookmarkStart w:id="2" w:name="_3ogmkpm498xh" w:colFirst="0" w:colLast="0"/>
      <w:bookmarkEnd w:id="2"/>
      <w:r>
        <w:rPr>
          <w:rFonts w:ascii="Times New Roman" w:eastAsia="Times New Roman" w:hAnsi="Times New Roman" w:cs="Times New Roman"/>
          <w:b/>
          <w:bCs/>
          <w:sz w:val="24"/>
          <w:szCs w:val="24"/>
        </w:rPr>
        <w:lastRenderedPageBreak/>
        <w:t xml:space="preserve">3. </w:t>
      </w:r>
      <w:r w:rsidRPr="00AC4B92">
        <w:rPr>
          <w:rFonts w:ascii="Times New Roman" w:eastAsia="Times New Roman" w:hAnsi="Times New Roman" w:cs="Times New Roman"/>
          <w:b/>
          <w:bCs/>
          <w:sz w:val="24"/>
          <w:szCs w:val="24"/>
        </w:rPr>
        <w:t xml:space="preserve">Critical Analysis and Evaluation </w:t>
      </w:r>
    </w:p>
    <w:p w14:paraId="369E99A7" w14:textId="77777777" w:rsidR="003A2C1C" w:rsidRPr="00AC4B92" w:rsidRDefault="00000000"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sz w:val="24"/>
          <w:szCs w:val="24"/>
        </w:rPr>
        <w:t xml:space="preserve">The PESTLE analysis above has highlighted that Barclays operates within a highly regulated and dynamic banking environment, where various external forces mould its strategic choices and competitiveness in the long run. Hence, all these factors reveal both opportunities and limitations influencing the banking position of Barclays. </w:t>
      </w:r>
    </w:p>
    <w:p w14:paraId="7D79640C" w14:textId="14D62ECA" w:rsidR="003A2C1C" w:rsidRPr="00AC4B92" w:rsidRDefault="00000000"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sz w:val="24"/>
          <w:szCs w:val="24"/>
        </w:rPr>
        <w:t xml:space="preserve">The heavy involvement of regulatory bodies like the PRA and FCA </w:t>
      </w:r>
      <w:r w:rsidR="00AC4B92">
        <w:rPr>
          <w:rFonts w:ascii="Times New Roman" w:eastAsia="Times New Roman" w:hAnsi="Times New Roman" w:cs="Times New Roman"/>
          <w:sz w:val="24"/>
          <w:szCs w:val="24"/>
        </w:rPr>
        <w:t>reinforces</w:t>
      </w:r>
      <w:r w:rsidRPr="00AC4B92">
        <w:rPr>
          <w:rFonts w:ascii="Times New Roman" w:eastAsia="Times New Roman" w:hAnsi="Times New Roman" w:cs="Times New Roman"/>
          <w:sz w:val="24"/>
          <w:szCs w:val="24"/>
        </w:rPr>
        <w:t xml:space="preserve"> the institutionalised nature of the bank. As per the institutional theory, organisations generally adapt their strategies for maintaining legitimacy and staying relevant (Kauppi, 2022). Thus, Barclays also focuses on compliance-driven marketing strategies, such as responsible spending and campaigns on security. This reflects that the bank is pressured by regulators. While such pressures can increase costs and limit flexibility, they can also reinforce customer trust, which is very important for building relationships with them. Economically, Barclays’s performance is tied to the macroeconomic environment. Research suggests that banking institutions generally experience profitability fluctuations due to changes in interest and credit rates (Tavakoli, 2023). Therefore, such fluctuations in the global economy would mean that Barclays would adapt its strategies and services continuously to serve customers better. Further, although increasing interest creates improved margins </w:t>
      </w:r>
      <w:r w:rsidR="00AC4B92">
        <w:rPr>
          <w:rFonts w:ascii="Times New Roman" w:eastAsia="Times New Roman" w:hAnsi="Times New Roman" w:cs="Times New Roman"/>
          <w:sz w:val="24"/>
          <w:szCs w:val="24"/>
        </w:rPr>
        <w:t>for</w:t>
      </w:r>
      <w:r w:rsidRPr="00AC4B92">
        <w:rPr>
          <w:rFonts w:ascii="Times New Roman" w:eastAsia="Times New Roman" w:hAnsi="Times New Roman" w:cs="Times New Roman"/>
          <w:sz w:val="24"/>
          <w:szCs w:val="24"/>
        </w:rPr>
        <w:t xml:space="preserve"> Barclays</w:t>
      </w:r>
      <w:r w:rsidR="00AC4B92">
        <w:rPr>
          <w:rFonts w:ascii="Times New Roman" w:eastAsia="Times New Roman" w:hAnsi="Times New Roman" w:cs="Times New Roman"/>
          <w:sz w:val="24"/>
          <w:szCs w:val="24"/>
        </w:rPr>
        <w:t>,</w:t>
      </w:r>
      <w:r w:rsidRPr="00AC4B92">
        <w:rPr>
          <w:rFonts w:ascii="Times New Roman" w:eastAsia="Times New Roman" w:hAnsi="Times New Roman" w:cs="Times New Roman"/>
          <w:sz w:val="24"/>
          <w:szCs w:val="24"/>
        </w:rPr>
        <w:t xml:space="preserve"> it can become a stress for households, which might again pressure Barclays to balance profitability with lending. </w:t>
      </w:r>
    </w:p>
    <w:p w14:paraId="35000C08" w14:textId="547D7051" w:rsidR="003A2C1C" w:rsidRPr="00AC4B92" w:rsidRDefault="00000000"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sz w:val="24"/>
          <w:szCs w:val="24"/>
        </w:rPr>
        <w:t xml:space="preserve">Socially, evolving customer expectations and demographic changes also influence Barclays’ decision-making. Sudden shift towards digital-first banking behaviour highlights the co-creation of value through innovation and customer experience. However, Barclays’ investment in mobile banking demonstrates its ability to adapt to the changing customer preferences. However, there are still competition limitations from large competitors like Revolut and Monzo. This necessitates continuous digital transformation. Additionally, technological advancements also create opportunities for Barclays to stay ahead in the market through biometric security and personalisation. However, rapid vision transformation also imposes cybersecurity risks for the bank, which can be costly (Saeed </w:t>
      </w:r>
      <w:r w:rsidRPr="00AC4B92">
        <w:rPr>
          <w:rFonts w:ascii="Times New Roman" w:eastAsia="Times New Roman" w:hAnsi="Times New Roman" w:cs="Times New Roman"/>
          <w:i/>
          <w:iCs/>
          <w:sz w:val="24"/>
          <w:szCs w:val="24"/>
        </w:rPr>
        <w:t xml:space="preserve">et al., </w:t>
      </w:r>
      <w:r w:rsidRPr="00AC4B92">
        <w:rPr>
          <w:rFonts w:ascii="Times New Roman" w:eastAsia="Times New Roman" w:hAnsi="Times New Roman" w:cs="Times New Roman"/>
          <w:sz w:val="24"/>
          <w:szCs w:val="24"/>
        </w:rPr>
        <w:t xml:space="preserve">2023). Lastly, environmental concerns brought about by climate policies and stakeholder expectations are causing Barclays to significantly change its long-term strategy. The increasing recognition of ESG (Environmental, Social, and Governance) justifies Stakeholder Theory's premise of satisfying the expectations of customers, regulators, investors, and society (Glambosky, Jory and Ngo, </w:t>
      </w:r>
      <w:r w:rsidRPr="00AC4B92">
        <w:rPr>
          <w:rFonts w:ascii="Times New Roman" w:eastAsia="Times New Roman" w:hAnsi="Times New Roman" w:cs="Times New Roman"/>
          <w:sz w:val="24"/>
          <w:szCs w:val="24"/>
        </w:rPr>
        <w:lastRenderedPageBreak/>
        <w:t>2023). Hence, this requires a very careful and meticulous alignment of our sustainability claims with real business operations.</w:t>
      </w:r>
    </w:p>
    <w:p w14:paraId="5DDA697E" w14:textId="43DA458A" w:rsidR="003A2C1C" w:rsidRPr="00AC4B92" w:rsidRDefault="00000000" w:rsidP="00AC4B92">
      <w:pPr>
        <w:spacing w:before="100" w:beforeAutospacing="1" w:after="100" w:afterAutospacing="1" w:line="360" w:lineRule="auto"/>
        <w:jc w:val="both"/>
        <w:rPr>
          <w:sz w:val="24"/>
          <w:szCs w:val="24"/>
        </w:rPr>
      </w:pPr>
      <w:r w:rsidRPr="00AC4B92">
        <w:rPr>
          <w:rFonts w:ascii="Times New Roman" w:eastAsia="Times New Roman" w:hAnsi="Times New Roman" w:cs="Times New Roman"/>
          <w:sz w:val="24"/>
          <w:szCs w:val="24"/>
        </w:rPr>
        <w:t>In a broad sense, the PESTLE analysis reveals that Barclays strategic planning is sensitive to regulatory and economic influences</w:t>
      </w:r>
      <w:r w:rsidR="00AC4B92">
        <w:rPr>
          <w:rFonts w:ascii="Times New Roman" w:eastAsia="Times New Roman" w:hAnsi="Times New Roman" w:cs="Times New Roman"/>
          <w:sz w:val="24"/>
          <w:szCs w:val="24"/>
        </w:rPr>
        <w:t>,</w:t>
      </w:r>
      <w:r w:rsidRPr="00AC4B92">
        <w:rPr>
          <w:rFonts w:ascii="Times New Roman" w:eastAsia="Times New Roman" w:hAnsi="Times New Roman" w:cs="Times New Roman"/>
          <w:sz w:val="24"/>
          <w:szCs w:val="24"/>
        </w:rPr>
        <w:t xml:space="preserve"> and at the same time, it is leading with technology and sustainability innovations. </w:t>
      </w:r>
    </w:p>
    <w:p w14:paraId="1F0DF7C5" w14:textId="484E1ED3" w:rsidR="003A2C1C" w:rsidRPr="00AC4B92" w:rsidRDefault="00AC4B92" w:rsidP="00AC4B92">
      <w:pPr>
        <w:pStyle w:val="Heading1"/>
        <w:spacing w:before="100" w:beforeAutospacing="1" w:after="100" w:afterAutospacing="1" w:line="360" w:lineRule="auto"/>
        <w:rPr>
          <w:rFonts w:ascii="Times New Roman" w:eastAsia="Times New Roman" w:hAnsi="Times New Roman" w:cs="Times New Roman"/>
          <w:b/>
          <w:bCs/>
          <w:sz w:val="24"/>
          <w:szCs w:val="24"/>
        </w:rPr>
      </w:pPr>
      <w:bookmarkStart w:id="3" w:name="_btd8m9bege1" w:colFirst="0" w:colLast="0"/>
      <w:bookmarkEnd w:id="3"/>
      <w:r>
        <w:rPr>
          <w:rFonts w:ascii="Times New Roman" w:eastAsia="Times New Roman" w:hAnsi="Times New Roman" w:cs="Times New Roman"/>
          <w:b/>
          <w:bCs/>
          <w:sz w:val="24"/>
          <w:szCs w:val="24"/>
        </w:rPr>
        <w:t xml:space="preserve">4. </w:t>
      </w:r>
      <w:r w:rsidRPr="00AC4B92">
        <w:rPr>
          <w:rFonts w:ascii="Times New Roman" w:eastAsia="Times New Roman" w:hAnsi="Times New Roman" w:cs="Times New Roman"/>
          <w:b/>
          <w:bCs/>
          <w:sz w:val="24"/>
          <w:szCs w:val="24"/>
        </w:rPr>
        <w:t xml:space="preserve">Conclusion </w:t>
      </w:r>
    </w:p>
    <w:p w14:paraId="75E6F0BE" w14:textId="5876236D" w:rsidR="003A2C1C" w:rsidRPr="00AC4B92" w:rsidRDefault="00000000"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sz w:val="24"/>
          <w:szCs w:val="24"/>
        </w:rPr>
        <w:t xml:space="preserve">Overall, it can be summarised that Barclays plc operates in a heavily regulated environment. Further, this individual report has also claimed that Barclays will continue to be affected in the long run by changes in </w:t>
      </w:r>
      <w:r w:rsidR="00AC4B92">
        <w:rPr>
          <w:rFonts w:ascii="Times New Roman" w:eastAsia="Times New Roman" w:hAnsi="Times New Roman" w:cs="Times New Roman"/>
          <w:sz w:val="24"/>
          <w:szCs w:val="24"/>
        </w:rPr>
        <w:t xml:space="preserve">the </w:t>
      </w:r>
      <w:r w:rsidRPr="00AC4B92">
        <w:rPr>
          <w:rFonts w:ascii="Times New Roman" w:eastAsia="Times New Roman" w:hAnsi="Times New Roman" w:cs="Times New Roman"/>
          <w:sz w:val="24"/>
          <w:szCs w:val="24"/>
        </w:rPr>
        <w:t xml:space="preserve">macroeconomic environment and regulations. However, greater awareness of consumers towards their needs, </w:t>
      </w:r>
      <w:r w:rsidR="00AC4B92">
        <w:rPr>
          <w:rFonts w:ascii="Times New Roman" w:eastAsia="Times New Roman" w:hAnsi="Times New Roman" w:cs="Times New Roman"/>
          <w:sz w:val="24"/>
          <w:szCs w:val="24"/>
        </w:rPr>
        <w:t>rapid technological</w:t>
      </w:r>
      <w:r w:rsidRPr="00AC4B92">
        <w:rPr>
          <w:rFonts w:ascii="Times New Roman" w:eastAsia="Times New Roman" w:hAnsi="Times New Roman" w:cs="Times New Roman"/>
          <w:sz w:val="24"/>
          <w:szCs w:val="24"/>
        </w:rPr>
        <w:t xml:space="preserve"> changes, and </w:t>
      </w:r>
      <w:r w:rsidR="00AC4B92">
        <w:rPr>
          <w:rFonts w:ascii="Times New Roman" w:eastAsia="Times New Roman" w:hAnsi="Times New Roman" w:cs="Times New Roman"/>
          <w:sz w:val="24"/>
          <w:szCs w:val="24"/>
        </w:rPr>
        <w:t xml:space="preserve">the </w:t>
      </w:r>
      <w:r w:rsidRPr="00AC4B92">
        <w:rPr>
          <w:rFonts w:ascii="Times New Roman" w:eastAsia="Times New Roman" w:hAnsi="Times New Roman" w:cs="Times New Roman"/>
          <w:sz w:val="24"/>
          <w:szCs w:val="24"/>
        </w:rPr>
        <w:t xml:space="preserve">desire for environmentally responsible actions are the focus of the PESTLE analysis. For this reason, the bank has to keep on changing the equilibrium: letting innovations happen while abiding, balancing profit and customer welfare, and </w:t>
      </w:r>
      <w:r w:rsidR="00AC4B92">
        <w:rPr>
          <w:rFonts w:ascii="Times New Roman" w:eastAsia="Times New Roman" w:hAnsi="Times New Roman" w:cs="Times New Roman"/>
          <w:sz w:val="24"/>
          <w:szCs w:val="24"/>
        </w:rPr>
        <w:t>going</w:t>
      </w:r>
      <w:r w:rsidRPr="00AC4B92">
        <w:rPr>
          <w:rFonts w:ascii="Times New Roman" w:eastAsia="Times New Roman" w:hAnsi="Times New Roman" w:cs="Times New Roman"/>
          <w:sz w:val="24"/>
          <w:szCs w:val="24"/>
        </w:rPr>
        <w:t xml:space="preserve"> digital yet staying operationally resilient.</w:t>
      </w:r>
    </w:p>
    <w:p w14:paraId="37AEA15C" w14:textId="77777777" w:rsidR="003A2C1C" w:rsidRPr="00AC4B92" w:rsidRDefault="00000000" w:rsidP="00AC4B92">
      <w:pPr>
        <w:pStyle w:val="Heading1"/>
        <w:spacing w:before="100" w:beforeAutospacing="1" w:after="100" w:afterAutospacing="1" w:line="360" w:lineRule="auto"/>
        <w:rPr>
          <w:rFonts w:ascii="Times New Roman" w:eastAsia="Times New Roman" w:hAnsi="Times New Roman" w:cs="Times New Roman"/>
          <w:b/>
          <w:bCs/>
          <w:sz w:val="24"/>
          <w:szCs w:val="24"/>
        </w:rPr>
      </w:pPr>
      <w:bookmarkStart w:id="4" w:name="_rboianpp17bd" w:colFirst="0" w:colLast="0"/>
      <w:bookmarkEnd w:id="4"/>
      <w:r w:rsidRPr="00AC4B92">
        <w:rPr>
          <w:sz w:val="24"/>
          <w:szCs w:val="24"/>
        </w:rPr>
        <w:lastRenderedPageBreak/>
        <w:br w:type="page"/>
      </w:r>
    </w:p>
    <w:p w14:paraId="41711579" w14:textId="68459A13" w:rsidR="003A2C1C" w:rsidRPr="00AC4B92" w:rsidRDefault="00AC4B92" w:rsidP="00AC4B92">
      <w:pPr>
        <w:pStyle w:val="Heading1"/>
        <w:spacing w:before="100" w:beforeAutospacing="1" w:after="100" w:afterAutospacing="1" w:line="360" w:lineRule="auto"/>
        <w:rPr>
          <w:rFonts w:ascii="Times New Roman" w:eastAsia="Times New Roman" w:hAnsi="Times New Roman" w:cs="Times New Roman"/>
          <w:b/>
          <w:bCs/>
          <w:sz w:val="24"/>
          <w:szCs w:val="24"/>
        </w:rPr>
      </w:pPr>
      <w:bookmarkStart w:id="5" w:name="_tsyz1itrpqxp" w:colFirst="0" w:colLast="0"/>
      <w:bookmarkEnd w:id="5"/>
      <w:r>
        <w:rPr>
          <w:rFonts w:ascii="Times New Roman" w:eastAsia="Times New Roman" w:hAnsi="Times New Roman" w:cs="Times New Roman"/>
          <w:b/>
          <w:bCs/>
          <w:sz w:val="24"/>
          <w:szCs w:val="24"/>
        </w:rPr>
        <w:lastRenderedPageBreak/>
        <w:t xml:space="preserve">5. </w:t>
      </w:r>
      <w:r w:rsidRPr="00AC4B92">
        <w:rPr>
          <w:rFonts w:ascii="Times New Roman" w:eastAsia="Times New Roman" w:hAnsi="Times New Roman" w:cs="Times New Roman"/>
          <w:b/>
          <w:bCs/>
          <w:sz w:val="24"/>
          <w:szCs w:val="24"/>
        </w:rPr>
        <w:t>References</w:t>
      </w:r>
    </w:p>
    <w:p w14:paraId="35AA29E3" w14:textId="77777777" w:rsidR="00AC4B92" w:rsidRPr="00AC4B92" w:rsidRDefault="00AC4B92"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sz w:val="24"/>
          <w:szCs w:val="24"/>
        </w:rPr>
        <w:t xml:space="preserve">Addula, S.R. (2025) ‘Mobile banking adoption: A multi-factorial study on social influence, compatibility, digital self-efficacy, and perceived cost among generation Z consumers in the United States’, </w:t>
      </w:r>
      <w:r w:rsidRPr="00AC4B92">
        <w:rPr>
          <w:rFonts w:ascii="Times New Roman" w:eastAsia="Times New Roman" w:hAnsi="Times New Roman" w:cs="Times New Roman"/>
          <w:i/>
          <w:iCs/>
          <w:sz w:val="24"/>
          <w:szCs w:val="24"/>
        </w:rPr>
        <w:t>Journal of Theoretical and Applied Electronic Commerce Research</w:t>
      </w:r>
      <w:r w:rsidRPr="00AC4B92">
        <w:rPr>
          <w:rFonts w:ascii="Times New Roman" w:eastAsia="Times New Roman" w:hAnsi="Times New Roman" w:cs="Times New Roman"/>
          <w:sz w:val="24"/>
          <w:szCs w:val="24"/>
        </w:rPr>
        <w:t>, 20(3), p.192.</w:t>
      </w:r>
    </w:p>
    <w:p w14:paraId="5C15CBFF" w14:textId="77777777" w:rsidR="00AC4B92" w:rsidRPr="00AC4B92" w:rsidRDefault="00AC4B92"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sz w:val="24"/>
          <w:szCs w:val="24"/>
        </w:rPr>
        <w:t xml:space="preserve">Barclays (2025a). </w:t>
      </w:r>
      <w:r w:rsidRPr="00AC4B92">
        <w:rPr>
          <w:rFonts w:ascii="Times New Roman" w:eastAsia="Times New Roman" w:hAnsi="Times New Roman" w:cs="Times New Roman"/>
          <w:i/>
          <w:iCs/>
          <w:sz w:val="24"/>
          <w:szCs w:val="24"/>
        </w:rPr>
        <w:t>Home | Barclays</w:t>
      </w:r>
      <w:r w:rsidRPr="00AC4B92">
        <w:rPr>
          <w:rFonts w:ascii="Times New Roman" w:eastAsia="Times New Roman" w:hAnsi="Times New Roman" w:cs="Times New Roman"/>
          <w:sz w:val="24"/>
          <w:szCs w:val="24"/>
        </w:rPr>
        <w:t xml:space="preserve">. Available at: </w:t>
      </w:r>
      <w:hyperlink r:id="rId8">
        <w:r w:rsidRPr="00AC4B92">
          <w:rPr>
            <w:rFonts w:ascii="Times New Roman" w:eastAsia="Times New Roman" w:hAnsi="Times New Roman" w:cs="Times New Roman"/>
            <w:color w:val="1155CC"/>
            <w:sz w:val="24"/>
            <w:szCs w:val="24"/>
            <w:u w:val="single"/>
          </w:rPr>
          <w:t>https://home.barclays/</w:t>
        </w:r>
      </w:hyperlink>
      <w:r w:rsidRPr="00AC4B92">
        <w:rPr>
          <w:rFonts w:ascii="Times New Roman" w:eastAsia="Times New Roman" w:hAnsi="Times New Roman" w:cs="Times New Roman"/>
          <w:sz w:val="24"/>
          <w:szCs w:val="24"/>
        </w:rPr>
        <w:t xml:space="preserve"> (Accessed: 26 March 2026).</w:t>
      </w:r>
    </w:p>
    <w:p w14:paraId="4B3FCA01" w14:textId="77777777" w:rsidR="00AC4B92" w:rsidRPr="00AC4B92" w:rsidRDefault="00AC4B92"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sz w:val="24"/>
          <w:szCs w:val="24"/>
        </w:rPr>
        <w:t xml:space="preserve">Barclays (2025b). </w:t>
      </w:r>
      <w:r w:rsidRPr="00AC4B92">
        <w:rPr>
          <w:rFonts w:ascii="Times New Roman" w:eastAsia="Times New Roman" w:hAnsi="Times New Roman" w:cs="Times New Roman"/>
          <w:i/>
          <w:iCs/>
          <w:sz w:val="24"/>
          <w:szCs w:val="24"/>
        </w:rPr>
        <w:t>Barclays data shows contactless spending broke new record in 2024 | Barclays</w:t>
      </w:r>
      <w:r w:rsidRPr="00AC4B92">
        <w:rPr>
          <w:rFonts w:ascii="Times New Roman" w:eastAsia="Times New Roman" w:hAnsi="Times New Roman" w:cs="Times New Roman"/>
          <w:sz w:val="24"/>
          <w:szCs w:val="24"/>
        </w:rPr>
        <w:t xml:space="preserve">. Available at: </w:t>
      </w:r>
      <w:hyperlink r:id="rId9">
        <w:r w:rsidRPr="00AC4B92">
          <w:rPr>
            <w:rFonts w:ascii="Times New Roman" w:eastAsia="Times New Roman" w:hAnsi="Times New Roman" w:cs="Times New Roman"/>
            <w:color w:val="1155CC"/>
            <w:sz w:val="24"/>
            <w:szCs w:val="24"/>
            <w:u w:val="single"/>
          </w:rPr>
          <w:t>https://home.barclays/news/press-releases/2025/04/barclays-data-shows-contactless-spending-broke-new-record-in-202/</w:t>
        </w:r>
      </w:hyperlink>
      <w:r w:rsidRPr="00AC4B92">
        <w:rPr>
          <w:rFonts w:ascii="Times New Roman" w:eastAsia="Times New Roman" w:hAnsi="Times New Roman" w:cs="Times New Roman"/>
          <w:sz w:val="24"/>
          <w:szCs w:val="24"/>
        </w:rPr>
        <w:t xml:space="preserve"> (Accessed: 26 March 2026).</w:t>
      </w:r>
    </w:p>
    <w:p w14:paraId="6935766E" w14:textId="77777777" w:rsidR="00AC4B92" w:rsidRPr="00AC4B92" w:rsidRDefault="00AC4B92"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sz w:val="24"/>
          <w:szCs w:val="24"/>
        </w:rPr>
        <w:t xml:space="preserve">Barclays (2025c). </w:t>
      </w:r>
      <w:r w:rsidRPr="00AC4B92">
        <w:rPr>
          <w:rFonts w:ascii="Times New Roman" w:eastAsia="Times New Roman" w:hAnsi="Times New Roman" w:cs="Times New Roman"/>
          <w:i/>
          <w:iCs/>
          <w:sz w:val="24"/>
          <w:szCs w:val="24"/>
        </w:rPr>
        <w:t>Statement on the Net Zero Banking Alliance</w:t>
      </w:r>
      <w:r w:rsidRPr="00AC4B92">
        <w:rPr>
          <w:rFonts w:ascii="Times New Roman" w:eastAsia="Times New Roman" w:hAnsi="Times New Roman" w:cs="Times New Roman"/>
          <w:sz w:val="24"/>
          <w:szCs w:val="24"/>
        </w:rPr>
        <w:t xml:space="preserve">. Available at: </w:t>
      </w:r>
      <w:hyperlink r:id="rId10">
        <w:r w:rsidRPr="00AC4B92">
          <w:rPr>
            <w:rFonts w:ascii="Times New Roman" w:eastAsia="Times New Roman" w:hAnsi="Times New Roman" w:cs="Times New Roman"/>
            <w:color w:val="1155CC"/>
            <w:sz w:val="24"/>
            <w:szCs w:val="24"/>
            <w:u w:val="single"/>
          </w:rPr>
          <w:t>https://home.barclays/news/press-releases/2025/08/Statement-on-the-Net-Zero-Banking-Alliance/</w:t>
        </w:r>
      </w:hyperlink>
      <w:r w:rsidRPr="00AC4B92">
        <w:rPr>
          <w:rFonts w:ascii="Times New Roman" w:eastAsia="Times New Roman" w:hAnsi="Times New Roman" w:cs="Times New Roman"/>
          <w:sz w:val="24"/>
          <w:szCs w:val="24"/>
        </w:rPr>
        <w:t xml:space="preserve"> (Accessed: 26 March 2026).</w:t>
      </w:r>
    </w:p>
    <w:p w14:paraId="430D53A5" w14:textId="77777777" w:rsidR="00AC4B92" w:rsidRPr="00AC4B92" w:rsidRDefault="00AC4B92"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sz w:val="24"/>
          <w:szCs w:val="24"/>
        </w:rPr>
        <w:t xml:space="preserve">Chen, Y. (2022) ‘The review and analysis of inflation and its effects: Will current high inflation lead to an economic crisis’, </w:t>
      </w:r>
      <w:r w:rsidRPr="00AC4B92">
        <w:rPr>
          <w:rFonts w:ascii="Times New Roman" w:eastAsia="Times New Roman" w:hAnsi="Times New Roman" w:cs="Times New Roman"/>
          <w:i/>
          <w:iCs/>
          <w:sz w:val="24"/>
          <w:szCs w:val="24"/>
        </w:rPr>
        <w:t>Journal of Business &amp; Economic Policy</w:t>
      </w:r>
      <w:r w:rsidRPr="00AC4B92">
        <w:rPr>
          <w:rFonts w:ascii="Times New Roman" w:eastAsia="Times New Roman" w:hAnsi="Times New Roman" w:cs="Times New Roman"/>
          <w:sz w:val="24"/>
          <w:szCs w:val="24"/>
        </w:rPr>
        <w:t>, 9(2), p.21.</w:t>
      </w:r>
    </w:p>
    <w:p w14:paraId="714EBA2E" w14:textId="77777777" w:rsidR="00AC4B92" w:rsidRPr="00AC4B92" w:rsidRDefault="00AC4B92"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sz w:val="24"/>
          <w:szCs w:val="24"/>
        </w:rPr>
        <w:t xml:space="preserve">Ferran, E. (2023) ‘International competitiveness and financial regulators’ mandates: coming around again in the UK’, </w:t>
      </w:r>
      <w:r w:rsidRPr="00AC4B92">
        <w:rPr>
          <w:rFonts w:ascii="Times New Roman" w:eastAsia="Times New Roman" w:hAnsi="Times New Roman" w:cs="Times New Roman"/>
          <w:i/>
          <w:iCs/>
          <w:sz w:val="24"/>
          <w:szCs w:val="24"/>
        </w:rPr>
        <w:t>Journal of Financial Regulation</w:t>
      </w:r>
      <w:r w:rsidRPr="00AC4B92">
        <w:rPr>
          <w:rFonts w:ascii="Times New Roman" w:eastAsia="Times New Roman" w:hAnsi="Times New Roman" w:cs="Times New Roman"/>
          <w:sz w:val="24"/>
          <w:szCs w:val="24"/>
        </w:rPr>
        <w:t>, 9(1), pp.30-54.</w:t>
      </w:r>
    </w:p>
    <w:p w14:paraId="74495D5C" w14:textId="77777777" w:rsidR="00AC4B92" w:rsidRPr="00AC4B92" w:rsidRDefault="00AC4B92"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sz w:val="24"/>
          <w:szCs w:val="24"/>
        </w:rPr>
        <w:t xml:space="preserve">Glambosky, M., Jory, S.R. and Ngo, T. (2023) ‘Stock market response to the statement on the purpose of a corporation: A vindication of stakeholder theory’, </w:t>
      </w:r>
      <w:r w:rsidRPr="00AC4B92">
        <w:rPr>
          <w:rFonts w:ascii="Times New Roman" w:eastAsia="Times New Roman" w:hAnsi="Times New Roman" w:cs="Times New Roman"/>
          <w:i/>
          <w:iCs/>
          <w:sz w:val="24"/>
          <w:szCs w:val="24"/>
        </w:rPr>
        <w:t>Corporate Governance: An International Review</w:t>
      </w:r>
      <w:r w:rsidRPr="00AC4B92">
        <w:rPr>
          <w:rFonts w:ascii="Times New Roman" w:eastAsia="Times New Roman" w:hAnsi="Times New Roman" w:cs="Times New Roman"/>
          <w:sz w:val="24"/>
          <w:szCs w:val="24"/>
        </w:rPr>
        <w:t>, 31(6), pp.892-920.</w:t>
      </w:r>
    </w:p>
    <w:p w14:paraId="3D8F8CEE" w14:textId="77777777" w:rsidR="00AC4B92" w:rsidRPr="00AC4B92" w:rsidRDefault="00AC4B92"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sz w:val="24"/>
          <w:szCs w:val="24"/>
        </w:rPr>
        <w:t xml:space="preserve">Hossain, M.B. (2023) ‘Acquiring an awareness of the latest regulatory developments concerning digital assets and anti-money laundering’, </w:t>
      </w:r>
      <w:r w:rsidRPr="00AC4B92">
        <w:rPr>
          <w:rFonts w:ascii="Times New Roman" w:eastAsia="Times New Roman" w:hAnsi="Times New Roman" w:cs="Times New Roman"/>
          <w:i/>
          <w:iCs/>
          <w:sz w:val="24"/>
          <w:szCs w:val="24"/>
        </w:rPr>
        <w:t>Journal of Money Laundering Control</w:t>
      </w:r>
      <w:r w:rsidRPr="00AC4B92">
        <w:rPr>
          <w:rFonts w:ascii="Times New Roman" w:eastAsia="Times New Roman" w:hAnsi="Times New Roman" w:cs="Times New Roman"/>
          <w:sz w:val="24"/>
          <w:szCs w:val="24"/>
        </w:rPr>
        <w:t>, 26(6), pp.1261-1268.</w:t>
      </w:r>
    </w:p>
    <w:p w14:paraId="471E5FB3" w14:textId="77777777" w:rsidR="00AC4B92" w:rsidRPr="00AC4B92" w:rsidRDefault="00AC4B92"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sz w:val="24"/>
          <w:szCs w:val="24"/>
        </w:rPr>
        <w:t>Karem, A.A. and Azzahra, M.S., (2024) ‘</w:t>
      </w:r>
      <w:proofErr w:type="spellStart"/>
      <w:r w:rsidRPr="00AC4B92">
        <w:rPr>
          <w:rFonts w:ascii="Times New Roman" w:eastAsia="Times New Roman" w:hAnsi="Times New Roman" w:cs="Times New Roman"/>
          <w:sz w:val="24"/>
          <w:szCs w:val="24"/>
        </w:rPr>
        <w:t>Analyzing</w:t>
      </w:r>
      <w:proofErr w:type="spellEnd"/>
      <w:r w:rsidRPr="00AC4B92">
        <w:rPr>
          <w:rFonts w:ascii="Times New Roman" w:eastAsia="Times New Roman" w:hAnsi="Times New Roman" w:cs="Times New Roman"/>
          <w:sz w:val="24"/>
          <w:szCs w:val="24"/>
        </w:rPr>
        <w:t xml:space="preserve"> the impact of regulatory policies on financial stability and market dynamics in the banking industry’, </w:t>
      </w:r>
      <w:proofErr w:type="spellStart"/>
      <w:r w:rsidRPr="00AC4B92">
        <w:rPr>
          <w:rFonts w:ascii="Times New Roman" w:eastAsia="Times New Roman" w:hAnsi="Times New Roman" w:cs="Times New Roman"/>
          <w:i/>
          <w:iCs/>
          <w:sz w:val="24"/>
          <w:szCs w:val="24"/>
        </w:rPr>
        <w:t>Inspirasi</w:t>
      </w:r>
      <w:proofErr w:type="spellEnd"/>
      <w:r w:rsidRPr="00AC4B92">
        <w:rPr>
          <w:rFonts w:ascii="Times New Roman" w:eastAsia="Times New Roman" w:hAnsi="Times New Roman" w:cs="Times New Roman"/>
          <w:i/>
          <w:iCs/>
          <w:sz w:val="24"/>
          <w:szCs w:val="24"/>
        </w:rPr>
        <w:t xml:space="preserve"> &amp; Strategy (INSPIRAT): Journal Policy Public &amp; Business</w:t>
      </w:r>
      <w:r w:rsidRPr="00AC4B92">
        <w:rPr>
          <w:rFonts w:ascii="Times New Roman" w:eastAsia="Times New Roman" w:hAnsi="Times New Roman" w:cs="Times New Roman"/>
          <w:sz w:val="24"/>
          <w:szCs w:val="24"/>
        </w:rPr>
        <w:t>, 14(2), pp.83-91.</w:t>
      </w:r>
    </w:p>
    <w:p w14:paraId="734A3CAD" w14:textId="77777777" w:rsidR="00AC4B92" w:rsidRPr="00AC4B92" w:rsidRDefault="00AC4B92"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sz w:val="24"/>
          <w:szCs w:val="24"/>
        </w:rPr>
        <w:lastRenderedPageBreak/>
        <w:t xml:space="preserve">Kauppi, K. (2022) </w:t>
      </w:r>
      <w:r w:rsidRPr="00AC4B92">
        <w:rPr>
          <w:rFonts w:ascii="Times New Roman" w:eastAsia="Times New Roman" w:hAnsi="Times New Roman" w:cs="Times New Roman"/>
          <w:i/>
          <w:iCs/>
          <w:sz w:val="24"/>
          <w:szCs w:val="24"/>
        </w:rPr>
        <w:t>Institutional theory. In Handbook of theories for purchasing, supply chain and management research</w:t>
      </w:r>
      <w:r w:rsidRPr="00AC4B92">
        <w:rPr>
          <w:rFonts w:ascii="Times New Roman" w:eastAsia="Times New Roman" w:hAnsi="Times New Roman" w:cs="Times New Roman"/>
          <w:sz w:val="24"/>
          <w:szCs w:val="24"/>
        </w:rPr>
        <w:t xml:space="preserve"> (pp. 320-334). </w:t>
      </w:r>
      <w:r>
        <w:rPr>
          <w:rFonts w:ascii="Times New Roman" w:eastAsia="Times New Roman" w:hAnsi="Times New Roman" w:cs="Times New Roman"/>
          <w:sz w:val="24"/>
          <w:szCs w:val="24"/>
        </w:rPr>
        <w:t xml:space="preserve">US: </w:t>
      </w:r>
      <w:r w:rsidRPr="00AC4B92">
        <w:rPr>
          <w:rFonts w:ascii="Times New Roman" w:eastAsia="Times New Roman" w:hAnsi="Times New Roman" w:cs="Times New Roman"/>
          <w:sz w:val="24"/>
          <w:szCs w:val="24"/>
        </w:rPr>
        <w:t>Edward Elgar Publishing.</w:t>
      </w:r>
    </w:p>
    <w:p w14:paraId="0206B336" w14:textId="77777777" w:rsidR="00AC4B92" w:rsidRPr="00AC4B92" w:rsidRDefault="00AC4B92"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sz w:val="24"/>
          <w:szCs w:val="24"/>
        </w:rPr>
        <w:t xml:space="preserve">Saeed, S., Altamimi, S.A., </w:t>
      </w:r>
      <w:proofErr w:type="spellStart"/>
      <w:r w:rsidRPr="00AC4B92">
        <w:rPr>
          <w:rFonts w:ascii="Times New Roman" w:eastAsia="Times New Roman" w:hAnsi="Times New Roman" w:cs="Times New Roman"/>
          <w:sz w:val="24"/>
          <w:szCs w:val="24"/>
        </w:rPr>
        <w:t>Alkayyal</w:t>
      </w:r>
      <w:proofErr w:type="spellEnd"/>
      <w:r w:rsidRPr="00AC4B92">
        <w:rPr>
          <w:rFonts w:ascii="Times New Roman" w:eastAsia="Times New Roman" w:hAnsi="Times New Roman" w:cs="Times New Roman"/>
          <w:sz w:val="24"/>
          <w:szCs w:val="24"/>
        </w:rPr>
        <w:t xml:space="preserve">, N.A., Alshehri, E. and </w:t>
      </w:r>
      <w:proofErr w:type="spellStart"/>
      <w:r w:rsidRPr="00AC4B92">
        <w:rPr>
          <w:rFonts w:ascii="Times New Roman" w:eastAsia="Times New Roman" w:hAnsi="Times New Roman" w:cs="Times New Roman"/>
          <w:sz w:val="24"/>
          <w:szCs w:val="24"/>
        </w:rPr>
        <w:t>Alabbad</w:t>
      </w:r>
      <w:proofErr w:type="spellEnd"/>
      <w:r w:rsidRPr="00AC4B92">
        <w:rPr>
          <w:rFonts w:ascii="Times New Roman" w:eastAsia="Times New Roman" w:hAnsi="Times New Roman" w:cs="Times New Roman"/>
          <w:sz w:val="24"/>
          <w:szCs w:val="24"/>
        </w:rPr>
        <w:t xml:space="preserve">, D.A. (2023) ‘Digital transformation and cybersecurity challenges for businesses resilience: Issues and recommendations’, </w:t>
      </w:r>
      <w:r w:rsidRPr="00AC4B92">
        <w:rPr>
          <w:rFonts w:ascii="Times New Roman" w:eastAsia="Times New Roman" w:hAnsi="Times New Roman" w:cs="Times New Roman"/>
          <w:i/>
          <w:iCs/>
          <w:sz w:val="24"/>
          <w:szCs w:val="24"/>
        </w:rPr>
        <w:t>Sensors</w:t>
      </w:r>
      <w:r w:rsidRPr="00AC4B92">
        <w:rPr>
          <w:rFonts w:ascii="Times New Roman" w:eastAsia="Times New Roman" w:hAnsi="Times New Roman" w:cs="Times New Roman"/>
          <w:sz w:val="24"/>
          <w:szCs w:val="24"/>
        </w:rPr>
        <w:t>, 23(15), p.6666.</w:t>
      </w:r>
    </w:p>
    <w:p w14:paraId="5615C38E" w14:textId="77777777" w:rsidR="00AC4B92" w:rsidRPr="00AC4B92" w:rsidRDefault="00AC4B92" w:rsidP="00AC4B92">
      <w:pPr>
        <w:spacing w:before="100" w:beforeAutospacing="1" w:after="100" w:afterAutospacing="1" w:line="360" w:lineRule="auto"/>
        <w:jc w:val="both"/>
        <w:rPr>
          <w:rFonts w:ascii="Times New Roman" w:eastAsia="Times New Roman" w:hAnsi="Times New Roman" w:cs="Times New Roman"/>
          <w:sz w:val="24"/>
          <w:szCs w:val="24"/>
        </w:rPr>
      </w:pPr>
      <w:r w:rsidRPr="00AC4B92">
        <w:rPr>
          <w:rFonts w:ascii="Times New Roman" w:eastAsia="Times New Roman" w:hAnsi="Times New Roman" w:cs="Times New Roman"/>
          <w:sz w:val="24"/>
          <w:szCs w:val="24"/>
        </w:rPr>
        <w:t xml:space="preserve">Tavakoli, A. (2023) ‘Exploring the relationship between interest rates and bank profitability in financial institutions’, </w:t>
      </w:r>
      <w:r w:rsidRPr="00AC4B92">
        <w:rPr>
          <w:rFonts w:ascii="Times New Roman" w:eastAsia="Times New Roman" w:hAnsi="Times New Roman" w:cs="Times New Roman"/>
          <w:i/>
          <w:iCs/>
          <w:sz w:val="24"/>
          <w:szCs w:val="24"/>
        </w:rPr>
        <w:t>Indonesia Accounting Research Journal</w:t>
      </w:r>
      <w:r w:rsidRPr="00AC4B92">
        <w:rPr>
          <w:rFonts w:ascii="Times New Roman" w:eastAsia="Times New Roman" w:hAnsi="Times New Roman" w:cs="Times New Roman"/>
          <w:sz w:val="24"/>
          <w:szCs w:val="24"/>
        </w:rPr>
        <w:t>, 11(2), pp.128-137.</w:t>
      </w:r>
    </w:p>
    <w:p w14:paraId="24AF222D" w14:textId="77777777" w:rsidR="003A2C1C" w:rsidRPr="00AC4B92" w:rsidRDefault="003A2C1C" w:rsidP="00AC4B92">
      <w:pPr>
        <w:spacing w:before="100" w:beforeAutospacing="1" w:after="100" w:afterAutospacing="1" w:line="360" w:lineRule="auto"/>
        <w:rPr>
          <w:sz w:val="24"/>
          <w:szCs w:val="24"/>
        </w:rPr>
      </w:pPr>
    </w:p>
    <w:sectPr w:rsidR="003A2C1C" w:rsidRPr="00AC4B92">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3CA371" w14:textId="77777777" w:rsidR="00E94CFD" w:rsidRDefault="00E94CFD">
      <w:pPr>
        <w:spacing w:line="240" w:lineRule="auto"/>
      </w:pPr>
      <w:r>
        <w:separator/>
      </w:r>
    </w:p>
  </w:endnote>
  <w:endnote w:type="continuationSeparator" w:id="0">
    <w:p w14:paraId="6516C5D6" w14:textId="77777777" w:rsidR="00E94CFD" w:rsidRDefault="00E94C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C1951E1C-88DA-B84C-9233-0D4CD9D12BAF}"/>
    <w:embedBold r:id="rId2" w:fontKey="{BFDC2F1D-790B-0146-942A-BB506878DCF1}"/>
    <w:embedItalic r:id="rId3" w:fontKey="{2E747F1A-6188-B540-BEBC-38A6C371CD3D}"/>
  </w:font>
  <w:font w:name="Arial">
    <w:panose1 w:val="020B0604020202020204"/>
    <w:charset w:val="00"/>
    <w:family w:val="swiss"/>
    <w:pitch w:val="variable"/>
    <w:sig w:usb0="E0002EFF" w:usb1="C000785B" w:usb2="00000009" w:usb3="00000000" w:csb0="000001FF" w:csb1="00000000"/>
    <w:embedRegular r:id="rId4" w:fontKey="{CCFA1FE2-74EE-494E-B0FC-D9A988214E16}"/>
    <w:embedItalic r:id="rId5" w:fontKey="{52758BBF-0EDD-DC4C-B75B-70809B49FD52}"/>
  </w:font>
  <w:font w:name="Calibri">
    <w:panose1 w:val="020F0502020204030204"/>
    <w:charset w:val="00"/>
    <w:family w:val="swiss"/>
    <w:pitch w:val="variable"/>
    <w:sig w:usb0="E4002EFF" w:usb1="C000247B" w:usb2="00000009" w:usb3="00000000" w:csb0="000001FF" w:csb1="00000000"/>
    <w:embedRegular r:id="rId6" w:fontKey="{FE0C4080-8200-614B-B47F-1CE2A339F414}"/>
  </w:font>
  <w:font w:name="Cambria">
    <w:panose1 w:val="02040503050406030204"/>
    <w:charset w:val="00"/>
    <w:family w:val="roman"/>
    <w:pitch w:val="variable"/>
    <w:sig w:usb0="E00006FF" w:usb1="420024FF" w:usb2="02000000" w:usb3="00000000" w:csb0="0000019F" w:csb1="00000000"/>
    <w:embedRegular r:id="rId7" w:fontKey="{17E6EAF7-F7A7-244B-9AFA-E606968F6BF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5F3BBF" w14:textId="77777777" w:rsidR="003A2C1C" w:rsidRDefault="00000000">
    <w:pPr>
      <w:jc w:val="right"/>
    </w:pPr>
    <w:r>
      <w:fldChar w:fldCharType="begin"/>
    </w:r>
    <w:r>
      <w:instrText>PAGE</w:instrText>
    </w:r>
    <w:r>
      <w:fldChar w:fldCharType="separate"/>
    </w:r>
    <w:r w:rsidR="00610A6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C737EF" w14:textId="77777777" w:rsidR="00E94CFD" w:rsidRDefault="00E94CFD">
      <w:pPr>
        <w:spacing w:line="240" w:lineRule="auto"/>
      </w:pPr>
      <w:r>
        <w:separator/>
      </w:r>
    </w:p>
  </w:footnote>
  <w:footnote w:type="continuationSeparator" w:id="0">
    <w:p w14:paraId="4EF2E97E" w14:textId="77777777" w:rsidR="00E94CFD" w:rsidRDefault="00E94CF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6116A"/>
    <w:multiLevelType w:val="multilevel"/>
    <w:tmpl w:val="911095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873181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2C1C"/>
    <w:rsid w:val="00310F18"/>
    <w:rsid w:val="003A2C1C"/>
    <w:rsid w:val="004D366E"/>
    <w:rsid w:val="00510279"/>
    <w:rsid w:val="00610A63"/>
    <w:rsid w:val="007038CC"/>
    <w:rsid w:val="007E3592"/>
    <w:rsid w:val="00821540"/>
    <w:rsid w:val="00AC4B92"/>
    <w:rsid w:val="00C42278"/>
    <w:rsid w:val="00C42313"/>
    <w:rsid w:val="00E94CFD"/>
    <w:rsid w:val="00F639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F44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D366E"/>
    <w:pPr>
      <w:tabs>
        <w:tab w:val="center" w:pos="4513"/>
        <w:tab w:val="right" w:pos="9026"/>
      </w:tabs>
      <w:spacing w:line="240" w:lineRule="auto"/>
    </w:pPr>
  </w:style>
  <w:style w:type="character" w:customStyle="1" w:styleId="HeaderChar">
    <w:name w:val="Header Char"/>
    <w:basedOn w:val="DefaultParagraphFont"/>
    <w:link w:val="Header"/>
    <w:uiPriority w:val="99"/>
    <w:rsid w:val="004D366E"/>
  </w:style>
  <w:style w:type="paragraph" w:styleId="Footer">
    <w:name w:val="footer"/>
    <w:basedOn w:val="Normal"/>
    <w:link w:val="FooterChar"/>
    <w:uiPriority w:val="99"/>
    <w:unhideWhenUsed/>
    <w:rsid w:val="004D366E"/>
    <w:pPr>
      <w:tabs>
        <w:tab w:val="center" w:pos="4513"/>
        <w:tab w:val="right" w:pos="9026"/>
      </w:tabs>
      <w:spacing w:line="240" w:lineRule="auto"/>
    </w:pPr>
  </w:style>
  <w:style w:type="character" w:customStyle="1" w:styleId="FooterChar">
    <w:name w:val="Footer Char"/>
    <w:basedOn w:val="DefaultParagraphFont"/>
    <w:link w:val="Footer"/>
    <w:uiPriority w:val="99"/>
    <w:rsid w:val="004D36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home.barclay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home.barclays/news/press-releases/2025/08/Statement-on-the-Net-Zero-Banking-Alliance/" TargetMode="External"/><Relationship Id="rId4" Type="http://schemas.openxmlformats.org/officeDocument/2006/relationships/webSettings" Target="webSettings.xml"/><Relationship Id="rId9" Type="http://schemas.openxmlformats.org/officeDocument/2006/relationships/hyperlink" Target="https://home.barclays/news/press-releases/2025/04/barclays-data-shows-contactless-spending-broke-new-record-in-20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1709</Words>
  <Characters>9746</Characters>
  <Application>Microsoft Office Word</Application>
  <DocSecurity>0</DocSecurity>
  <Lines>81</Lines>
  <Paragraphs>22</Paragraphs>
  <ScaleCrop>false</ScaleCrop>
  <Company/>
  <LinksUpToDate>false</LinksUpToDate>
  <CharactersWithSpaces>11433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2026-03-26T14:49:00Z</dcterms:created>
  <dcterms:modified xsi:type="dcterms:W3CDTF">2026-03-27T22:04:00Z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1ad7d997-5e5b-423b-80f8-9b307cb0a071</vt:lpwstr>
  </property>
</Properties>
</file>