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D608" w14:textId="4749DB1D" w:rsidR="005718BB" w:rsidRPr="00DF01DF" w:rsidRDefault="005718BB" w:rsidP="00DF01DF">
      <w:pPr>
        <w:spacing w:line="480" w:lineRule="auto"/>
        <w:jc w:val="center"/>
        <w:rPr>
          <w:rFonts w:ascii="Arial" w:hAnsi="Arial" w:cs="Arial"/>
          <w:b/>
          <w:bCs/>
          <w:u w:val="single"/>
        </w:rPr>
      </w:pPr>
      <w:r w:rsidRPr="005718BB">
        <w:rPr>
          <w:rFonts w:ascii="Arial" w:hAnsi="Arial" w:cs="Arial"/>
          <w:b/>
          <w:bCs/>
          <w:u w:val="single"/>
        </w:rPr>
        <w:t>The accrediting counselling bodies of the National Counselling &amp; Psychotherapy Society (NCPS) and the British Association for Counselling and Psychotherapy (BACP) recognise the evolving delivery of counselling. This approach combines a hybrid model of in-person and remote (video and telephone) sessions for both counselling and supervision.</w:t>
      </w:r>
    </w:p>
    <w:p w14:paraId="45411EF3" w14:textId="77777777" w:rsidR="005718BB" w:rsidRPr="005718BB" w:rsidRDefault="005718BB" w:rsidP="002805AB">
      <w:pPr>
        <w:spacing w:line="480" w:lineRule="auto"/>
        <w:rPr>
          <w:rFonts w:ascii="Arial" w:hAnsi="Arial" w:cs="Arial"/>
        </w:rPr>
      </w:pPr>
      <w:r w:rsidRPr="005718BB">
        <w:rPr>
          <w:rFonts w:ascii="Arial" w:hAnsi="Arial" w:cs="Arial"/>
        </w:rPr>
        <w:t xml:space="preserve">Critically evaluate how this shift to remote work impacts the following concepts and principles in both client interactions and supervisory practices: </w:t>
      </w:r>
    </w:p>
    <w:p w14:paraId="2266A649" w14:textId="77777777" w:rsidR="005718BB" w:rsidRPr="005718BB" w:rsidRDefault="005718BB" w:rsidP="002805AB">
      <w:pPr>
        <w:spacing w:line="480" w:lineRule="auto"/>
        <w:rPr>
          <w:rFonts w:ascii="Arial" w:hAnsi="Arial" w:cs="Arial"/>
        </w:rPr>
      </w:pPr>
      <w:r w:rsidRPr="005718BB">
        <w:rPr>
          <w:rFonts w:ascii="Symbol" w:eastAsia="Symbol" w:hAnsi="Symbol" w:cs="Symbol"/>
        </w:rPr>
        <w:sym w:font="Symbol" w:char="F0A9"/>
      </w:r>
      <w:r w:rsidRPr="005718BB">
        <w:rPr>
          <w:rFonts w:ascii="Arial" w:hAnsi="Arial" w:cs="Arial"/>
        </w:rPr>
        <w:t xml:space="preserve"> Therapeutic Relationship </w:t>
      </w:r>
    </w:p>
    <w:p w14:paraId="1EA52152" w14:textId="77777777" w:rsidR="005718BB" w:rsidRPr="005718BB" w:rsidRDefault="005718BB" w:rsidP="002805AB">
      <w:pPr>
        <w:spacing w:line="480" w:lineRule="auto"/>
        <w:rPr>
          <w:rFonts w:ascii="Arial" w:hAnsi="Arial" w:cs="Arial"/>
        </w:rPr>
      </w:pPr>
      <w:r w:rsidRPr="005718BB">
        <w:rPr>
          <w:rFonts w:ascii="Symbol" w:eastAsia="Symbol" w:hAnsi="Symbol" w:cs="Symbol"/>
        </w:rPr>
        <w:sym w:font="Symbol" w:char="F0A9"/>
      </w:r>
      <w:r w:rsidRPr="005718BB">
        <w:rPr>
          <w:rFonts w:ascii="Arial" w:hAnsi="Arial" w:cs="Arial"/>
        </w:rPr>
        <w:t xml:space="preserve"> Core Conditions </w:t>
      </w:r>
    </w:p>
    <w:p w14:paraId="3C517A70" w14:textId="2BAD66EB" w:rsidR="00A80393" w:rsidRDefault="005718BB" w:rsidP="002805AB">
      <w:pPr>
        <w:spacing w:line="480" w:lineRule="auto"/>
        <w:rPr>
          <w:rFonts w:ascii="Arial" w:hAnsi="Arial" w:cs="Arial"/>
        </w:rPr>
      </w:pPr>
      <w:r w:rsidRPr="005718BB">
        <w:rPr>
          <w:rFonts w:ascii="Symbol" w:eastAsia="Symbol" w:hAnsi="Symbol" w:cs="Symbol"/>
        </w:rPr>
        <w:sym w:font="Symbol" w:char="F0A9"/>
      </w:r>
      <w:r w:rsidRPr="005718BB">
        <w:rPr>
          <w:rFonts w:ascii="Arial" w:hAnsi="Arial" w:cs="Arial"/>
        </w:rPr>
        <w:t xml:space="preserve"> Practice-Based Skills</w:t>
      </w:r>
    </w:p>
    <w:p w14:paraId="650CC46D" w14:textId="107D3B20" w:rsidR="00A80393" w:rsidRDefault="00A80393" w:rsidP="002805AB">
      <w:pPr>
        <w:spacing w:line="480" w:lineRule="auto"/>
        <w:rPr>
          <w:rFonts w:ascii="Arial" w:hAnsi="Arial" w:cs="Arial"/>
          <w:b/>
          <w:bCs/>
        </w:rPr>
      </w:pPr>
      <w:r>
        <w:rPr>
          <w:rFonts w:ascii="Arial" w:hAnsi="Arial" w:cs="Arial"/>
          <w:b/>
          <w:bCs/>
        </w:rPr>
        <w:t>Introduction</w:t>
      </w:r>
    </w:p>
    <w:p w14:paraId="181BD950" w14:textId="56489FE9" w:rsidR="007A7C39" w:rsidRDefault="00A861A3" w:rsidP="002805AB">
      <w:pPr>
        <w:spacing w:line="480" w:lineRule="auto"/>
        <w:rPr>
          <w:rFonts w:ascii="Arial" w:hAnsi="Arial" w:cs="Arial"/>
        </w:rPr>
      </w:pPr>
      <w:r>
        <w:rPr>
          <w:rFonts w:ascii="Arial" w:hAnsi="Arial" w:cs="Arial"/>
        </w:rPr>
        <w:t>Counselling and therap</w:t>
      </w:r>
      <w:r w:rsidR="00550123">
        <w:rPr>
          <w:rFonts w:ascii="Arial" w:hAnsi="Arial" w:cs="Arial"/>
        </w:rPr>
        <w:t>eutic approaches</w:t>
      </w:r>
      <w:r>
        <w:rPr>
          <w:rFonts w:ascii="Arial" w:hAnsi="Arial" w:cs="Arial"/>
        </w:rPr>
        <w:t xml:space="preserve"> ha</w:t>
      </w:r>
      <w:r w:rsidR="00550123">
        <w:rPr>
          <w:rFonts w:ascii="Arial" w:hAnsi="Arial" w:cs="Arial"/>
        </w:rPr>
        <w:t>ve</w:t>
      </w:r>
      <w:r>
        <w:rPr>
          <w:rFonts w:ascii="Arial" w:hAnsi="Arial" w:cs="Arial"/>
        </w:rPr>
        <w:t xml:space="preserve"> evolved in a number of ways since the days of Carl Rogers and his core conditions </w:t>
      </w:r>
      <w:r w:rsidR="00550123">
        <w:rPr>
          <w:rFonts w:ascii="Arial" w:hAnsi="Arial" w:cs="Arial"/>
        </w:rPr>
        <w:t>were developed</w:t>
      </w:r>
      <w:r>
        <w:rPr>
          <w:rFonts w:ascii="Arial" w:hAnsi="Arial" w:cs="Arial"/>
        </w:rPr>
        <w:t xml:space="preserve"> (195</w:t>
      </w:r>
      <w:r w:rsidR="00550123">
        <w:rPr>
          <w:rFonts w:ascii="Arial" w:hAnsi="Arial" w:cs="Arial"/>
        </w:rPr>
        <w:t>7</w:t>
      </w:r>
      <w:r>
        <w:rPr>
          <w:rFonts w:ascii="Arial" w:hAnsi="Arial" w:cs="Arial"/>
        </w:rPr>
        <w:t>)</w:t>
      </w:r>
      <w:r w:rsidR="00550123">
        <w:rPr>
          <w:rFonts w:ascii="Arial" w:hAnsi="Arial" w:cs="Arial"/>
        </w:rPr>
        <w:t xml:space="preserve">. </w:t>
      </w:r>
      <w:r w:rsidR="007A7C39">
        <w:rPr>
          <w:rFonts w:ascii="Arial" w:hAnsi="Arial" w:cs="Arial"/>
        </w:rPr>
        <w:t xml:space="preserve">Therapy has a wide range of approaches under the umbrella term now that include person-centred, cognitive behavioural, emotional-focussed, motivational interviewing and many more. However, not only have there been developments in approaches and methods but also now in their deliveries. As the world has developed, it has become a place of fast living, with far more technological intervention in </w:t>
      </w:r>
      <w:r w:rsidR="000F3566">
        <w:rPr>
          <w:rFonts w:ascii="Arial" w:hAnsi="Arial" w:cs="Arial"/>
        </w:rPr>
        <w:t>day-to-day</w:t>
      </w:r>
      <w:r w:rsidR="007A7C39">
        <w:rPr>
          <w:rFonts w:ascii="Arial" w:hAnsi="Arial" w:cs="Arial"/>
        </w:rPr>
        <w:t xml:space="preserve"> life. Not to mention in 2020 when the world went into a lockdown following the Coronavirus pandemic and human contact became sparse and even feared. </w:t>
      </w:r>
      <w:r w:rsidR="000F3566">
        <w:rPr>
          <w:rFonts w:ascii="Arial" w:hAnsi="Arial" w:cs="Arial"/>
        </w:rPr>
        <w:t xml:space="preserve">The need for therapy potentially increasing day by day with difficulty in facilitating in a world whereby people felt unsafe, clinicians began to develop ways to deliver therapy and support from afar. This piece of work will discuss the varying and newer approaches that </w:t>
      </w:r>
      <w:r w:rsidR="000F3566">
        <w:rPr>
          <w:rFonts w:ascii="Arial" w:hAnsi="Arial" w:cs="Arial"/>
        </w:rPr>
        <w:lastRenderedPageBreak/>
        <w:t xml:space="preserve">have been developed to deliver therapy in a range of </w:t>
      </w:r>
      <w:r w:rsidR="00263EC3">
        <w:rPr>
          <w:rFonts w:ascii="Arial" w:hAnsi="Arial" w:cs="Arial"/>
        </w:rPr>
        <w:t>manners,</w:t>
      </w:r>
      <w:r w:rsidR="000F3566">
        <w:rPr>
          <w:rFonts w:ascii="Arial" w:hAnsi="Arial" w:cs="Arial"/>
        </w:rPr>
        <w:t xml:space="preserve"> including online and telephone. As well as this it will explore how the core conditions could have been affected and/or adapted to be suitable and to allow for </w:t>
      </w:r>
      <w:r w:rsidR="00F12D81">
        <w:rPr>
          <w:rFonts w:ascii="Arial" w:hAnsi="Arial" w:cs="Arial"/>
        </w:rPr>
        <w:t>practical, beneficial therapy to take place</w:t>
      </w:r>
      <w:r w:rsidR="39A7CB6E" w:rsidRPr="39A7CB6E">
        <w:rPr>
          <w:rFonts w:ascii="Arial" w:hAnsi="Arial" w:cs="Arial"/>
        </w:rPr>
        <w:t>, as well as the suitability for these practices in general.</w:t>
      </w:r>
    </w:p>
    <w:p w14:paraId="784D08E7" w14:textId="5AB09BEA" w:rsidR="00A80393" w:rsidRPr="00A861A3" w:rsidRDefault="00F12D81" w:rsidP="002805AB">
      <w:pPr>
        <w:spacing w:line="480" w:lineRule="auto"/>
        <w:rPr>
          <w:rFonts w:ascii="Arial" w:hAnsi="Arial" w:cs="Arial"/>
        </w:rPr>
      </w:pPr>
      <w:r>
        <w:rPr>
          <w:rFonts w:ascii="Arial" w:hAnsi="Arial" w:cs="Arial"/>
        </w:rPr>
        <w:t>Similarly, the delivery of supervision for counsellors during this period has altered and will be explored and evaluated</w:t>
      </w:r>
      <w:r w:rsidR="39A7CB6E" w:rsidRPr="39A7CB6E">
        <w:rPr>
          <w:rFonts w:ascii="Arial" w:hAnsi="Arial" w:cs="Arial"/>
        </w:rPr>
        <w:t xml:space="preserve"> using studies written by counsellors with lived experiences.</w:t>
      </w:r>
      <w:r w:rsidR="007A7C39">
        <w:rPr>
          <w:rFonts w:ascii="Arial" w:hAnsi="Arial" w:cs="Arial"/>
        </w:rPr>
        <w:t xml:space="preserve"> </w:t>
      </w:r>
    </w:p>
    <w:p w14:paraId="57B0EAF5" w14:textId="23FCA652" w:rsidR="00A80393" w:rsidRDefault="00A80393" w:rsidP="002805AB">
      <w:pPr>
        <w:spacing w:line="480" w:lineRule="auto"/>
        <w:rPr>
          <w:rFonts w:ascii="Arial" w:hAnsi="Arial" w:cs="Arial"/>
          <w:b/>
          <w:bCs/>
        </w:rPr>
      </w:pPr>
      <w:r>
        <w:rPr>
          <w:rFonts w:ascii="Arial" w:hAnsi="Arial" w:cs="Arial"/>
          <w:b/>
          <w:bCs/>
        </w:rPr>
        <w:t>Core Conditions</w:t>
      </w:r>
    </w:p>
    <w:p w14:paraId="4E513716" w14:textId="03300479" w:rsidR="00A80393" w:rsidRDefault="39A7CB6E" w:rsidP="002805AB">
      <w:pPr>
        <w:spacing w:line="480" w:lineRule="auto"/>
        <w:rPr>
          <w:rFonts w:ascii="Arial" w:hAnsi="Arial" w:cs="Arial"/>
        </w:rPr>
      </w:pPr>
      <w:r w:rsidRPr="39A7CB6E">
        <w:rPr>
          <w:rFonts w:ascii="Arial" w:hAnsi="Arial" w:cs="Arial"/>
        </w:rPr>
        <w:t xml:space="preserve">The core conditions within the field of counselling have been identified as empathy, unconditional positive regard and congruence. These areas have been explored, developed and adapted over the years to develop therapy as we know it today however the person-centred field of therapy, particularly the Gestalt way of thinking works strongly on behaviours, actions, feelings and congruence within the therapeutic relationship of the client and therapist, therefore it could be argued that these relationships can be hindered when being built from afar. For example, therapy given over the telephone can literally mean that neither therapist nor client ever knows what the other person looks like, this may prevent prejudice but could also add to that known feeling of being judged. The inability to visualise body language, facial expressions, potentially physical cues are lost when the field of sight is removed. Arguably these ‘practice-based’ skills are important factors that can help enable client change within the therapeutic relationship and will be discussed later within this piece of work, with opinions from those that have worked from both perspectives. There is also the risk that a client may be potentially more at risk when attending a session remotely as they have the immediacy to leave a session at the </w:t>
      </w:r>
      <w:r w:rsidRPr="39A7CB6E">
        <w:rPr>
          <w:rFonts w:ascii="Arial" w:hAnsi="Arial" w:cs="Arial"/>
        </w:rPr>
        <w:lastRenderedPageBreak/>
        <w:t xml:space="preserve">click of a button or hanging up of a phone, arguable a client could leave a therapists room also however there is more opportunity to risk assess and potentially support a situation when in person. The importance would therefore be stressed upon within the contracting of the therapeutic relationship to support safe practice and safeguarding in the event of connection loss or overwhelm resulting in the wish to ‘run away.’ </w:t>
      </w:r>
    </w:p>
    <w:p w14:paraId="511B463B" w14:textId="41258ACD" w:rsidR="00A80393" w:rsidRDefault="00A80393" w:rsidP="002805AB">
      <w:pPr>
        <w:spacing w:line="480" w:lineRule="auto"/>
        <w:rPr>
          <w:rFonts w:ascii="Arial" w:hAnsi="Arial" w:cs="Arial"/>
          <w:b/>
          <w:bCs/>
        </w:rPr>
      </w:pPr>
      <w:r>
        <w:rPr>
          <w:rFonts w:ascii="Arial" w:hAnsi="Arial" w:cs="Arial"/>
          <w:b/>
          <w:bCs/>
        </w:rPr>
        <w:t>Practice-Based Skills</w:t>
      </w:r>
    </w:p>
    <w:p w14:paraId="4203149E" w14:textId="3E2EEDDC" w:rsidR="00A80393" w:rsidRDefault="39A7CB6E" w:rsidP="002805AB">
      <w:pPr>
        <w:spacing w:line="480" w:lineRule="auto"/>
        <w:rPr>
          <w:rFonts w:ascii="Arial" w:hAnsi="Arial" w:cs="Arial"/>
        </w:rPr>
      </w:pPr>
      <w:r w:rsidRPr="39A7CB6E">
        <w:rPr>
          <w:rFonts w:ascii="Arial" w:hAnsi="Arial" w:cs="Arial"/>
        </w:rPr>
        <w:t xml:space="preserve">Practice-based skills within therapy can be defined as skills that enable a strong therapeutic bond to be built and can include skills such as empathy, active listening, non-vernal communication to name a few. These skills are used to develop a relationship that can help the client change and develop towards a better understanding of themselves and/or the experiences that they wish to explore.   </w:t>
      </w:r>
    </w:p>
    <w:p w14:paraId="6A572C09" w14:textId="43D87189" w:rsidR="00A80393" w:rsidRDefault="00A80393" w:rsidP="002805AB">
      <w:pPr>
        <w:spacing w:line="480" w:lineRule="auto"/>
        <w:rPr>
          <w:rFonts w:ascii="Arial" w:hAnsi="Arial" w:cs="Arial"/>
          <w:b/>
          <w:bCs/>
        </w:rPr>
      </w:pPr>
      <w:r>
        <w:rPr>
          <w:rFonts w:ascii="Arial" w:hAnsi="Arial" w:cs="Arial"/>
          <w:b/>
          <w:bCs/>
        </w:rPr>
        <w:t>The Therapeutic and Supervisory Relationship</w:t>
      </w:r>
    </w:p>
    <w:p w14:paraId="49D18ACD" w14:textId="3EA7B432" w:rsidR="00A80393" w:rsidRDefault="43A99534" w:rsidP="002805AB">
      <w:pPr>
        <w:spacing w:line="480" w:lineRule="auto"/>
        <w:rPr>
          <w:rFonts w:ascii="Arial" w:hAnsi="Arial" w:cs="Arial"/>
        </w:rPr>
      </w:pPr>
      <w:r w:rsidRPr="43A99534">
        <w:rPr>
          <w:rFonts w:ascii="Arial" w:hAnsi="Arial" w:cs="Arial"/>
        </w:rPr>
        <w:t>Supervision is a necessary and important factor for all therapists and those working within the therapeutic field. Professional bodies such as the NCPS (</w:t>
      </w:r>
      <w:r w:rsidR="00934993">
        <w:rPr>
          <w:rFonts w:ascii="Arial" w:hAnsi="Arial" w:cs="Arial"/>
        </w:rPr>
        <w:t>t</w:t>
      </w:r>
      <w:r w:rsidR="00277E06">
        <w:rPr>
          <w:rFonts w:ascii="Arial" w:hAnsi="Arial" w:cs="Arial"/>
        </w:rPr>
        <w:t>he N</w:t>
      </w:r>
      <w:r w:rsidRPr="43A99534">
        <w:rPr>
          <w:rFonts w:ascii="Arial" w:hAnsi="Arial" w:cs="Arial"/>
        </w:rPr>
        <w:t xml:space="preserve">ational </w:t>
      </w:r>
      <w:r w:rsidR="00277E06">
        <w:rPr>
          <w:rFonts w:ascii="Arial" w:hAnsi="Arial" w:cs="Arial"/>
        </w:rPr>
        <w:t xml:space="preserve">Counselling and Psychotherapy Society, 2025) </w:t>
      </w:r>
      <w:r w:rsidRPr="43A99534">
        <w:rPr>
          <w:rFonts w:ascii="Arial" w:hAnsi="Arial" w:cs="Arial"/>
        </w:rPr>
        <w:t>and BA</w:t>
      </w:r>
      <w:r w:rsidR="00EB44ED">
        <w:rPr>
          <w:rFonts w:ascii="Arial" w:hAnsi="Arial" w:cs="Arial"/>
        </w:rPr>
        <w:t>C</w:t>
      </w:r>
      <w:r w:rsidRPr="43A99534">
        <w:rPr>
          <w:rFonts w:ascii="Arial" w:hAnsi="Arial" w:cs="Arial"/>
        </w:rPr>
        <w:t>P</w:t>
      </w:r>
      <w:r w:rsidR="00EB44ED">
        <w:rPr>
          <w:rFonts w:ascii="Arial" w:hAnsi="Arial" w:cs="Arial"/>
        </w:rPr>
        <w:t xml:space="preserve"> (British</w:t>
      </w:r>
      <w:r w:rsidR="00235FD2">
        <w:rPr>
          <w:rFonts w:ascii="Arial" w:hAnsi="Arial" w:cs="Arial"/>
        </w:rPr>
        <w:t xml:space="preserve"> Association for Counselling and Psychotherapy, 2025)</w:t>
      </w:r>
      <w:r w:rsidR="00273EC1">
        <w:rPr>
          <w:rFonts w:ascii="Arial" w:hAnsi="Arial" w:cs="Arial"/>
        </w:rPr>
        <w:t>,</w:t>
      </w:r>
      <w:r w:rsidRPr="43A99534">
        <w:rPr>
          <w:rFonts w:ascii="Arial" w:hAnsi="Arial" w:cs="Arial"/>
        </w:rPr>
        <w:t xml:space="preserve"> </w:t>
      </w:r>
    </w:p>
    <w:p w14:paraId="4600896D" w14:textId="11DCD64E" w:rsidR="43A99534" w:rsidRDefault="43A99534" w:rsidP="002805AB">
      <w:pPr>
        <w:spacing w:line="480" w:lineRule="auto"/>
        <w:rPr>
          <w:rFonts w:ascii="Arial" w:hAnsi="Arial" w:cs="Arial"/>
          <w:b/>
          <w:bCs/>
        </w:rPr>
      </w:pPr>
    </w:p>
    <w:p w14:paraId="102B50CC" w14:textId="34AC3299" w:rsidR="00A80393" w:rsidRDefault="00A80393" w:rsidP="002805AB">
      <w:pPr>
        <w:spacing w:line="480" w:lineRule="auto"/>
        <w:rPr>
          <w:rFonts w:ascii="Arial" w:hAnsi="Arial" w:cs="Arial"/>
          <w:b/>
          <w:bCs/>
        </w:rPr>
      </w:pPr>
      <w:r>
        <w:rPr>
          <w:rFonts w:ascii="Arial" w:hAnsi="Arial" w:cs="Arial"/>
          <w:b/>
          <w:bCs/>
        </w:rPr>
        <w:t xml:space="preserve">Ethical and Technical Considerations </w:t>
      </w:r>
    </w:p>
    <w:p w14:paraId="26E9C6AA" w14:textId="4E9B10FC" w:rsidR="00A80393" w:rsidRDefault="39A7CB6E" w:rsidP="002805AB">
      <w:pPr>
        <w:spacing w:line="480" w:lineRule="auto"/>
        <w:rPr>
          <w:rFonts w:ascii="Arial" w:hAnsi="Arial" w:cs="Arial"/>
        </w:rPr>
      </w:pPr>
      <w:r w:rsidRPr="39A7CB6E">
        <w:rPr>
          <w:rFonts w:ascii="Arial" w:hAnsi="Arial" w:cs="Arial"/>
        </w:rPr>
        <w:t xml:space="preserve">Ethically, remote therapy has differed considerations to be thought about, including the anonymity and confidentiality of clients being upheld in situations that cannot be necessarily maintained. For example, the therapeutic environment in a traditional therapy setting would be a private room without potential onlookers or sound </w:t>
      </w:r>
      <w:r w:rsidRPr="39A7CB6E">
        <w:rPr>
          <w:rFonts w:ascii="Arial" w:hAnsi="Arial" w:cs="Arial"/>
        </w:rPr>
        <w:lastRenderedPageBreak/>
        <w:t xml:space="preserve">traveling. There may be the ability to put signs up to prevent interruptions, locked cabinets for personal information to be kept within, however if a client is unable to access the internet at their home and they need to utilise public </w:t>
      </w:r>
      <w:proofErr w:type="spellStart"/>
      <w:r w:rsidRPr="39A7CB6E">
        <w:rPr>
          <w:rFonts w:ascii="Arial" w:hAnsi="Arial" w:cs="Arial"/>
        </w:rPr>
        <w:t>wifi</w:t>
      </w:r>
      <w:proofErr w:type="spellEnd"/>
      <w:r w:rsidRPr="39A7CB6E">
        <w:rPr>
          <w:rFonts w:ascii="Arial" w:hAnsi="Arial" w:cs="Arial"/>
        </w:rPr>
        <w:t xml:space="preserve"> – is a coffee shop really an </w:t>
      </w:r>
      <w:r w:rsidR="43A99534" w:rsidRPr="43A99534">
        <w:rPr>
          <w:rFonts w:ascii="Arial" w:hAnsi="Arial" w:cs="Arial"/>
        </w:rPr>
        <w:t>appropriate</w:t>
      </w:r>
      <w:r w:rsidRPr="39A7CB6E">
        <w:rPr>
          <w:rFonts w:ascii="Arial" w:hAnsi="Arial" w:cs="Arial"/>
        </w:rPr>
        <w:t xml:space="preserve"> location to be used? Again, a lot of these factors would need to be discussed and understood by both client and counsellor prior to sessions beginning so to enable the best potential outcome. Another, potential concern that could be a result of remote sessions is that individuals who may be at risk from others are unable to participate in therapy in a safe environment away from their abuser. </w:t>
      </w:r>
    </w:p>
    <w:p w14:paraId="0E0ECD14" w14:textId="5589977B" w:rsidR="00A80393" w:rsidRDefault="43A99534" w:rsidP="002805AB">
      <w:pPr>
        <w:spacing w:line="480" w:lineRule="auto"/>
        <w:rPr>
          <w:rFonts w:ascii="Arial" w:hAnsi="Arial" w:cs="Arial"/>
        </w:rPr>
      </w:pPr>
      <w:r w:rsidRPr="43A99534">
        <w:rPr>
          <w:rFonts w:ascii="Arial" w:hAnsi="Arial" w:cs="Arial"/>
        </w:rPr>
        <w:t xml:space="preserve">Firewalls may need to be strengthened to prevent sessions being recorded, located or viruses sent between the client and counsellor. Encryption would need to be considered to prevent concerns from either side that information may be taken from each other or an external hacking force.  </w:t>
      </w:r>
    </w:p>
    <w:p w14:paraId="5DF4433B" w14:textId="0B6D7F5D" w:rsidR="00A80393" w:rsidRDefault="00A80393" w:rsidP="002805AB">
      <w:pPr>
        <w:spacing w:line="480" w:lineRule="auto"/>
        <w:rPr>
          <w:rFonts w:ascii="Arial" w:hAnsi="Arial" w:cs="Arial"/>
          <w:b/>
          <w:bCs/>
        </w:rPr>
      </w:pPr>
      <w:r>
        <w:rPr>
          <w:rFonts w:ascii="Arial" w:hAnsi="Arial" w:cs="Arial"/>
          <w:b/>
          <w:bCs/>
        </w:rPr>
        <w:t>Advantages for Clients, Therapists, and Supervisors</w:t>
      </w:r>
    </w:p>
    <w:p w14:paraId="58171CB3" w14:textId="3AECD17E" w:rsidR="00A861A3" w:rsidRDefault="43A99534" w:rsidP="002805AB">
      <w:pPr>
        <w:spacing w:line="480" w:lineRule="auto"/>
        <w:rPr>
          <w:rFonts w:ascii="Arial" w:hAnsi="Arial" w:cs="Arial"/>
        </w:rPr>
      </w:pPr>
      <w:r w:rsidRPr="43A99534">
        <w:rPr>
          <w:rFonts w:ascii="Arial" w:hAnsi="Arial" w:cs="Arial"/>
        </w:rPr>
        <w:t>Though a lot of negatives have been discussed surrounding the implementation of remote counselling sessions there are also benefits that have become apparent that have led to these practices carrying on far past the pandemic ending. For example, remote therapy practice has enabled individuals that potentially may not have been able to access services previously due to physical disabilities or social phobias to access services previous unavailable to them as this can help remove geographical and/or physical barriers (Brennan Et al, 2009).</w:t>
      </w:r>
    </w:p>
    <w:p w14:paraId="0BB53D29" w14:textId="29EE7E38" w:rsidR="43A99534" w:rsidRDefault="43A99534" w:rsidP="006010E0">
      <w:pPr>
        <w:spacing w:line="480" w:lineRule="auto"/>
        <w:rPr>
          <w:rFonts w:ascii="Arial" w:hAnsi="Arial" w:cs="Arial"/>
          <w:b/>
          <w:bCs/>
        </w:rPr>
      </w:pPr>
      <w:r w:rsidRPr="43A99534">
        <w:rPr>
          <w:rFonts w:ascii="Arial" w:hAnsi="Arial" w:cs="Arial"/>
          <w:b/>
          <w:bCs/>
        </w:rPr>
        <w:t>Conclusion</w:t>
      </w:r>
    </w:p>
    <w:p w14:paraId="5674097B" w14:textId="77777777" w:rsidR="00192594" w:rsidRDefault="00886E77" w:rsidP="006010E0">
      <w:pPr>
        <w:spacing w:line="480" w:lineRule="auto"/>
        <w:rPr>
          <w:rFonts w:ascii="Arial" w:hAnsi="Arial" w:cs="Arial"/>
        </w:rPr>
      </w:pPr>
      <w:r>
        <w:rPr>
          <w:rFonts w:ascii="Arial" w:hAnsi="Arial" w:cs="Arial"/>
        </w:rPr>
        <w:t xml:space="preserve">This piece of work, though brief, has begun to evaluate the </w:t>
      </w:r>
      <w:r w:rsidR="00AF3E21">
        <w:rPr>
          <w:rFonts w:ascii="Arial" w:hAnsi="Arial" w:cs="Arial"/>
        </w:rPr>
        <w:t>development of thera</w:t>
      </w:r>
      <w:r w:rsidR="00865533">
        <w:rPr>
          <w:rFonts w:ascii="Arial" w:hAnsi="Arial" w:cs="Arial"/>
        </w:rPr>
        <w:t xml:space="preserve">py and how it has been amended </w:t>
      </w:r>
      <w:r w:rsidR="008E76C8">
        <w:rPr>
          <w:rFonts w:ascii="Arial" w:hAnsi="Arial" w:cs="Arial"/>
        </w:rPr>
        <w:t xml:space="preserve">and impacted up the core conditions, practice based </w:t>
      </w:r>
      <w:r w:rsidR="008E76C8">
        <w:rPr>
          <w:rFonts w:ascii="Arial" w:hAnsi="Arial" w:cs="Arial"/>
        </w:rPr>
        <w:lastRenderedPageBreak/>
        <w:t>skills a</w:t>
      </w:r>
      <w:r w:rsidR="00C46AF5">
        <w:rPr>
          <w:rFonts w:ascii="Arial" w:hAnsi="Arial" w:cs="Arial"/>
        </w:rPr>
        <w:t>nd therapeutic relationship</w:t>
      </w:r>
      <w:r w:rsidR="006010E0">
        <w:rPr>
          <w:rFonts w:ascii="Arial" w:hAnsi="Arial" w:cs="Arial"/>
        </w:rPr>
        <w:t xml:space="preserve"> in doing so. </w:t>
      </w:r>
      <w:r w:rsidR="00727B98">
        <w:rPr>
          <w:rFonts w:ascii="Arial" w:hAnsi="Arial" w:cs="Arial"/>
        </w:rPr>
        <w:t xml:space="preserve">There have been obvious changes that </w:t>
      </w:r>
      <w:r w:rsidR="00FB1073">
        <w:rPr>
          <w:rFonts w:ascii="Arial" w:hAnsi="Arial" w:cs="Arial"/>
        </w:rPr>
        <w:t xml:space="preserve">have required </w:t>
      </w:r>
      <w:r w:rsidR="006F64C9">
        <w:rPr>
          <w:rFonts w:ascii="Arial" w:hAnsi="Arial" w:cs="Arial"/>
        </w:rPr>
        <w:t xml:space="preserve">adaptations to the </w:t>
      </w:r>
      <w:r w:rsidR="00C52A89">
        <w:rPr>
          <w:rFonts w:ascii="Arial" w:hAnsi="Arial" w:cs="Arial"/>
        </w:rPr>
        <w:t>therapeutic contract</w:t>
      </w:r>
      <w:r w:rsidR="00E442C8">
        <w:rPr>
          <w:rFonts w:ascii="Arial" w:hAnsi="Arial" w:cs="Arial"/>
        </w:rPr>
        <w:t xml:space="preserve"> between practitioner and client</w:t>
      </w:r>
      <w:r w:rsidR="00C85DAA">
        <w:rPr>
          <w:rFonts w:ascii="Arial" w:hAnsi="Arial" w:cs="Arial"/>
        </w:rPr>
        <w:t xml:space="preserve"> that </w:t>
      </w:r>
      <w:r w:rsidR="00F643CB">
        <w:rPr>
          <w:rFonts w:ascii="Arial" w:hAnsi="Arial" w:cs="Arial"/>
        </w:rPr>
        <w:t xml:space="preserve">could have had an impact upon the therapeutic relationship being built. The process could potentially </w:t>
      </w:r>
      <w:r w:rsidR="00E068B1">
        <w:rPr>
          <w:rFonts w:ascii="Arial" w:hAnsi="Arial" w:cs="Arial"/>
        </w:rPr>
        <w:t>take a longer period of time that could result in financial strain on an individual.</w:t>
      </w:r>
      <w:r w:rsidR="00192594">
        <w:rPr>
          <w:rFonts w:ascii="Arial" w:hAnsi="Arial" w:cs="Arial"/>
        </w:rPr>
        <w:t xml:space="preserve"> </w:t>
      </w:r>
    </w:p>
    <w:p w14:paraId="70A5448F" w14:textId="2C9CF446" w:rsidR="00A861A3" w:rsidRDefault="00192594" w:rsidP="006010E0">
      <w:pPr>
        <w:spacing w:line="480" w:lineRule="auto"/>
        <w:rPr>
          <w:rFonts w:ascii="Arial" w:hAnsi="Arial" w:cs="Arial"/>
          <w:b/>
          <w:bCs/>
        </w:rPr>
      </w:pPr>
      <w:r>
        <w:rPr>
          <w:rFonts w:ascii="Arial" w:hAnsi="Arial" w:cs="Arial"/>
        </w:rPr>
        <w:t xml:space="preserve">It is fair to say that therapy will continue to </w:t>
      </w:r>
      <w:r w:rsidR="00E51948">
        <w:rPr>
          <w:rFonts w:ascii="Arial" w:hAnsi="Arial" w:cs="Arial"/>
        </w:rPr>
        <w:t>evolve as time moves forward</w:t>
      </w:r>
      <w:r w:rsidR="00C62D3D">
        <w:rPr>
          <w:rFonts w:ascii="Arial" w:hAnsi="Arial" w:cs="Arial"/>
        </w:rPr>
        <w:t xml:space="preserve"> and the changes that we have yet to see may be vastl</w:t>
      </w:r>
      <w:r w:rsidR="00F24082">
        <w:rPr>
          <w:rFonts w:ascii="Arial" w:hAnsi="Arial" w:cs="Arial"/>
        </w:rPr>
        <w:t>y</w:t>
      </w:r>
      <w:r w:rsidR="00C62D3D">
        <w:rPr>
          <w:rFonts w:ascii="Arial" w:hAnsi="Arial" w:cs="Arial"/>
        </w:rPr>
        <w:t xml:space="preserve"> different to what we know today. </w:t>
      </w:r>
      <w:r>
        <w:rPr>
          <w:rFonts w:ascii="Arial" w:hAnsi="Arial" w:cs="Arial"/>
        </w:rPr>
        <w:t xml:space="preserve"> </w:t>
      </w:r>
      <w:r w:rsidR="00A861A3">
        <w:rPr>
          <w:rFonts w:ascii="Arial" w:hAnsi="Arial" w:cs="Arial"/>
          <w:b/>
          <w:bCs/>
        </w:rPr>
        <w:br/>
      </w:r>
      <w:r w:rsidR="00A861A3">
        <w:rPr>
          <w:rFonts w:ascii="Arial" w:hAnsi="Arial" w:cs="Arial"/>
          <w:b/>
          <w:bCs/>
        </w:rPr>
        <w:br/>
      </w:r>
      <w:r w:rsidR="00A861A3">
        <w:rPr>
          <w:rFonts w:ascii="Arial" w:hAnsi="Arial" w:cs="Arial"/>
          <w:b/>
          <w:bCs/>
        </w:rPr>
        <w:br/>
      </w:r>
    </w:p>
    <w:p w14:paraId="448B7C28" w14:textId="77777777" w:rsidR="00A861A3" w:rsidRDefault="00A861A3">
      <w:pPr>
        <w:rPr>
          <w:rFonts w:ascii="Arial" w:hAnsi="Arial" w:cs="Arial"/>
          <w:b/>
          <w:bCs/>
        </w:rPr>
      </w:pPr>
      <w:r>
        <w:rPr>
          <w:rFonts w:ascii="Arial" w:hAnsi="Arial" w:cs="Arial"/>
          <w:b/>
          <w:bCs/>
        </w:rPr>
        <w:br w:type="page"/>
      </w:r>
    </w:p>
    <w:p w14:paraId="7E31FD4D" w14:textId="0F4426A7" w:rsidR="00A861A3" w:rsidRPr="00A861A3" w:rsidRDefault="00A861A3" w:rsidP="00A861A3">
      <w:pPr>
        <w:spacing w:line="480" w:lineRule="auto"/>
        <w:jc w:val="center"/>
        <w:rPr>
          <w:rFonts w:ascii="Arial" w:hAnsi="Arial" w:cs="Arial"/>
          <w:b/>
          <w:bCs/>
          <w:u w:val="single"/>
        </w:rPr>
      </w:pPr>
      <w:r w:rsidRPr="00A861A3">
        <w:rPr>
          <w:rFonts w:ascii="Arial" w:hAnsi="Arial" w:cs="Arial"/>
          <w:b/>
          <w:bCs/>
          <w:u w:val="single"/>
        </w:rPr>
        <w:lastRenderedPageBreak/>
        <w:t>Reference List</w:t>
      </w:r>
    </w:p>
    <w:p w14:paraId="69D1F414" w14:textId="77777777" w:rsidR="00A861A3" w:rsidRDefault="00A861A3" w:rsidP="00A861A3">
      <w:pPr>
        <w:spacing w:after="0" w:line="480" w:lineRule="auto"/>
        <w:ind w:left="720" w:hanging="720"/>
        <w:rPr>
          <w:rFonts w:ascii="Arial" w:eastAsia="Arial" w:hAnsi="Arial" w:cs="Arial"/>
          <w:color w:val="000000"/>
        </w:rPr>
      </w:pPr>
      <w:r w:rsidRPr="43A99534">
        <w:rPr>
          <w:rFonts w:ascii="Arial" w:eastAsia="Arial" w:hAnsi="Arial" w:cs="Arial"/>
          <w:color w:val="000000" w:themeColor="text1"/>
        </w:rPr>
        <w:t xml:space="preserve">Bozarth, J. D. (2001). An addendum to beyond reflection: Emergent modes of empathy. In S. Haugh &amp; T. Merry (Eds.), </w:t>
      </w:r>
      <w:r w:rsidRPr="43A99534">
        <w:rPr>
          <w:rFonts w:ascii="Arial" w:eastAsia="Arial" w:hAnsi="Arial" w:cs="Arial"/>
          <w:i/>
          <w:color w:val="000000" w:themeColor="text1"/>
        </w:rPr>
        <w:t xml:space="preserve">Rogers’ therapeutic conditions: Evolution, theory, and practice </w:t>
      </w:r>
      <w:r w:rsidRPr="43A99534">
        <w:rPr>
          <w:rFonts w:ascii="Arial" w:eastAsia="Arial" w:hAnsi="Arial" w:cs="Arial"/>
          <w:color w:val="000000" w:themeColor="text1"/>
        </w:rPr>
        <w:t xml:space="preserve">(Vol. 2, </w:t>
      </w:r>
      <w:r w:rsidRPr="43A99534">
        <w:rPr>
          <w:rFonts w:ascii="Arial" w:eastAsia="Arial" w:hAnsi="Arial" w:cs="Arial"/>
          <w:i/>
          <w:color w:val="000000" w:themeColor="text1"/>
        </w:rPr>
        <w:t xml:space="preserve">Empathy, </w:t>
      </w:r>
      <w:r w:rsidRPr="43A99534">
        <w:rPr>
          <w:rFonts w:ascii="Arial" w:eastAsia="Arial" w:hAnsi="Arial" w:cs="Arial"/>
          <w:color w:val="000000" w:themeColor="text1"/>
        </w:rPr>
        <w:t>pp. 144-54). PCCS Books.</w:t>
      </w:r>
    </w:p>
    <w:p w14:paraId="486560C4" w14:textId="5FD818E6" w:rsidR="43A99534" w:rsidRDefault="43A99534" w:rsidP="43A99534">
      <w:pPr>
        <w:spacing w:after="0" w:line="480" w:lineRule="auto"/>
        <w:ind w:left="720" w:hanging="720"/>
        <w:rPr>
          <w:rFonts w:ascii="Arial" w:eastAsia="Arial" w:hAnsi="Arial" w:cs="Arial"/>
          <w:color w:val="000000" w:themeColor="text1"/>
        </w:rPr>
      </w:pPr>
      <w:r w:rsidRPr="43A99534">
        <w:rPr>
          <w:rFonts w:ascii="Arial" w:eastAsia="Arial" w:hAnsi="Arial" w:cs="Arial"/>
          <w:color w:val="000000" w:themeColor="text1"/>
        </w:rPr>
        <w:t xml:space="preserve">Brennan, David &amp; Mawson, Sue &amp; </w:t>
      </w:r>
      <w:proofErr w:type="spellStart"/>
      <w:r w:rsidRPr="43A99534">
        <w:rPr>
          <w:rFonts w:ascii="Arial" w:eastAsia="Arial" w:hAnsi="Arial" w:cs="Arial"/>
          <w:color w:val="000000" w:themeColor="text1"/>
        </w:rPr>
        <w:t>Brownsell</w:t>
      </w:r>
      <w:proofErr w:type="spellEnd"/>
      <w:r w:rsidRPr="43A99534">
        <w:rPr>
          <w:rFonts w:ascii="Arial" w:eastAsia="Arial" w:hAnsi="Arial" w:cs="Arial"/>
          <w:color w:val="000000" w:themeColor="text1"/>
        </w:rPr>
        <w:t xml:space="preserve">, Simon. (2009). Telerehabilitation: Enabling the Remote Delivery of Healthcare, Rehabilitation, and </w:t>
      </w:r>
      <w:proofErr w:type="spellStart"/>
      <w:r w:rsidRPr="43A99534">
        <w:rPr>
          <w:rFonts w:ascii="Arial" w:eastAsia="Arial" w:hAnsi="Arial" w:cs="Arial"/>
          <w:color w:val="000000" w:themeColor="text1"/>
        </w:rPr>
        <w:t>Self Management</w:t>
      </w:r>
      <w:proofErr w:type="spellEnd"/>
      <w:r w:rsidRPr="43A99534">
        <w:rPr>
          <w:rFonts w:ascii="Arial" w:eastAsia="Arial" w:hAnsi="Arial" w:cs="Arial"/>
          <w:color w:val="000000" w:themeColor="text1"/>
        </w:rPr>
        <w:t>. Studies in health technology and informatics. 145. 231-48. 10.3233/978-1-60750-018-6-231.</w:t>
      </w:r>
    </w:p>
    <w:p w14:paraId="2CB5B069" w14:textId="77777777" w:rsidR="00C60E17" w:rsidRPr="00C60E17" w:rsidRDefault="00C60E17" w:rsidP="00C60E17">
      <w:pPr>
        <w:spacing w:after="0" w:line="480" w:lineRule="auto"/>
        <w:ind w:left="720" w:hanging="720"/>
        <w:rPr>
          <w:rFonts w:ascii="Arial" w:eastAsia="Arial" w:hAnsi="Arial" w:cs="Arial"/>
          <w:color w:val="000000"/>
        </w:rPr>
      </w:pPr>
      <w:r w:rsidRPr="00C60E17">
        <w:rPr>
          <w:rFonts w:ascii="Arial" w:eastAsia="Arial" w:hAnsi="Arial" w:cs="Arial"/>
          <w:color w:val="000000"/>
        </w:rPr>
        <w:t xml:space="preserve">Cardile, P. (2023) ‘Therapy at the Window: Can TA Be “Framed”?’, </w:t>
      </w:r>
      <w:r w:rsidRPr="00C60E17">
        <w:rPr>
          <w:rFonts w:ascii="Arial" w:eastAsia="Arial" w:hAnsi="Arial" w:cs="Arial"/>
          <w:i/>
          <w:iCs/>
          <w:color w:val="000000"/>
        </w:rPr>
        <w:t>Transactional analysis journal</w:t>
      </w:r>
      <w:r w:rsidRPr="00C60E17">
        <w:rPr>
          <w:rFonts w:ascii="Arial" w:eastAsia="Arial" w:hAnsi="Arial" w:cs="Arial"/>
          <w:color w:val="000000"/>
        </w:rPr>
        <w:t>, 53(2), pp. 186–191. Available at: https://doi.org/10.1080/03621537.2023.2184151.</w:t>
      </w:r>
    </w:p>
    <w:p w14:paraId="0AA05090" w14:textId="08AA7944" w:rsidR="00A861A3" w:rsidRPr="009B5B57" w:rsidRDefault="00A861A3" w:rsidP="00A861A3">
      <w:pPr>
        <w:spacing w:before="240" w:after="240" w:line="480" w:lineRule="auto"/>
        <w:ind w:left="567" w:hanging="567"/>
      </w:pPr>
      <w:r>
        <w:rPr>
          <w:rFonts w:ascii="Arial" w:eastAsia="Arial" w:hAnsi="Arial" w:cs="Arial"/>
          <w:color w:val="000000"/>
        </w:rPr>
        <w:t>C</w:t>
      </w:r>
      <w:r w:rsidRPr="009B5B57">
        <w:rPr>
          <w:rFonts w:ascii="Arial" w:eastAsia="Arial" w:hAnsi="Arial" w:cs="Arial"/>
          <w:color w:val="000000"/>
        </w:rPr>
        <w:t xml:space="preserve">ooper, M. (2024). </w:t>
      </w:r>
      <w:r w:rsidRPr="009B5B57">
        <w:rPr>
          <w:rFonts w:ascii="Arial" w:eastAsia="Arial" w:hAnsi="Arial" w:cs="Arial"/>
          <w:i/>
          <w:iCs/>
          <w:color w:val="000000"/>
        </w:rPr>
        <w:t>The tribes of the person-centred nation: An introduction to the world of person-centred therapies</w:t>
      </w:r>
      <w:r w:rsidRPr="009B5B57">
        <w:rPr>
          <w:rFonts w:ascii="Arial" w:eastAsia="Arial" w:hAnsi="Arial" w:cs="Arial"/>
          <w:color w:val="000000"/>
        </w:rPr>
        <w:t xml:space="preserve"> (3rd ed.). PCCS Books.</w:t>
      </w:r>
    </w:p>
    <w:p w14:paraId="433F4B46" w14:textId="77777777" w:rsidR="00A861A3" w:rsidRPr="00C60E17" w:rsidRDefault="00A861A3" w:rsidP="00A861A3">
      <w:pPr>
        <w:spacing w:after="0" w:line="480" w:lineRule="auto"/>
        <w:ind w:left="720" w:hanging="720"/>
        <w:rPr>
          <w:rFonts w:ascii="Arial" w:eastAsia="Arial" w:hAnsi="Arial" w:cs="Arial"/>
        </w:rPr>
      </w:pPr>
      <w:r w:rsidRPr="009B5B57">
        <w:rPr>
          <w:rFonts w:ascii="Arial" w:eastAsia="Arial" w:hAnsi="Arial" w:cs="Arial"/>
          <w:color w:val="000000"/>
        </w:rPr>
        <w:t xml:space="preserve">Di Malta, G., Cooper, M., O'Hara, M., </w:t>
      </w:r>
      <w:proofErr w:type="spellStart"/>
      <w:r w:rsidRPr="009B5B57">
        <w:rPr>
          <w:rFonts w:ascii="Arial" w:eastAsia="Arial" w:hAnsi="Arial" w:cs="Arial"/>
          <w:color w:val="000000"/>
        </w:rPr>
        <w:t>Gololob</w:t>
      </w:r>
      <w:proofErr w:type="spellEnd"/>
      <w:r w:rsidRPr="009B5B57">
        <w:rPr>
          <w:rFonts w:ascii="Arial" w:eastAsia="Arial" w:hAnsi="Arial" w:cs="Arial"/>
          <w:color w:val="000000"/>
        </w:rPr>
        <w:t xml:space="preserve">, Y., &amp; Stephen, S. (2024). </w:t>
      </w:r>
      <w:r w:rsidRPr="009B5B57">
        <w:rPr>
          <w:rFonts w:ascii="Arial" w:eastAsia="Arial" w:hAnsi="Arial" w:cs="Arial"/>
          <w:i/>
          <w:iCs/>
          <w:color w:val="000000"/>
        </w:rPr>
        <w:t>The handbook of person-centred psychotherapy and co</w:t>
      </w:r>
      <w:r w:rsidRPr="00C60E17">
        <w:rPr>
          <w:rFonts w:ascii="Arial" w:eastAsia="Arial" w:hAnsi="Arial" w:cs="Arial"/>
          <w:i/>
          <w:iCs/>
        </w:rPr>
        <w:t xml:space="preserve">unselling </w:t>
      </w:r>
      <w:r w:rsidRPr="00C60E17">
        <w:rPr>
          <w:rFonts w:ascii="Arial" w:eastAsia="Arial" w:hAnsi="Arial" w:cs="Arial"/>
        </w:rPr>
        <w:t>(3rd ed.). Bloomsbury Publishing.</w:t>
      </w:r>
    </w:p>
    <w:p w14:paraId="108B1383" w14:textId="46852B20" w:rsidR="00C60E17" w:rsidRPr="00C60E17" w:rsidRDefault="00C60E17" w:rsidP="00C60E17">
      <w:pPr>
        <w:spacing w:after="0" w:line="480" w:lineRule="auto"/>
        <w:ind w:left="720" w:hanging="720"/>
        <w:rPr>
          <w:rFonts w:ascii="Arial" w:hAnsi="Arial" w:cs="Arial"/>
        </w:rPr>
      </w:pPr>
      <w:r w:rsidRPr="00C60E17">
        <w:rPr>
          <w:rFonts w:ascii="Arial" w:hAnsi="Arial" w:cs="Arial"/>
        </w:rPr>
        <w:t xml:space="preserve">Hanley, T. (2021) ‘Researching online counselling and psychotherapy: The past, the present and the future’, </w:t>
      </w:r>
      <w:r w:rsidRPr="00C60E17">
        <w:rPr>
          <w:rFonts w:ascii="Arial" w:hAnsi="Arial" w:cs="Arial"/>
          <w:i/>
          <w:iCs/>
        </w:rPr>
        <w:t>Counselling and psychotherapy research</w:t>
      </w:r>
      <w:r w:rsidRPr="00C60E17">
        <w:rPr>
          <w:rFonts w:ascii="Arial" w:hAnsi="Arial" w:cs="Arial"/>
        </w:rPr>
        <w:t>, 21(3), pp. 493–497. Available at: https://doi.org/10.1002/capr.12385.</w:t>
      </w:r>
    </w:p>
    <w:p w14:paraId="7EB681BA" w14:textId="5DE53435" w:rsidR="00A861A3" w:rsidRPr="00C60E17" w:rsidRDefault="00A861A3" w:rsidP="00A861A3">
      <w:pPr>
        <w:spacing w:after="0" w:line="480" w:lineRule="auto"/>
        <w:ind w:left="720" w:hanging="720"/>
        <w:rPr>
          <w:rFonts w:ascii="Arial" w:eastAsia="Arial" w:hAnsi="Arial" w:cs="Arial"/>
        </w:rPr>
      </w:pPr>
      <w:r w:rsidRPr="00C60E17">
        <w:rPr>
          <w:rFonts w:ascii="Arial" w:eastAsia="Arial" w:hAnsi="Arial" w:cs="Arial"/>
        </w:rPr>
        <w:t xml:space="preserve">Hanley, T., &amp; Winter, L. A. (2023). </w:t>
      </w:r>
      <w:r w:rsidRPr="00C60E17">
        <w:rPr>
          <w:rFonts w:ascii="Arial" w:eastAsia="Arial" w:hAnsi="Arial" w:cs="Arial"/>
          <w:i/>
          <w:iCs/>
        </w:rPr>
        <w:t>The SAGE Handbook of Counselling and Psychotherapy</w:t>
      </w:r>
      <w:r w:rsidRPr="00C60E17">
        <w:rPr>
          <w:rFonts w:ascii="Arial" w:eastAsia="Arial" w:hAnsi="Arial" w:cs="Arial"/>
        </w:rPr>
        <w:t>. SAGE.</w:t>
      </w:r>
    </w:p>
    <w:p w14:paraId="68E1E3D1" w14:textId="2AA4189D" w:rsidR="00C60E17" w:rsidRPr="00C60E17" w:rsidRDefault="00C60E17" w:rsidP="00C60E17">
      <w:pPr>
        <w:spacing w:after="0" w:line="480" w:lineRule="auto"/>
        <w:ind w:left="720" w:hanging="720"/>
        <w:rPr>
          <w:rFonts w:ascii="Arial" w:hAnsi="Arial" w:cs="Arial"/>
        </w:rPr>
      </w:pPr>
      <w:r w:rsidRPr="00C60E17">
        <w:rPr>
          <w:rFonts w:ascii="Arial" w:hAnsi="Arial" w:cs="Arial"/>
        </w:rPr>
        <w:t>Khan, S., Shapka, J.D. and Domene, J.F. (2022) ‘Counsellors’ experiences of online therapy’, </w:t>
      </w:r>
      <w:r w:rsidRPr="00C60E17">
        <w:rPr>
          <w:rFonts w:ascii="Arial" w:hAnsi="Arial" w:cs="Arial"/>
          <w:i/>
          <w:iCs/>
        </w:rPr>
        <w:t>British journal of guidance &amp; counselling</w:t>
      </w:r>
      <w:r w:rsidRPr="00C60E17">
        <w:rPr>
          <w:rFonts w:ascii="Arial" w:hAnsi="Arial" w:cs="Arial"/>
        </w:rPr>
        <w:t>, 50(1), pp. 43–65. Available at: https://doi.org/10.1080/03069885.2021.1885009.</w:t>
      </w:r>
    </w:p>
    <w:p w14:paraId="4F19EB52" w14:textId="27B97D25" w:rsidR="00C60E17" w:rsidRDefault="00C60E17" w:rsidP="00C60E17">
      <w:pPr>
        <w:spacing w:after="0" w:line="480" w:lineRule="auto"/>
        <w:ind w:left="720" w:hanging="720"/>
        <w:rPr>
          <w:rFonts w:ascii="Arial" w:eastAsia="Arial" w:hAnsi="Arial" w:cs="Arial"/>
          <w:color w:val="000000"/>
        </w:rPr>
      </w:pPr>
      <w:proofErr w:type="spellStart"/>
      <w:r w:rsidRPr="00C60E17">
        <w:rPr>
          <w:rFonts w:ascii="Arial" w:eastAsia="Arial" w:hAnsi="Arial" w:cs="Arial"/>
          <w:color w:val="000000"/>
        </w:rPr>
        <w:lastRenderedPageBreak/>
        <w:t>Moudatsou</w:t>
      </w:r>
      <w:proofErr w:type="spellEnd"/>
      <w:r w:rsidRPr="00C60E17">
        <w:rPr>
          <w:rFonts w:ascii="Arial" w:eastAsia="Arial" w:hAnsi="Arial" w:cs="Arial"/>
          <w:color w:val="000000"/>
        </w:rPr>
        <w:t xml:space="preserve">, M. </w:t>
      </w:r>
      <w:r w:rsidRPr="00C60E17">
        <w:rPr>
          <w:rFonts w:ascii="Arial" w:eastAsia="Arial" w:hAnsi="Arial" w:cs="Arial"/>
          <w:i/>
          <w:iCs/>
          <w:color w:val="000000"/>
        </w:rPr>
        <w:t>et al.</w:t>
      </w:r>
      <w:r w:rsidRPr="00C60E17">
        <w:rPr>
          <w:rFonts w:ascii="Arial" w:eastAsia="Arial" w:hAnsi="Arial" w:cs="Arial"/>
          <w:color w:val="000000"/>
        </w:rPr>
        <w:t xml:space="preserve"> (2024) ‘Evaluation of Online </w:t>
      </w:r>
      <w:proofErr w:type="spellStart"/>
      <w:r w:rsidRPr="00C60E17">
        <w:rPr>
          <w:rFonts w:ascii="Arial" w:eastAsia="Arial" w:hAnsi="Arial" w:cs="Arial"/>
          <w:color w:val="000000"/>
        </w:rPr>
        <w:t>Counseling</w:t>
      </w:r>
      <w:proofErr w:type="spellEnd"/>
      <w:r w:rsidRPr="00C60E17">
        <w:rPr>
          <w:rFonts w:ascii="Arial" w:eastAsia="Arial" w:hAnsi="Arial" w:cs="Arial"/>
          <w:color w:val="000000"/>
        </w:rPr>
        <w:t xml:space="preserve"> through the Working Experiences of Mental Health Therapists Amidst the COVID-19 Pandemic’, </w:t>
      </w:r>
      <w:r w:rsidRPr="00C60E17">
        <w:rPr>
          <w:rFonts w:ascii="Arial" w:eastAsia="Arial" w:hAnsi="Arial" w:cs="Arial"/>
          <w:i/>
          <w:iCs/>
          <w:color w:val="000000"/>
        </w:rPr>
        <w:t>Healthcare (Basel)</w:t>
      </w:r>
      <w:r w:rsidRPr="00C60E17">
        <w:rPr>
          <w:rFonts w:ascii="Arial" w:eastAsia="Arial" w:hAnsi="Arial" w:cs="Arial"/>
          <w:color w:val="000000"/>
        </w:rPr>
        <w:t>, 12(4), p. 495. Available at: https://doi.org/10.3390/healthcare12040495.</w:t>
      </w:r>
    </w:p>
    <w:p w14:paraId="60B42410" w14:textId="605F9D14" w:rsidR="00A861A3" w:rsidRPr="009B5B57" w:rsidRDefault="00A861A3" w:rsidP="00A861A3">
      <w:pPr>
        <w:spacing w:after="0" w:line="480" w:lineRule="auto"/>
        <w:ind w:left="720" w:hanging="720"/>
      </w:pPr>
      <w:r w:rsidRPr="009B5B57">
        <w:rPr>
          <w:rFonts w:ascii="Arial" w:eastAsia="Arial" w:hAnsi="Arial" w:cs="Arial"/>
          <w:color w:val="000000"/>
        </w:rPr>
        <w:t xml:space="preserve">Reeves, A. (2022). </w:t>
      </w:r>
      <w:r w:rsidRPr="009B5B57">
        <w:rPr>
          <w:rFonts w:ascii="Arial" w:eastAsia="Arial" w:hAnsi="Arial" w:cs="Arial"/>
          <w:i/>
          <w:iCs/>
          <w:color w:val="000000"/>
        </w:rPr>
        <w:t>An Introduction to Counselling and Psychotherapy</w:t>
      </w:r>
      <w:r w:rsidRPr="009B5B57">
        <w:rPr>
          <w:rFonts w:ascii="Arial" w:eastAsia="Arial" w:hAnsi="Arial" w:cs="Arial"/>
          <w:color w:val="000000"/>
        </w:rPr>
        <w:t>. SAGE.</w:t>
      </w:r>
    </w:p>
    <w:p w14:paraId="79D86508" w14:textId="77777777" w:rsidR="00A861A3" w:rsidRDefault="00A861A3" w:rsidP="00A861A3">
      <w:pPr>
        <w:spacing w:after="0" w:line="480" w:lineRule="auto"/>
        <w:ind w:left="720" w:hanging="720"/>
        <w:rPr>
          <w:rFonts w:ascii="Arial" w:hAnsi="Arial" w:cs="Arial"/>
        </w:rPr>
      </w:pPr>
      <w:r w:rsidRPr="009B5B57">
        <w:rPr>
          <w:rFonts w:ascii="Arial" w:eastAsia="Arial" w:hAnsi="Arial" w:cs="Arial"/>
          <w:color w:val="000000"/>
        </w:rPr>
        <w:t xml:space="preserve">Rogers, C. (1957). The Necessary and Sufficient Conditions of Therapeutic </w:t>
      </w:r>
      <w:r w:rsidRPr="00327CD6">
        <w:rPr>
          <w:rFonts w:ascii="Arial" w:eastAsia="Arial" w:hAnsi="Arial" w:cs="Arial"/>
          <w:color w:val="000000"/>
        </w:rPr>
        <w:t xml:space="preserve">Personality Change. </w:t>
      </w:r>
      <w:r w:rsidRPr="00327CD6">
        <w:rPr>
          <w:rFonts w:ascii="Arial" w:eastAsia="Arial" w:hAnsi="Arial" w:cs="Arial"/>
          <w:i/>
          <w:iCs/>
          <w:color w:val="000000"/>
        </w:rPr>
        <w:t>TACD Journal</w:t>
      </w:r>
      <w:r w:rsidRPr="00327CD6">
        <w:rPr>
          <w:rFonts w:ascii="Arial" w:eastAsia="Arial" w:hAnsi="Arial" w:cs="Arial"/>
          <w:color w:val="000000"/>
        </w:rPr>
        <w:t xml:space="preserve">, </w:t>
      </w:r>
      <w:r w:rsidRPr="00327CD6">
        <w:rPr>
          <w:rFonts w:ascii="Arial" w:eastAsia="Arial" w:hAnsi="Arial" w:cs="Arial"/>
          <w:i/>
          <w:iCs/>
          <w:color w:val="000000"/>
        </w:rPr>
        <w:t>17</w:t>
      </w:r>
      <w:r w:rsidRPr="00327CD6">
        <w:rPr>
          <w:rFonts w:ascii="Arial" w:eastAsia="Arial" w:hAnsi="Arial" w:cs="Arial"/>
          <w:color w:val="000000"/>
        </w:rPr>
        <w:t xml:space="preserve">(1), 95–103. </w:t>
      </w:r>
      <w:hyperlink r:id="rId5" w:history="1">
        <w:r w:rsidRPr="00327CD6">
          <w:rPr>
            <w:rStyle w:val="Hyperlink"/>
            <w:rFonts w:ascii="Arial" w:eastAsia="Arial" w:hAnsi="Arial" w:cs="Arial"/>
          </w:rPr>
          <w:t>https://doi.org/10.1080/1046171x.1989.12034347</w:t>
        </w:r>
      </w:hyperlink>
    </w:p>
    <w:p w14:paraId="7DA8E155" w14:textId="77777777" w:rsidR="00A861A3" w:rsidRDefault="00A861A3" w:rsidP="00A861A3">
      <w:pPr>
        <w:spacing w:after="0" w:line="480" w:lineRule="auto"/>
        <w:ind w:left="720" w:hanging="720"/>
        <w:rPr>
          <w:rFonts w:ascii="Arial" w:hAnsi="Arial" w:cs="Arial"/>
        </w:rPr>
      </w:pPr>
      <w:r>
        <w:rPr>
          <w:rFonts w:ascii="Arial" w:hAnsi="Arial" w:cs="Arial"/>
        </w:rPr>
        <w:t xml:space="preserve">Rogers, C. (1961). </w:t>
      </w:r>
      <w:r>
        <w:rPr>
          <w:rFonts w:ascii="Arial" w:hAnsi="Arial" w:cs="Arial"/>
          <w:i/>
          <w:iCs/>
        </w:rPr>
        <w:t xml:space="preserve">On becoming a person: A therapist’s view of psychotherapy. </w:t>
      </w:r>
      <w:r>
        <w:rPr>
          <w:rFonts w:ascii="Arial" w:hAnsi="Arial" w:cs="Arial"/>
        </w:rPr>
        <w:t>Houghton Mifflin.</w:t>
      </w:r>
    </w:p>
    <w:p w14:paraId="4751492E" w14:textId="1FBE6161" w:rsidR="00C60E17" w:rsidRDefault="00C60E17" w:rsidP="00A861A3">
      <w:pPr>
        <w:spacing w:after="0" w:line="480" w:lineRule="auto"/>
        <w:ind w:left="720" w:hanging="720"/>
        <w:rPr>
          <w:rFonts w:ascii="Arial" w:hAnsi="Arial" w:cs="Arial"/>
        </w:rPr>
      </w:pPr>
      <w:r w:rsidRPr="00C60E17">
        <w:rPr>
          <w:rFonts w:ascii="Arial" w:hAnsi="Arial" w:cs="Arial"/>
        </w:rPr>
        <w:t xml:space="preserve">Stilman, R. (2023) ‘Transcending the Edge of Connectedness: Screen Relations in Practice’, </w:t>
      </w:r>
      <w:r w:rsidRPr="00C60E17">
        <w:rPr>
          <w:rFonts w:ascii="Arial" w:hAnsi="Arial" w:cs="Arial"/>
          <w:i/>
          <w:iCs/>
        </w:rPr>
        <w:t>Transactional analysis journal</w:t>
      </w:r>
      <w:r w:rsidRPr="00C60E17">
        <w:rPr>
          <w:rFonts w:ascii="Arial" w:hAnsi="Arial" w:cs="Arial"/>
        </w:rPr>
        <w:t xml:space="preserve">, 53(2), pp. 176–185. Available at: </w:t>
      </w:r>
      <w:hyperlink r:id="rId6" w:history="1">
        <w:r w:rsidRPr="00C60E17">
          <w:rPr>
            <w:rStyle w:val="Hyperlink"/>
            <w:rFonts w:ascii="Arial" w:hAnsi="Arial" w:cs="Arial"/>
          </w:rPr>
          <w:t>https://doi.org/10.1080/03621537.2023.2184149</w:t>
        </w:r>
      </w:hyperlink>
      <w:r w:rsidRPr="00C60E17">
        <w:rPr>
          <w:rFonts w:ascii="Arial" w:hAnsi="Arial" w:cs="Arial"/>
        </w:rPr>
        <w:t>.</w:t>
      </w:r>
    </w:p>
    <w:p w14:paraId="5C1DB759" w14:textId="0BEE12BB" w:rsidR="00A861A3" w:rsidRPr="00D60015" w:rsidRDefault="00A861A3" w:rsidP="00A861A3">
      <w:pPr>
        <w:spacing w:after="0" w:line="480" w:lineRule="auto"/>
        <w:ind w:left="720" w:hanging="720"/>
        <w:rPr>
          <w:rFonts w:ascii="Arial" w:hAnsi="Arial" w:cs="Arial"/>
        </w:rPr>
      </w:pPr>
      <w:r>
        <w:rPr>
          <w:rFonts w:ascii="Arial" w:hAnsi="Arial" w:cs="Arial"/>
        </w:rPr>
        <w:t xml:space="preserve">Tudor, K., &amp; Worrall, M. (2006). </w:t>
      </w:r>
      <w:r w:rsidRPr="00D60015">
        <w:rPr>
          <w:rFonts w:ascii="Arial" w:hAnsi="Arial" w:cs="Arial"/>
          <w:i/>
          <w:iCs/>
        </w:rPr>
        <w:t>Person-centred therapy: A clinical philosophy.</w:t>
      </w:r>
      <w:r>
        <w:rPr>
          <w:rFonts w:ascii="Arial" w:hAnsi="Arial" w:cs="Arial"/>
        </w:rPr>
        <w:t xml:space="preserve"> Routledge</w:t>
      </w:r>
    </w:p>
    <w:p w14:paraId="0AEE0F69" w14:textId="77777777" w:rsidR="00A861A3" w:rsidRPr="00A80393" w:rsidRDefault="00A861A3">
      <w:pPr>
        <w:rPr>
          <w:rFonts w:ascii="Arial" w:hAnsi="Arial" w:cs="Arial"/>
          <w:b/>
          <w:bCs/>
        </w:rPr>
      </w:pPr>
    </w:p>
    <w:sectPr w:rsidR="00A861A3" w:rsidRPr="00A80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BB"/>
    <w:rsid w:val="00005D4E"/>
    <w:rsid w:val="000C0D68"/>
    <w:rsid w:val="000F3566"/>
    <w:rsid w:val="00192594"/>
    <w:rsid w:val="00235FD2"/>
    <w:rsid w:val="00263EC3"/>
    <w:rsid w:val="00273EC1"/>
    <w:rsid w:val="00277E06"/>
    <w:rsid w:val="002805AB"/>
    <w:rsid w:val="00393AD8"/>
    <w:rsid w:val="00401FC5"/>
    <w:rsid w:val="00482873"/>
    <w:rsid w:val="00550123"/>
    <w:rsid w:val="005718BB"/>
    <w:rsid w:val="006010E0"/>
    <w:rsid w:val="006F64C9"/>
    <w:rsid w:val="00716688"/>
    <w:rsid w:val="00727B98"/>
    <w:rsid w:val="0077590C"/>
    <w:rsid w:val="007A7C39"/>
    <w:rsid w:val="00865533"/>
    <w:rsid w:val="00886E77"/>
    <w:rsid w:val="008E42B2"/>
    <w:rsid w:val="008E76C8"/>
    <w:rsid w:val="00934993"/>
    <w:rsid w:val="00A80393"/>
    <w:rsid w:val="00A861A3"/>
    <w:rsid w:val="00AF3E21"/>
    <w:rsid w:val="00AF71DA"/>
    <w:rsid w:val="00C2151E"/>
    <w:rsid w:val="00C30168"/>
    <w:rsid w:val="00C46AF5"/>
    <w:rsid w:val="00C52A89"/>
    <w:rsid w:val="00C60E17"/>
    <w:rsid w:val="00C62D3D"/>
    <w:rsid w:val="00C85DAA"/>
    <w:rsid w:val="00CE7152"/>
    <w:rsid w:val="00DA5400"/>
    <w:rsid w:val="00DF01DF"/>
    <w:rsid w:val="00E068B1"/>
    <w:rsid w:val="00E442C8"/>
    <w:rsid w:val="00E51948"/>
    <w:rsid w:val="00EB44ED"/>
    <w:rsid w:val="00F12D81"/>
    <w:rsid w:val="00F24082"/>
    <w:rsid w:val="00F25CC8"/>
    <w:rsid w:val="00F643CB"/>
    <w:rsid w:val="00FB1073"/>
    <w:rsid w:val="0BD3EC0E"/>
    <w:rsid w:val="1B120C12"/>
    <w:rsid w:val="30380FFB"/>
    <w:rsid w:val="39A7CB6E"/>
    <w:rsid w:val="43A99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155BC"/>
  <w15:chartTrackingRefBased/>
  <w15:docId w15:val="{9B670BA8-C7AB-485A-8010-02DEBD68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8BB"/>
    <w:rPr>
      <w:rFonts w:eastAsiaTheme="majorEastAsia" w:cstheme="majorBidi"/>
      <w:color w:val="272727" w:themeColor="text1" w:themeTint="D8"/>
    </w:rPr>
  </w:style>
  <w:style w:type="paragraph" w:styleId="Title">
    <w:name w:val="Title"/>
    <w:basedOn w:val="Normal"/>
    <w:next w:val="Normal"/>
    <w:link w:val="TitleChar"/>
    <w:uiPriority w:val="10"/>
    <w:qFormat/>
    <w:rsid w:val="00571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8BB"/>
    <w:pPr>
      <w:spacing w:before="160"/>
      <w:jc w:val="center"/>
    </w:pPr>
    <w:rPr>
      <w:i/>
      <w:iCs/>
      <w:color w:val="404040" w:themeColor="text1" w:themeTint="BF"/>
    </w:rPr>
  </w:style>
  <w:style w:type="character" w:customStyle="1" w:styleId="QuoteChar">
    <w:name w:val="Quote Char"/>
    <w:basedOn w:val="DefaultParagraphFont"/>
    <w:link w:val="Quote"/>
    <w:uiPriority w:val="29"/>
    <w:rsid w:val="005718BB"/>
    <w:rPr>
      <w:i/>
      <w:iCs/>
      <w:color w:val="404040" w:themeColor="text1" w:themeTint="BF"/>
    </w:rPr>
  </w:style>
  <w:style w:type="paragraph" w:styleId="ListParagraph">
    <w:name w:val="List Paragraph"/>
    <w:basedOn w:val="Normal"/>
    <w:uiPriority w:val="34"/>
    <w:qFormat/>
    <w:rsid w:val="005718BB"/>
    <w:pPr>
      <w:ind w:left="720"/>
      <w:contextualSpacing/>
    </w:pPr>
  </w:style>
  <w:style w:type="character" w:styleId="IntenseEmphasis">
    <w:name w:val="Intense Emphasis"/>
    <w:basedOn w:val="DefaultParagraphFont"/>
    <w:uiPriority w:val="21"/>
    <w:qFormat/>
    <w:rsid w:val="005718BB"/>
    <w:rPr>
      <w:i/>
      <w:iCs/>
      <w:color w:val="0F4761" w:themeColor="accent1" w:themeShade="BF"/>
    </w:rPr>
  </w:style>
  <w:style w:type="paragraph" w:styleId="IntenseQuote">
    <w:name w:val="Intense Quote"/>
    <w:basedOn w:val="Normal"/>
    <w:next w:val="Normal"/>
    <w:link w:val="IntenseQuoteChar"/>
    <w:uiPriority w:val="30"/>
    <w:qFormat/>
    <w:rsid w:val="00571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8BB"/>
    <w:rPr>
      <w:i/>
      <w:iCs/>
      <w:color w:val="0F4761" w:themeColor="accent1" w:themeShade="BF"/>
    </w:rPr>
  </w:style>
  <w:style w:type="character" w:styleId="IntenseReference">
    <w:name w:val="Intense Reference"/>
    <w:basedOn w:val="DefaultParagraphFont"/>
    <w:uiPriority w:val="32"/>
    <w:qFormat/>
    <w:rsid w:val="005718BB"/>
    <w:rPr>
      <w:b/>
      <w:bCs/>
      <w:smallCaps/>
      <w:color w:val="0F4761" w:themeColor="accent1" w:themeShade="BF"/>
      <w:spacing w:val="5"/>
    </w:rPr>
  </w:style>
  <w:style w:type="character" w:styleId="Hyperlink">
    <w:name w:val="Hyperlink"/>
    <w:rsid w:val="00A861A3"/>
    <w:rPr>
      <w:color w:val="467886"/>
      <w:u w:val="single"/>
    </w:rPr>
  </w:style>
  <w:style w:type="character" w:styleId="UnresolvedMention">
    <w:name w:val="Unresolved Mention"/>
    <w:basedOn w:val="DefaultParagraphFont"/>
    <w:uiPriority w:val="99"/>
    <w:semiHidden/>
    <w:unhideWhenUsed/>
    <w:rsid w:val="00C60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76572">
      <w:bodyDiv w:val="1"/>
      <w:marLeft w:val="0"/>
      <w:marRight w:val="0"/>
      <w:marTop w:val="0"/>
      <w:marBottom w:val="0"/>
      <w:divBdr>
        <w:top w:val="none" w:sz="0" w:space="0" w:color="auto"/>
        <w:left w:val="none" w:sz="0" w:space="0" w:color="auto"/>
        <w:bottom w:val="none" w:sz="0" w:space="0" w:color="auto"/>
        <w:right w:val="none" w:sz="0" w:space="0" w:color="auto"/>
      </w:divBdr>
      <w:divsChild>
        <w:div w:id="240257535">
          <w:marLeft w:val="0"/>
          <w:marRight w:val="0"/>
          <w:marTop w:val="0"/>
          <w:marBottom w:val="0"/>
          <w:divBdr>
            <w:top w:val="none" w:sz="0" w:space="0" w:color="auto"/>
            <w:left w:val="none" w:sz="0" w:space="0" w:color="auto"/>
            <w:bottom w:val="none" w:sz="0" w:space="0" w:color="auto"/>
            <w:right w:val="none" w:sz="0" w:space="0" w:color="auto"/>
          </w:divBdr>
          <w:divsChild>
            <w:div w:id="6308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82661">
      <w:bodyDiv w:val="1"/>
      <w:marLeft w:val="0"/>
      <w:marRight w:val="0"/>
      <w:marTop w:val="0"/>
      <w:marBottom w:val="0"/>
      <w:divBdr>
        <w:top w:val="none" w:sz="0" w:space="0" w:color="auto"/>
        <w:left w:val="none" w:sz="0" w:space="0" w:color="auto"/>
        <w:bottom w:val="none" w:sz="0" w:space="0" w:color="auto"/>
        <w:right w:val="none" w:sz="0" w:space="0" w:color="auto"/>
      </w:divBdr>
      <w:divsChild>
        <w:div w:id="260459933">
          <w:marLeft w:val="0"/>
          <w:marRight w:val="0"/>
          <w:marTop w:val="0"/>
          <w:marBottom w:val="0"/>
          <w:divBdr>
            <w:top w:val="none" w:sz="0" w:space="0" w:color="auto"/>
            <w:left w:val="none" w:sz="0" w:space="0" w:color="auto"/>
            <w:bottom w:val="none" w:sz="0" w:space="0" w:color="auto"/>
            <w:right w:val="none" w:sz="0" w:space="0" w:color="auto"/>
          </w:divBdr>
          <w:divsChild>
            <w:div w:id="57436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6473">
      <w:bodyDiv w:val="1"/>
      <w:marLeft w:val="0"/>
      <w:marRight w:val="0"/>
      <w:marTop w:val="0"/>
      <w:marBottom w:val="0"/>
      <w:divBdr>
        <w:top w:val="none" w:sz="0" w:space="0" w:color="auto"/>
        <w:left w:val="none" w:sz="0" w:space="0" w:color="auto"/>
        <w:bottom w:val="none" w:sz="0" w:space="0" w:color="auto"/>
        <w:right w:val="none" w:sz="0" w:space="0" w:color="auto"/>
      </w:divBdr>
      <w:divsChild>
        <w:div w:id="1117993909">
          <w:marLeft w:val="0"/>
          <w:marRight w:val="0"/>
          <w:marTop w:val="0"/>
          <w:marBottom w:val="0"/>
          <w:divBdr>
            <w:top w:val="none" w:sz="0" w:space="0" w:color="auto"/>
            <w:left w:val="none" w:sz="0" w:space="0" w:color="auto"/>
            <w:bottom w:val="none" w:sz="0" w:space="0" w:color="auto"/>
            <w:right w:val="none" w:sz="0" w:space="0" w:color="auto"/>
          </w:divBdr>
          <w:divsChild>
            <w:div w:id="73416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7172">
      <w:bodyDiv w:val="1"/>
      <w:marLeft w:val="0"/>
      <w:marRight w:val="0"/>
      <w:marTop w:val="0"/>
      <w:marBottom w:val="0"/>
      <w:divBdr>
        <w:top w:val="none" w:sz="0" w:space="0" w:color="auto"/>
        <w:left w:val="none" w:sz="0" w:space="0" w:color="auto"/>
        <w:bottom w:val="none" w:sz="0" w:space="0" w:color="auto"/>
        <w:right w:val="none" w:sz="0" w:space="0" w:color="auto"/>
      </w:divBdr>
      <w:divsChild>
        <w:div w:id="1155340574">
          <w:marLeft w:val="0"/>
          <w:marRight w:val="0"/>
          <w:marTop w:val="0"/>
          <w:marBottom w:val="0"/>
          <w:divBdr>
            <w:top w:val="none" w:sz="0" w:space="0" w:color="auto"/>
            <w:left w:val="none" w:sz="0" w:space="0" w:color="auto"/>
            <w:bottom w:val="none" w:sz="0" w:space="0" w:color="auto"/>
            <w:right w:val="none" w:sz="0" w:space="0" w:color="auto"/>
          </w:divBdr>
          <w:divsChild>
            <w:div w:id="18261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27018">
      <w:bodyDiv w:val="1"/>
      <w:marLeft w:val="0"/>
      <w:marRight w:val="0"/>
      <w:marTop w:val="0"/>
      <w:marBottom w:val="0"/>
      <w:divBdr>
        <w:top w:val="none" w:sz="0" w:space="0" w:color="auto"/>
        <w:left w:val="none" w:sz="0" w:space="0" w:color="auto"/>
        <w:bottom w:val="none" w:sz="0" w:space="0" w:color="auto"/>
        <w:right w:val="none" w:sz="0" w:space="0" w:color="auto"/>
      </w:divBdr>
      <w:divsChild>
        <w:div w:id="1767000581">
          <w:marLeft w:val="0"/>
          <w:marRight w:val="0"/>
          <w:marTop w:val="0"/>
          <w:marBottom w:val="0"/>
          <w:divBdr>
            <w:top w:val="none" w:sz="0" w:space="0" w:color="auto"/>
            <w:left w:val="none" w:sz="0" w:space="0" w:color="auto"/>
            <w:bottom w:val="none" w:sz="0" w:space="0" w:color="auto"/>
            <w:right w:val="none" w:sz="0" w:space="0" w:color="auto"/>
          </w:divBdr>
          <w:divsChild>
            <w:div w:id="989751072">
              <w:marLeft w:val="0"/>
              <w:marRight w:val="0"/>
              <w:marTop w:val="0"/>
              <w:marBottom w:val="0"/>
              <w:divBdr>
                <w:top w:val="none" w:sz="0" w:space="0" w:color="auto"/>
                <w:left w:val="none" w:sz="0" w:space="0" w:color="auto"/>
                <w:bottom w:val="none" w:sz="0" w:space="0" w:color="auto"/>
                <w:right w:val="none" w:sz="0" w:space="0" w:color="auto"/>
              </w:divBdr>
              <w:divsChild>
                <w:div w:id="1945530731">
                  <w:marLeft w:val="0"/>
                  <w:marRight w:val="0"/>
                  <w:marTop w:val="0"/>
                  <w:marBottom w:val="0"/>
                  <w:divBdr>
                    <w:top w:val="none" w:sz="0" w:space="0" w:color="auto"/>
                    <w:left w:val="none" w:sz="0" w:space="0" w:color="auto"/>
                    <w:bottom w:val="none" w:sz="0" w:space="0" w:color="auto"/>
                    <w:right w:val="none" w:sz="0" w:space="0" w:color="auto"/>
                  </w:divBdr>
                  <w:divsChild>
                    <w:div w:id="20133317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53963045">
      <w:bodyDiv w:val="1"/>
      <w:marLeft w:val="0"/>
      <w:marRight w:val="0"/>
      <w:marTop w:val="0"/>
      <w:marBottom w:val="0"/>
      <w:divBdr>
        <w:top w:val="none" w:sz="0" w:space="0" w:color="auto"/>
        <w:left w:val="none" w:sz="0" w:space="0" w:color="auto"/>
        <w:bottom w:val="none" w:sz="0" w:space="0" w:color="auto"/>
        <w:right w:val="none" w:sz="0" w:space="0" w:color="auto"/>
      </w:divBdr>
      <w:divsChild>
        <w:div w:id="89854765">
          <w:marLeft w:val="0"/>
          <w:marRight w:val="0"/>
          <w:marTop w:val="0"/>
          <w:marBottom w:val="0"/>
          <w:divBdr>
            <w:top w:val="none" w:sz="0" w:space="0" w:color="auto"/>
            <w:left w:val="none" w:sz="0" w:space="0" w:color="auto"/>
            <w:bottom w:val="none" w:sz="0" w:space="0" w:color="auto"/>
            <w:right w:val="none" w:sz="0" w:space="0" w:color="auto"/>
          </w:divBdr>
          <w:divsChild>
            <w:div w:id="1033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8219">
      <w:bodyDiv w:val="1"/>
      <w:marLeft w:val="0"/>
      <w:marRight w:val="0"/>
      <w:marTop w:val="0"/>
      <w:marBottom w:val="0"/>
      <w:divBdr>
        <w:top w:val="none" w:sz="0" w:space="0" w:color="auto"/>
        <w:left w:val="none" w:sz="0" w:space="0" w:color="auto"/>
        <w:bottom w:val="none" w:sz="0" w:space="0" w:color="auto"/>
        <w:right w:val="none" w:sz="0" w:space="0" w:color="auto"/>
      </w:divBdr>
      <w:divsChild>
        <w:div w:id="508830444">
          <w:marLeft w:val="0"/>
          <w:marRight w:val="0"/>
          <w:marTop w:val="0"/>
          <w:marBottom w:val="0"/>
          <w:divBdr>
            <w:top w:val="none" w:sz="0" w:space="0" w:color="auto"/>
            <w:left w:val="none" w:sz="0" w:space="0" w:color="auto"/>
            <w:bottom w:val="none" w:sz="0" w:space="0" w:color="auto"/>
            <w:right w:val="none" w:sz="0" w:space="0" w:color="auto"/>
          </w:divBdr>
          <w:divsChild>
            <w:div w:id="2048525253">
              <w:marLeft w:val="0"/>
              <w:marRight w:val="0"/>
              <w:marTop w:val="0"/>
              <w:marBottom w:val="0"/>
              <w:divBdr>
                <w:top w:val="none" w:sz="0" w:space="0" w:color="auto"/>
                <w:left w:val="none" w:sz="0" w:space="0" w:color="auto"/>
                <w:bottom w:val="none" w:sz="0" w:space="0" w:color="auto"/>
                <w:right w:val="none" w:sz="0" w:space="0" w:color="auto"/>
              </w:divBdr>
              <w:divsChild>
                <w:div w:id="1703507436">
                  <w:marLeft w:val="0"/>
                  <w:marRight w:val="0"/>
                  <w:marTop w:val="0"/>
                  <w:marBottom w:val="0"/>
                  <w:divBdr>
                    <w:top w:val="none" w:sz="0" w:space="0" w:color="auto"/>
                    <w:left w:val="none" w:sz="0" w:space="0" w:color="auto"/>
                    <w:bottom w:val="none" w:sz="0" w:space="0" w:color="auto"/>
                    <w:right w:val="none" w:sz="0" w:space="0" w:color="auto"/>
                  </w:divBdr>
                  <w:divsChild>
                    <w:div w:id="149771953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84001730">
      <w:bodyDiv w:val="1"/>
      <w:marLeft w:val="0"/>
      <w:marRight w:val="0"/>
      <w:marTop w:val="0"/>
      <w:marBottom w:val="0"/>
      <w:divBdr>
        <w:top w:val="none" w:sz="0" w:space="0" w:color="auto"/>
        <w:left w:val="none" w:sz="0" w:space="0" w:color="auto"/>
        <w:bottom w:val="none" w:sz="0" w:space="0" w:color="auto"/>
        <w:right w:val="none" w:sz="0" w:space="0" w:color="auto"/>
      </w:divBdr>
      <w:divsChild>
        <w:div w:id="781723983">
          <w:marLeft w:val="0"/>
          <w:marRight w:val="0"/>
          <w:marTop w:val="0"/>
          <w:marBottom w:val="0"/>
          <w:divBdr>
            <w:top w:val="none" w:sz="0" w:space="0" w:color="auto"/>
            <w:left w:val="none" w:sz="0" w:space="0" w:color="auto"/>
            <w:bottom w:val="none" w:sz="0" w:space="0" w:color="auto"/>
            <w:right w:val="none" w:sz="0" w:space="0" w:color="auto"/>
          </w:divBdr>
          <w:divsChild>
            <w:div w:id="96203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0775">
      <w:bodyDiv w:val="1"/>
      <w:marLeft w:val="0"/>
      <w:marRight w:val="0"/>
      <w:marTop w:val="0"/>
      <w:marBottom w:val="0"/>
      <w:divBdr>
        <w:top w:val="none" w:sz="0" w:space="0" w:color="auto"/>
        <w:left w:val="none" w:sz="0" w:space="0" w:color="auto"/>
        <w:bottom w:val="none" w:sz="0" w:space="0" w:color="auto"/>
        <w:right w:val="none" w:sz="0" w:space="0" w:color="auto"/>
      </w:divBdr>
      <w:divsChild>
        <w:div w:id="1378512102">
          <w:marLeft w:val="0"/>
          <w:marRight w:val="0"/>
          <w:marTop w:val="0"/>
          <w:marBottom w:val="0"/>
          <w:divBdr>
            <w:top w:val="none" w:sz="0" w:space="0" w:color="auto"/>
            <w:left w:val="none" w:sz="0" w:space="0" w:color="auto"/>
            <w:bottom w:val="none" w:sz="0" w:space="0" w:color="auto"/>
            <w:right w:val="none" w:sz="0" w:space="0" w:color="auto"/>
          </w:divBdr>
          <w:divsChild>
            <w:div w:id="1763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6253">
      <w:bodyDiv w:val="1"/>
      <w:marLeft w:val="0"/>
      <w:marRight w:val="0"/>
      <w:marTop w:val="0"/>
      <w:marBottom w:val="0"/>
      <w:divBdr>
        <w:top w:val="none" w:sz="0" w:space="0" w:color="auto"/>
        <w:left w:val="none" w:sz="0" w:space="0" w:color="auto"/>
        <w:bottom w:val="none" w:sz="0" w:space="0" w:color="auto"/>
        <w:right w:val="none" w:sz="0" w:space="0" w:color="auto"/>
      </w:divBdr>
      <w:divsChild>
        <w:div w:id="1458331497">
          <w:marLeft w:val="0"/>
          <w:marRight w:val="0"/>
          <w:marTop w:val="0"/>
          <w:marBottom w:val="0"/>
          <w:divBdr>
            <w:top w:val="none" w:sz="0" w:space="0" w:color="auto"/>
            <w:left w:val="none" w:sz="0" w:space="0" w:color="auto"/>
            <w:bottom w:val="none" w:sz="0" w:space="0" w:color="auto"/>
            <w:right w:val="none" w:sz="0" w:space="0" w:color="auto"/>
          </w:divBdr>
          <w:divsChild>
            <w:div w:id="69824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621537.2023.2184149" TargetMode="External"/><Relationship Id="rId5" Type="http://schemas.openxmlformats.org/officeDocument/2006/relationships/hyperlink" Target="https://doi.org/10.1080/1046171x.1989.1203434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289</TotalTime>
  <Pages>7</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Dawtry  (HM Prison Swansea)</dc:creator>
  <cp:keywords/>
  <dc:description/>
  <cp:lastModifiedBy>Jade Dawtry</cp:lastModifiedBy>
  <cp:revision>36</cp:revision>
  <dcterms:created xsi:type="dcterms:W3CDTF">2025-07-21T16:57:00Z</dcterms:created>
  <dcterms:modified xsi:type="dcterms:W3CDTF">2025-07-21T21:42:00Z</dcterms:modified>
</cp:coreProperties>
</file>