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65D1E" w14:textId="77777777" w:rsidR="007000BE" w:rsidRDefault="007000BE" w:rsidP="007000BE">
      <w:pPr>
        <w:pStyle w:val="NoSpacing"/>
        <w:jc w:val="center"/>
        <w:rPr>
          <w:lang w:val="en-GB"/>
        </w:rPr>
      </w:pPr>
      <w:bookmarkStart w:id="0" w:name="_es4f11serm2o" w:colFirst="0" w:colLast="0"/>
      <w:bookmarkEnd w:id="0"/>
      <w:r>
        <w:rPr>
          <w:noProof/>
          <w:lang w:val="en-IN" w:eastAsia="en-IN"/>
        </w:rPr>
        <w:drawing>
          <wp:inline distT="0" distB="0" distL="0" distR="0" wp14:anchorId="193EC3B6" wp14:editId="0F38CDBC">
            <wp:extent cx="2133600" cy="742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33600" cy="742950"/>
                    </a:xfrm>
                    <a:prstGeom prst="rect">
                      <a:avLst/>
                    </a:prstGeom>
                  </pic:spPr>
                </pic:pic>
              </a:graphicData>
            </a:graphic>
          </wp:inline>
        </w:drawing>
      </w:r>
    </w:p>
    <w:p w14:paraId="3A9F32BF" w14:textId="77777777" w:rsidR="007000BE" w:rsidRDefault="007000BE" w:rsidP="007000BE">
      <w:pPr>
        <w:jc w:val="center"/>
        <w:rPr>
          <w:b/>
          <w:bCs/>
          <w:sz w:val="28"/>
          <w:szCs w:val="28"/>
          <w:lang w:val="en-GB"/>
        </w:rPr>
      </w:pPr>
    </w:p>
    <w:p w14:paraId="086AA3FB" w14:textId="77777777" w:rsidR="007000BE" w:rsidRPr="0024165C" w:rsidRDefault="007000BE" w:rsidP="007000BE">
      <w:pPr>
        <w:jc w:val="center"/>
        <w:rPr>
          <w:rFonts w:ascii="Arial" w:hAnsi="Arial" w:cs="Arial"/>
          <w:b/>
          <w:bCs/>
          <w:sz w:val="28"/>
          <w:szCs w:val="28"/>
          <w:lang w:val="en-GB"/>
        </w:rPr>
      </w:pPr>
      <w:r w:rsidRPr="0024165C">
        <w:rPr>
          <w:rFonts w:ascii="Arial" w:hAnsi="Arial" w:cs="Arial"/>
          <w:b/>
          <w:bCs/>
          <w:sz w:val="28"/>
          <w:szCs w:val="28"/>
          <w:lang w:val="en-GB"/>
        </w:rPr>
        <w:t>Changemakers: Creativity and Value Creation</w:t>
      </w:r>
    </w:p>
    <w:p w14:paraId="7E217872" w14:textId="77777777" w:rsidR="007000BE" w:rsidRPr="0024165C" w:rsidRDefault="007000BE" w:rsidP="007000BE">
      <w:pPr>
        <w:jc w:val="center"/>
        <w:rPr>
          <w:rFonts w:ascii="Arial" w:hAnsi="Arial" w:cs="Arial"/>
          <w:b/>
          <w:bCs/>
          <w:sz w:val="28"/>
          <w:szCs w:val="28"/>
          <w:lang w:val="en-GB"/>
        </w:rPr>
      </w:pPr>
    </w:p>
    <w:p w14:paraId="6516AA51" w14:textId="77777777" w:rsidR="007000BE" w:rsidRPr="0024165C" w:rsidRDefault="007000BE" w:rsidP="007000BE">
      <w:pPr>
        <w:jc w:val="center"/>
        <w:rPr>
          <w:rFonts w:ascii="Arial" w:hAnsi="Arial" w:cs="Arial"/>
          <w:b/>
          <w:bCs/>
          <w:sz w:val="28"/>
          <w:szCs w:val="28"/>
          <w:lang w:val="en-GB"/>
        </w:rPr>
      </w:pPr>
      <w:r w:rsidRPr="0024165C">
        <w:rPr>
          <w:rFonts w:ascii="Arial" w:hAnsi="Arial" w:cs="Arial"/>
          <w:b/>
          <w:bCs/>
          <w:sz w:val="28"/>
          <w:szCs w:val="28"/>
          <w:lang w:val="en-GB"/>
        </w:rPr>
        <w:t>Professions (BMHP5014)</w:t>
      </w:r>
    </w:p>
    <w:p w14:paraId="3190DDD6" w14:textId="77777777" w:rsidR="00CE44B8" w:rsidRPr="0024165C" w:rsidRDefault="00CE44B8" w:rsidP="007000BE">
      <w:pPr>
        <w:jc w:val="center"/>
        <w:rPr>
          <w:rFonts w:ascii="Arial" w:hAnsi="Arial" w:cs="Arial"/>
          <w:b/>
          <w:bCs/>
          <w:sz w:val="28"/>
          <w:szCs w:val="28"/>
          <w:lang w:val="en-GB"/>
        </w:rPr>
      </w:pPr>
    </w:p>
    <w:p w14:paraId="1D9B309D" w14:textId="77777777" w:rsidR="00CE44B8" w:rsidRPr="0024165C" w:rsidRDefault="00CE44B8" w:rsidP="007000BE">
      <w:pPr>
        <w:jc w:val="center"/>
        <w:rPr>
          <w:rFonts w:ascii="Arial" w:hAnsi="Arial" w:cs="Arial"/>
          <w:b/>
          <w:bCs/>
          <w:sz w:val="28"/>
          <w:szCs w:val="28"/>
          <w:lang w:val="en-GB"/>
        </w:rPr>
      </w:pPr>
      <w:r w:rsidRPr="0024165C">
        <w:rPr>
          <w:rFonts w:ascii="Arial" w:hAnsi="Arial" w:cs="Arial"/>
          <w:b/>
          <w:bCs/>
          <w:sz w:val="28"/>
          <w:szCs w:val="28"/>
          <w:lang w:val="en-GB"/>
        </w:rPr>
        <w:t>Component 1: Online portfolio of set exercises</w:t>
      </w:r>
    </w:p>
    <w:p w14:paraId="65A4B0A7" w14:textId="77777777" w:rsidR="00CE44B8" w:rsidRPr="0024165C" w:rsidRDefault="00CE44B8" w:rsidP="007000BE">
      <w:pPr>
        <w:jc w:val="center"/>
        <w:rPr>
          <w:rFonts w:ascii="Arial" w:hAnsi="Arial" w:cs="Arial"/>
          <w:b/>
          <w:bCs/>
          <w:sz w:val="28"/>
          <w:szCs w:val="28"/>
          <w:lang w:val="en-GB"/>
        </w:rPr>
      </w:pPr>
    </w:p>
    <w:p w14:paraId="7A19EAA7" w14:textId="77777777" w:rsidR="00CE44B8" w:rsidRPr="0024165C" w:rsidRDefault="00CE44B8" w:rsidP="00CE44B8">
      <w:pPr>
        <w:jc w:val="left"/>
        <w:rPr>
          <w:rFonts w:ascii="Arial" w:hAnsi="Arial" w:cs="Arial"/>
          <w:b/>
          <w:bCs/>
          <w:sz w:val="28"/>
          <w:szCs w:val="28"/>
          <w:lang w:val="en-GB"/>
        </w:rPr>
      </w:pPr>
    </w:p>
    <w:p w14:paraId="4F4C0FC3" w14:textId="77777777" w:rsidR="00CE44B8" w:rsidRPr="0024165C" w:rsidRDefault="00CE44B8" w:rsidP="00CE44B8">
      <w:pPr>
        <w:jc w:val="left"/>
        <w:rPr>
          <w:rFonts w:ascii="Arial" w:hAnsi="Arial" w:cs="Arial"/>
          <w:bCs/>
          <w:sz w:val="28"/>
          <w:szCs w:val="28"/>
          <w:lang w:val="en-GB"/>
        </w:rPr>
      </w:pPr>
      <w:r w:rsidRPr="0024165C">
        <w:rPr>
          <w:rFonts w:ascii="Arial" w:hAnsi="Arial" w:cs="Arial"/>
          <w:b/>
          <w:bCs/>
          <w:sz w:val="28"/>
          <w:szCs w:val="28"/>
          <w:lang w:val="en-GB"/>
        </w:rPr>
        <w:t xml:space="preserve">Student name: </w:t>
      </w:r>
      <w:r w:rsidR="00183810" w:rsidRPr="0024165C">
        <w:rPr>
          <w:rFonts w:ascii="Arial" w:hAnsi="Arial" w:cs="Arial"/>
          <w:b/>
          <w:bCs/>
          <w:sz w:val="28"/>
          <w:szCs w:val="28"/>
          <w:lang w:val="en-GB"/>
        </w:rPr>
        <w:t>Meron Banger</w:t>
      </w:r>
    </w:p>
    <w:p w14:paraId="340598DD" w14:textId="77777777" w:rsidR="00CE44B8" w:rsidRPr="0024165C" w:rsidRDefault="00CE44B8" w:rsidP="00CE44B8">
      <w:pPr>
        <w:jc w:val="left"/>
        <w:rPr>
          <w:rFonts w:ascii="Arial" w:hAnsi="Arial" w:cs="Arial"/>
          <w:b/>
          <w:bCs/>
          <w:sz w:val="28"/>
          <w:szCs w:val="28"/>
          <w:lang w:val="en-GB"/>
        </w:rPr>
      </w:pPr>
    </w:p>
    <w:p w14:paraId="55C614C6" w14:textId="693B8B6D" w:rsidR="00CE44B8" w:rsidRPr="0024165C" w:rsidRDefault="00CE44B8" w:rsidP="00CE44B8">
      <w:pPr>
        <w:jc w:val="left"/>
        <w:rPr>
          <w:rFonts w:ascii="Arial" w:hAnsi="Arial" w:cs="Arial"/>
          <w:b/>
          <w:bCs/>
          <w:sz w:val="28"/>
          <w:szCs w:val="28"/>
          <w:lang w:val="en-GB"/>
        </w:rPr>
      </w:pPr>
      <w:r w:rsidRPr="0024165C">
        <w:rPr>
          <w:rFonts w:ascii="Arial" w:hAnsi="Arial" w:cs="Arial"/>
          <w:b/>
          <w:bCs/>
          <w:sz w:val="28"/>
          <w:szCs w:val="28"/>
          <w:lang w:val="en-GB"/>
        </w:rPr>
        <w:t>Student number:</w:t>
      </w:r>
      <w:r w:rsidR="0024165C" w:rsidRPr="0024165C">
        <w:rPr>
          <w:rFonts w:ascii="Arial" w:hAnsi="Arial" w:cs="Arial"/>
          <w:b/>
          <w:bCs/>
          <w:sz w:val="28"/>
          <w:szCs w:val="28"/>
          <w:lang w:val="en-GB"/>
        </w:rPr>
        <w:t xml:space="preserve"> 230071</w:t>
      </w:r>
    </w:p>
    <w:p w14:paraId="2B17DC81" w14:textId="77777777" w:rsidR="00CE44B8" w:rsidRPr="0024165C" w:rsidRDefault="00CE44B8" w:rsidP="00CE44B8">
      <w:pPr>
        <w:jc w:val="left"/>
        <w:rPr>
          <w:rFonts w:ascii="Arial" w:hAnsi="Arial" w:cs="Arial"/>
          <w:b/>
          <w:bCs/>
          <w:sz w:val="28"/>
          <w:szCs w:val="28"/>
          <w:lang w:val="en-GB"/>
        </w:rPr>
      </w:pPr>
    </w:p>
    <w:p w14:paraId="4D72FBE8" w14:textId="0BA7C21E" w:rsidR="00CE44B8" w:rsidRPr="0024165C" w:rsidRDefault="009044B1" w:rsidP="00CE44B8">
      <w:pPr>
        <w:jc w:val="left"/>
        <w:rPr>
          <w:rFonts w:ascii="Arial" w:hAnsi="Arial" w:cs="Arial"/>
          <w:b/>
          <w:bCs/>
          <w:sz w:val="28"/>
          <w:szCs w:val="28"/>
          <w:lang w:val="en-GB"/>
        </w:rPr>
      </w:pPr>
      <w:r w:rsidRPr="0024165C">
        <w:rPr>
          <w:rFonts w:ascii="Arial" w:hAnsi="Arial" w:cs="Arial"/>
          <w:b/>
          <w:bCs/>
          <w:sz w:val="28"/>
          <w:szCs w:val="28"/>
          <w:lang w:val="en-GB"/>
        </w:rPr>
        <w:t>Lecturer’s name:</w:t>
      </w:r>
      <w:r w:rsidR="0024165C" w:rsidRPr="0024165C">
        <w:rPr>
          <w:rFonts w:ascii="Arial" w:hAnsi="Arial" w:cs="Arial"/>
          <w:b/>
          <w:bCs/>
          <w:sz w:val="28"/>
          <w:szCs w:val="28"/>
          <w:lang w:val="en-GB"/>
        </w:rPr>
        <w:t xml:space="preserve"> Caroline Salami</w:t>
      </w:r>
    </w:p>
    <w:p w14:paraId="76F66457" w14:textId="7329489A" w:rsidR="009044B1" w:rsidRPr="0024165C" w:rsidRDefault="0024165C" w:rsidP="009044B1">
      <w:pPr>
        <w:jc w:val="left"/>
        <w:rPr>
          <w:rFonts w:ascii="Arial" w:hAnsi="Arial" w:cs="Arial"/>
          <w:b/>
          <w:bCs/>
          <w:sz w:val="28"/>
          <w:szCs w:val="28"/>
          <w:lang w:val="en-GB"/>
        </w:rPr>
      </w:pPr>
      <w:r w:rsidRPr="0024165C">
        <w:rPr>
          <w:rFonts w:ascii="Arial" w:hAnsi="Arial" w:cs="Arial"/>
          <w:b/>
          <w:bCs/>
          <w:sz w:val="28"/>
          <w:szCs w:val="28"/>
          <w:lang w:val="en-GB"/>
        </w:rPr>
        <w:t>Module: Change Makers: Creativity and Value creation</w:t>
      </w:r>
    </w:p>
    <w:p w14:paraId="6FFF2C3E" w14:textId="4826B361" w:rsidR="0024165C" w:rsidRPr="0024165C" w:rsidRDefault="0024165C" w:rsidP="009044B1">
      <w:pPr>
        <w:jc w:val="left"/>
        <w:rPr>
          <w:rFonts w:ascii="Arial" w:hAnsi="Arial" w:cs="Arial"/>
          <w:b/>
          <w:bCs/>
          <w:sz w:val="28"/>
          <w:szCs w:val="28"/>
          <w:lang w:val="en-GB"/>
        </w:rPr>
      </w:pPr>
      <w:r w:rsidRPr="0024165C">
        <w:rPr>
          <w:rFonts w:ascii="Arial" w:hAnsi="Arial" w:cs="Arial"/>
          <w:b/>
          <w:bCs/>
          <w:sz w:val="28"/>
          <w:szCs w:val="28"/>
          <w:lang w:val="en-GB"/>
        </w:rPr>
        <w:t xml:space="preserve">Programme: </w:t>
      </w:r>
      <w:proofErr w:type="gramStart"/>
      <w:r w:rsidRPr="0024165C">
        <w:rPr>
          <w:rFonts w:ascii="Arial" w:hAnsi="Arial" w:cs="Arial"/>
          <w:b/>
          <w:bCs/>
          <w:sz w:val="28"/>
          <w:szCs w:val="28"/>
          <w:lang w:val="en-GB"/>
        </w:rPr>
        <w:t>BSc(</w:t>
      </w:r>
      <w:proofErr w:type="gramEnd"/>
      <w:r w:rsidRPr="0024165C">
        <w:rPr>
          <w:rFonts w:ascii="Arial" w:hAnsi="Arial" w:cs="Arial"/>
          <w:b/>
          <w:bCs/>
          <w:sz w:val="28"/>
          <w:szCs w:val="28"/>
          <w:lang w:val="en-GB"/>
        </w:rPr>
        <w:t xml:space="preserve">HONs) Health and Social Care </w:t>
      </w:r>
    </w:p>
    <w:p w14:paraId="65744AC6" w14:textId="77777777" w:rsidR="006F2C1F" w:rsidRPr="0024165C" w:rsidRDefault="006F2C1F">
      <w:pPr>
        <w:rPr>
          <w:rFonts w:ascii="Arial" w:hAnsi="Arial" w:cs="Arial"/>
          <w:lang w:val="en-GB"/>
        </w:rPr>
      </w:pPr>
      <w:r w:rsidRPr="0024165C">
        <w:rPr>
          <w:rFonts w:ascii="Arial" w:hAnsi="Arial" w:cs="Arial"/>
          <w:lang w:val="en-GB"/>
        </w:rPr>
        <w:br w:type="page"/>
      </w:r>
    </w:p>
    <w:sdt>
      <w:sdtPr>
        <w:rPr>
          <w:rFonts w:ascii="Arial" w:eastAsia="Times New Roman" w:hAnsi="Arial" w:cs="Arial"/>
          <w:color w:val="auto"/>
          <w:sz w:val="24"/>
          <w:szCs w:val="24"/>
          <w:lang w:val="en"/>
        </w:rPr>
        <w:id w:val="-1035498298"/>
        <w:docPartObj>
          <w:docPartGallery w:val="Table of Contents"/>
          <w:docPartUnique/>
        </w:docPartObj>
      </w:sdtPr>
      <w:sdtEndPr>
        <w:rPr>
          <w:b/>
          <w:bCs/>
          <w:noProof/>
        </w:rPr>
      </w:sdtEndPr>
      <w:sdtContent>
        <w:p w14:paraId="396580CC" w14:textId="77777777" w:rsidR="006F2C1F" w:rsidRPr="0024165C" w:rsidRDefault="006F2C1F" w:rsidP="00877128">
          <w:pPr>
            <w:pStyle w:val="TOCHeading"/>
            <w:spacing w:line="360" w:lineRule="auto"/>
            <w:jc w:val="center"/>
            <w:rPr>
              <w:rFonts w:ascii="Arial" w:hAnsi="Arial" w:cs="Arial"/>
              <w:b/>
              <w:color w:val="auto"/>
              <w:sz w:val="28"/>
              <w:szCs w:val="24"/>
            </w:rPr>
          </w:pPr>
          <w:r w:rsidRPr="0024165C">
            <w:rPr>
              <w:rFonts w:ascii="Arial" w:hAnsi="Arial" w:cs="Arial"/>
              <w:b/>
              <w:color w:val="auto"/>
              <w:sz w:val="28"/>
              <w:szCs w:val="24"/>
            </w:rPr>
            <w:t>Table of Contents</w:t>
          </w:r>
        </w:p>
        <w:p w14:paraId="060AD70C" w14:textId="77777777" w:rsidR="00414C87" w:rsidRPr="0024165C" w:rsidRDefault="006F2C1F">
          <w:pPr>
            <w:pStyle w:val="TOC1"/>
            <w:tabs>
              <w:tab w:val="right" w:leader="dot" w:pos="9350"/>
            </w:tabs>
            <w:rPr>
              <w:rFonts w:ascii="Arial" w:eastAsiaTheme="minorEastAsia" w:hAnsi="Arial" w:cs="Arial"/>
              <w:noProof/>
              <w:sz w:val="22"/>
              <w:szCs w:val="22"/>
              <w:lang w:val="en-IN" w:eastAsia="en-IN"/>
            </w:rPr>
          </w:pPr>
          <w:r w:rsidRPr="0024165C">
            <w:rPr>
              <w:rFonts w:ascii="Arial" w:hAnsi="Arial" w:cs="Arial"/>
            </w:rPr>
            <w:fldChar w:fldCharType="begin"/>
          </w:r>
          <w:r w:rsidRPr="0024165C">
            <w:rPr>
              <w:rFonts w:ascii="Arial" w:hAnsi="Arial" w:cs="Arial"/>
            </w:rPr>
            <w:instrText xml:space="preserve"> TOC \o "1-3" \h \z \u </w:instrText>
          </w:r>
          <w:r w:rsidRPr="0024165C">
            <w:rPr>
              <w:rFonts w:ascii="Arial" w:hAnsi="Arial" w:cs="Arial"/>
            </w:rPr>
            <w:fldChar w:fldCharType="separate"/>
          </w:r>
          <w:hyperlink w:anchor="_Toc236126846" w:history="1">
            <w:r w:rsidR="00414C87" w:rsidRPr="0024165C">
              <w:rPr>
                <w:rStyle w:val="Hyperlink"/>
                <w:rFonts w:ascii="Arial" w:hAnsi="Arial" w:cs="Arial"/>
                <w:noProof/>
                <w:lang w:val="en-GB"/>
              </w:rPr>
              <w:t>Introduction</w:t>
            </w:r>
            <w:r w:rsidR="00414C87" w:rsidRPr="0024165C">
              <w:rPr>
                <w:rFonts w:ascii="Arial" w:hAnsi="Arial" w:cs="Arial"/>
                <w:noProof/>
                <w:webHidden/>
              </w:rPr>
              <w:tab/>
            </w:r>
            <w:r w:rsidR="00414C87" w:rsidRPr="0024165C">
              <w:rPr>
                <w:rFonts w:ascii="Arial" w:hAnsi="Arial" w:cs="Arial"/>
                <w:noProof/>
                <w:webHidden/>
              </w:rPr>
              <w:fldChar w:fldCharType="begin"/>
            </w:r>
            <w:r w:rsidR="00414C87" w:rsidRPr="0024165C">
              <w:rPr>
                <w:rFonts w:ascii="Arial" w:hAnsi="Arial" w:cs="Arial"/>
                <w:noProof/>
                <w:webHidden/>
              </w:rPr>
              <w:instrText xml:space="preserve"> PAGEREF _Toc236126846 \h </w:instrText>
            </w:r>
            <w:r w:rsidR="00414C87" w:rsidRPr="0024165C">
              <w:rPr>
                <w:rFonts w:ascii="Arial" w:hAnsi="Arial" w:cs="Arial"/>
                <w:noProof/>
                <w:webHidden/>
              </w:rPr>
            </w:r>
            <w:r w:rsidR="00414C87" w:rsidRPr="0024165C">
              <w:rPr>
                <w:rFonts w:ascii="Arial" w:hAnsi="Arial" w:cs="Arial"/>
                <w:noProof/>
                <w:webHidden/>
              </w:rPr>
              <w:fldChar w:fldCharType="separate"/>
            </w:r>
            <w:r w:rsidR="00414C87" w:rsidRPr="0024165C">
              <w:rPr>
                <w:rFonts w:ascii="Arial" w:hAnsi="Arial" w:cs="Arial"/>
                <w:noProof/>
                <w:webHidden/>
              </w:rPr>
              <w:t>3</w:t>
            </w:r>
            <w:r w:rsidR="00414C87" w:rsidRPr="0024165C">
              <w:rPr>
                <w:rFonts w:ascii="Arial" w:hAnsi="Arial" w:cs="Arial"/>
                <w:noProof/>
                <w:webHidden/>
              </w:rPr>
              <w:fldChar w:fldCharType="end"/>
            </w:r>
          </w:hyperlink>
        </w:p>
        <w:p w14:paraId="68E89F07"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47" w:history="1">
            <w:r w:rsidRPr="0024165C">
              <w:rPr>
                <w:rStyle w:val="Hyperlink"/>
                <w:rFonts w:ascii="Arial" w:hAnsi="Arial" w:cs="Arial"/>
                <w:noProof/>
                <w:lang w:val="en-GB"/>
              </w:rPr>
              <w:t>Task 1- Defining Key Concepts in Practice</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_Toc236126847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4</w:t>
            </w:r>
            <w:r w:rsidRPr="0024165C">
              <w:rPr>
                <w:rFonts w:ascii="Arial" w:hAnsi="Arial" w:cs="Arial"/>
                <w:noProof/>
                <w:webHidden/>
              </w:rPr>
              <w:fldChar w:fldCharType="end"/>
            </w:r>
          </w:hyperlink>
        </w:p>
        <w:p w14:paraId="3F29CE2C"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48" w:history="1">
            <w:r w:rsidRPr="0024165C">
              <w:rPr>
                <w:rStyle w:val="Hyperlink"/>
                <w:rFonts w:ascii="Arial" w:hAnsi="Arial" w:cs="Arial"/>
                <w:noProof/>
                <w:lang w:val="en-GB"/>
              </w:rPr>
              <w:t>Task 2 - Mind Map</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_Toc236126848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6</w:t>
            </w:r>
            <w:r w:rsidRPr="0024165C">
              <w:rPr>
                <w:rFonts w:ascii="Arial" w:hAnsi="Arial" w:cs="Arial"/>
                <w:noProof/>
                <w:webHidden/>
              </w:rPr>
              <w:fldChar w:fldCharType="end"/>
            </w:r>
          </w:hyperlink>
        </w:p>
        <w:p w14:paraId="41D746C6"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49" w:history="1">
            <w:r w:rsidRPr="0024165C">
              <w:rPr>
                <w:rStyle w:val="Hyperlink"/>
                <w:rFonts w:ascii="Arial" w:hAnsi="Arial" w:cs="Arial"/>
                <w:noProof/>
                <w:lang w:val="en-GB"/>
              </w:rPr>
              <w:t>Task 3 - Self-Reflection of Group Activity</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_Toc236126849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7</w:t>
            </w:r>
            <w:r w:rsidRPr="0024165C">
              <w:rPr>
                <w:rFonts w:ascii="Arial" w:hAnsi="Arial" w:cs="Arial"/>
                <w:noProof/>
                <w:webHidden/>
              </w:rPr>
              <w:fldChar w:fldCharType="end"/>
            </w:r>
          </w:hyperlink>
        </w:p>
        <w:p w14:paraId="7AC2FD22"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50" w:history="1">
            <w:r w:rsidRPr="0024165C">
              <w:rPr>
                <w:rStyle w:val="Hyperlink"/>
                <w:rFonts w:ascii="Arial" w:hAnsi="Arial" w:cs="Arial"/>
                <w:noProof/>
                <w:lang w:val="en-GB"/>
              </w:rPr>
              <w:t>Task 4 - Case Study Analysis of a UK Innovation</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_Toc236126850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8</w:t>
            </w:r>
            <w:r w:rsidRPr="0024165C">
              <w:rPr>
                <w:rFonts w:ascii="Arial" w:hAnsi="Arial" w:cs="Arial"/>
                <w:noProof/>
                <w:webHidden/>
              </w:rPr>
              <w:fldChar w:fldCharType="end"/>
            </w:r>
          </w:hyperlink>
        </w:p>
        <w:p w14:paraId="2575EE13"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51" w:history="1">
            <w:r w:rsidRPr="0024165C">
              <w:rPr>
                <w:rStyle w:val="Hyperlink"/>
                <w:rFonts w:ascii="Arial" w:hAnsi="Arial" w:cs="Arial"/>
                <w:noProof/>
                <w:lang w:val="en-GB"/>
              </w:rPr>
              <w:t>Task 5 - Research Task</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_Toc236126851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9</w:t>
            </w:r>
            <w:r w:rsidRPr="0024165C">
              <w:rPr>
                <w:rFonts w:ascii="Arial" w:hAnsi="Arial" w:cs="Arial"/>
                <w:noProof/>
                <w:webHidden/>
              </w:rPr>
              <w:fldChar w:fldCharType="end"/>
            </w:r>
          </w:hyperlink>
        </w:p>
        <w:p w14:paraId="383B17F5"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52" w:history="1">
            <w:r w:rsidRPr="0024165C">
              <w:rPr>
                <w:rStyle w:val="Hyperlink"/>
                <w:rFonts w:ascii="Arial" w:hAnsi="Arial" w:cs="Arial"/>
                <w:noProof/>
                <w:lang w:val="en-GB"/>
              </w:rPr>
              <w:t>Task 6 – Exploring Digital Innovation</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_Toc236126852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10</w:t>
            </w:r>
            <w:r w:rsidRPr="0024165C">
              <w:rPr>
                <w:rFonts w:ascii="Arial" w:hAnsi="Arial" w:cs="Arial"/>
                <w:noProof/>
                <w:webHidden/>
              </w:rPr>
              <w:fldChar w:fldCharType="end"/>
            </w:r>
          </w:hyperlink>
        </w:p>
        <w:p w14:paraId="4E12EFAA"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53" w:history="1">
            <w:r w:rsidRPr="0024165C">
              <w:rPr>
                <w:rStyle w:val="Hyperlink"/>
                <w:rFonts w:ascii="Arial" w:hAnsi="Arial" w:cs="Arial"/>
                <w:noProof/>
                <w:lang w:val="en-GB"/>
              </w:rPr>
              <w:t>Task 7 – Understanding the NHS Leadership Framework</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_Toc236126853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12</w:t>
            </w:r>
            <w:r w:rsidRPr="0024165C">
              <w:rPr>
                <w:rFonts w:ascii="Arial" w:hAnsi="Arial" w:cs="Arial"/>
                <w:noProof/>
                <w:webHidden/>
              </w:rPr>
              <w:fldChar w:fldCharType="end"/>
            </w:r>
          </w:hyperlink>
        </w:p>
        <w:p w14:paraId="4781288B"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54" w:history="1">
            <w:r w:rsidRPr="0024165C">
              <w:rPr>
                <w:rStyle w:val="Hyperlink"/>
                <w:rFonts w:ascii="Arial" w:hAnsi="Arial" w:cs="Arial"/>
                <w:noProof/>
                <w:lang w:val="en-GB"/>
              </w:rPr>
              <w:t>Task 8 – Self-Reflection Journal Entry</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_Toc236126854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13</w:t>
            </w:r>
            <w:r w:rsidRPr="0024165C">
              <w:rPr>
                <w:rFonts w:ascii="Arial" w:hAnsi="Arial" w:cs="Arial"/>
                <w:noProof/>
                <w:webHidden/>
              </w:rPr>
              <w:fldChar w:fldCharType="end"/>
            </w:r>
          </w:hyperlink>
        </w:p>
        <w:p w14:paraId="40FD49E4"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55" w:history="1">
            <w:r w:rsidRPr="0024165C">
              <w:rPr>
                <w:rStyle w:val="Hyperlink"/>
                <w:rFonts w:ascii="Arial" w:hAnsi="Arial" w:cs="Arial"/>
                <w:noProof/>
                <w:lang w:val="en-GB"/>
              </w:rPr>
              <w:t>Conclusion</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_Toc236126855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14</w:t>
            </w:r>
            <w:r w:rsidRPr="0024165C">
              <w:rPr>
                <w:rFonts w:ascii="Arial" w:hAnsi="Arial" w:cs="Arial"/>
                <w:noProof/>
                <w:webHidden/>
              </w:rPr>
              <w:fldChar w:fldCharType="end"/>
            </w:r>
          </w:hyperlink>
        </w:p>
        <w:p w14:paraId="50089129" w14:textId="77777777" w:rsidR="00414C87" w:rsidRPr="0024165C" w:rsidRDefault="00414C87">
          <w:pPr>
            <w:pStyle w:val="TOC1"/>
            <w:tabs>
              <w:tab w:val="right" w:leader="dot" w:pos="9350"/>
            </w:tabs>
            <w:rPr>
              <w:rFonts w:ascii="Arial" w:eastAsiaTheme="minorEastAsia" w:hAnsi="Arial" w:cs="Arial"/>
              <w:noProof/>
              <w:sz w:val="22"/>
              <w:szCs w:val="22"/>
              <w:lang w:val="en-IN" w:eastAsia="en-IN"/>
            </w:rPr>
          </w:pPr>
          <w:hyperlink w:anchor="_Toc236126856" w:history="1">
            <w:r w:rsidRPr="0024165C">
              <w:rPr>
                <w:rStyle w:val="Hyperlink"/>
                <w:rFonts w:ascii="Arial" w:hAnsi="Arial" w:cs="Arial"/>
                <w:noProof/>
                <w:lang w:val="en-GB"/>
              </w:rPr>
              <w:t>Reference List</w:t>
            </w:r>
            <w:r w:rsidRPr="0024165C">
              <w:rPr>
                <w:rFonts w:ascii="Arial" w:hAnsi="Arial" w:cs="Arial"/>
                <w:noProof/>
                <w:webHidden/>
              </w:rPr>
              <w:tab/>
            </w:r>
            <w:r w:rsidRPr="0024165C">
              <w:rPr>
                <w:rFonts w:ascii="Arial" w:hAnsi="Arial" w:cs="Arial"/>
                <w:noProof/>
                <w:webHidden/>
              </w:rPr>
              <w:fldChar w:fldCharType="begin"/>
            </w:r>
            <w:r w:rsidRPr="0024165C">
              <w:rPr>
                <w:rFonts w:ascii="Arial" w:hAnsi="Arial" w:cs="Arial"/>
                <w:noProof/>
                <w:webHidden/>
              </w:rPr>
              <w:instrText xml:space="preserve"> PAGEREF _Toc236126856 \h </w:instrText>
            </w:r>
            <w:r w:rsidRPr="0024165C">
              <w:rPr>
                <w:rFonts w:ascii="Arial" w:hAnsi="Arial" w:cs="Arial"/>
                <w:noProof/>
                <w:webHidden/>
              </w:rPr>
            </w:r>
            <w:r w:rsidRPr="0024165C">
              <w:rPr>
                <w:rFonts w:ascii="Arial" w:hAnsi="Arial" w:cs="Arial"/>
                <w:noProof/>
                <w:webHidden/>
              </w:rPr>
              <w:fldChar w:fldCharType="separate"/>
            </w:r>
            <w:r w:rsidRPr="0024165C">
              <w:rPr>
                <w:rFonts w:ascii="Arial" w:hAnsi="Arial" w:cs="Arial"/>
                <w:noProof/>
                <w:webHidden/>
              </w:rPr>
              <w:t>15</w:t>
            </w:r>
            <w:r w:rsidRPr="0024165C">
              <w:rPr>
                <w:rFonts w:ascii="Arial" w:hAnsi="Arial" w:cs="Arial"/>
                <w:noProof/>
                <w:webHidden/>
              </w:rPr>
              <w:fldChar w:fldCharType="end"/>
            </w:r>
          </w:hyperlink>
        </w:p>
        <w:p w14:paraId="73B5A9DC" w14:textId="77777777" w:rsidR="006F2C1F" w:rsidRPr="0024165C" w:rsidRDefault="006F2C1F" w:rsidP="00877128">
          <w:pPr>
            <w:rPr>
              <w:rFonts w:ascii="Arial" w:hAnsi="Arial" w:cs="Arial"/>
            </w:rPr>
          </w:pPr>
          <w:r w:rsidRPr="0024165C">
            <w:rPr>
              <w:rFonts w:ascii="Arial" w:hAnsi="Arial" w:cs="Arial"/>
              <w:b/>
              <w:bCs/>
              <w:noProof/>
            </w:rPr>
            <w:fldChar w:fldCharType="end"/>
          </w:r>
        </w:p>
      </w:sdtContent>
    </w:sdt>
    <w:p w14:paraId="1B424034" w14:textId="77777777" w:rsidR="007000BE" w:rsidRPr="0024165C" w:rsidRDefault="007000BE">
      <w:pPr>
        <w:rPr>
          <w:rFonts w:ascii="Arial" w:hAnsi="Arial" w:cs="Arial"/>
          <w:b/>
          <w:bCs/>
          <w:sz w:val="28"/>
          <w:szCs w:val="28"/>
          <w:lang w:val="en-GB"/>
        </w:rPr>
      </w:pPr>
      <w:r w:rsidRPr="0024165C">
        <w:rPr>
          <w:rFonts w:ascii="Arial" w:hAnsi="Arial" w:cs="Arial"/>
          <w:lang w:val="en-GB"/>
        </w:rPr>
        <w:br w:type="page"/>
      </w:r>
    </w:p>
    <w:p w14:paraId="57A5D84A" w14:textId="77777777" w:rsidR="006F3B02" w:rsidRPr="0024165C" w:rsidRDefault="00431692">
      <w:pPr>
        <w:pStyle w:val="Heading1"/>
        <w:rPr>
          <w:rFonts w:ascii="Arial" w:hAnsi="Arial" w:cs="Arial"/>
          <w:lang w:val="en-GB"/>
        </w:rPr>
      </w:pPr>
      <w:bookmarkStart w:id="1" w:name="_Toc236126846"/>
      <w:r w:rsidRPr="0024165C">
        <w:rPr>
          <w:rFonts w:ascii="Arial" w:hAnsi="Arial" w:cs="Arial"/>
          <w:lang w:val="en-GB"/>
        </w:rPr>
        <w:t>Introduction</w:t>
      </w:r>
      <w:bookmarkEnd w:id="1"/>
    </w:p>
    <w:p w14:paraId="10678114" w14:textId="77777777" w:rsidR="006F3B02" w:rsidRPr="0024165C" w:rsidRDefault="00431692">
      <w:pPr>
        <w:rPr>
          <w:rFonts w:ascii="Arial" w:hAnsi="Arial" w:cs="Arial"/>
          <w:lang w:val="en-GB"/>
        </w:rPr>
      </w:pPr>
      <w:r w:rsidRPr="0024165C">
        <w:rPr>
          <w:rFonts w:ascii="Arial" w:hAnsi="Arial" w:cs="Arial"/>
          <w:lang w:val="en-GB"/>
        </w:rPr>
        <w:t>This portfolio will address the interrelated themes of innovation, creativity, value creation, and change in health and social care practice. Each task shows the application of theoretical models and practical examples of health and social care practice in the NHS and in the UK social care system to problems such as long waits, stress among staff, and digital transformation. The portfolio will apply the theories of innovation as proposed by Rogers' Diffusion of Innovation model and the creativity theory as proposed by Amabile and the NHS Leadership Framework.</w:t>
      </w:r>
    </w:p>
    <w:p w14:paraId="6DCF88D8" w14:textId="77777777" w:rsidR="0036225C" w:rsidRPr="0024165C" w:rsidRDefault="0036225C">
      <w:pPr>
        <w:rPr>
          <w:rFonts w:ascii="Arial" w:hAnsi="Arial" w:cs="Arial"/>
          <w:b/>
          <w:bCs/>
          <w:sz w:val="28"/>
          <w:szCs w:val="28"/>
          <w:lang w:val="en-GB"/>
        </w:rPr>
      </w:pPr>
      <w:bookmarkStart w:id="2" w:name="_ywamg54fj9sh" w:colFirst="0" w:colLast="0"/>
      <w:bookmarkEnd w:id="2"/>
      <w:r w:rsidRPr="0024165C">
        <w:rPr>
          <w:rFonts w:ascii="Arial" w:hAnsi="Arial" w:cs="Arial"/>
          <w:lang w:val="en-GB"/>
        </w:rPr>
        <w:br w:type="page"/>
      </w:r>
    </w:p>
    <w:p w14:paraId="4DC1C998" w14:textId="77777777" w:rsidR="006F3B02" w:rsidRPr="0024165C" w:rsidRDefault="00431692">
      <w:pPr>
        <w:pStyle w:val="Heading1"/>
        <w:rPr>
          <w:rFonts w:ascii="Arial" w:hAnsi="Arial" w:cs="Arial"/>
          <w:lang w:val="en-GB"/>
        </w:rPr>
      </w:pPr>
      <w:bookmarkStart w:id="3" w:name="_Toc236126847"/>
      <w:r w:rsidRPr="0024165C">
        <w:rPr>
          <w:rFonts w:ascii="Arial" w:hAnsi="Arial" w:cs="Arial"/>
          <w:lang w:val="en-GB"/>
        </w:rPr>
        <w:t>Task 1- Defining Key Concepts in Practice</w:t>
      </w:r>
      <w:bookmarkEnd w:id="3"/>
    </w:p>
    <w:p w14:paraId="1E5FA144" w14:textId="77777777" w:rsidR="006F3B02" w:rsidRPr="0024165C" w:rsidRDefault="00431692">
      <w:pPr>
        <w:rPr>
          <w:rFonts w:ascii="Arial" w:hAnsi="Arial" w:cs="Arial"/>
          <w:b/>
          <w:bCs/>
          <w:lang w:val="en-GB"/>
        </w:rPr>
      </w:pPr>
      <w:r w:rsidRPr="0024165C">
        <w:rPr>
          <w:rFonts w:ascii="Arial" w:hAnsi="Arial" w:cs="Arial"/>
          <w:b/>
          <w:bCs/>
          <w:lang w:val="en-GB"/>
        </w:rPr>
        <w:t>Innovation</w:t>
      </w:r>
    </w:p>
    <w:p w14:paraId="55BA6766" w14:textId="77777777" w:rsidR="006F3B02" w:rsidRPr="0024165C" w:rsidRDefault="00431692">
      <w:pPr>
        <w:rPr>
          <w:rFonts w:ascii="Arial" w:hAnsi="Arial" w:cs="Arial"/>
          <w:lang w:val="en-GB"/>
        </w:rPr>
      </w:pPr>
      <w:r w:rsidRPr="0024165C">
        <w:rPr>
          <w:rFonts w:ascii="Arial" w:hAnsi="Arial" w:cs="Arial"/>
          <w:lang w:val="en-GB"/>
        </w:rPr>
        <w:t xml:space="preserve">Innovation can simply be described as the process of introducing new ideas, methods, or technologies, which help to improve current practices (Iyanna </w:t>
      </w:r>
      <w:r w:rsidRPr="0024165C">
        <w:rPr>
          <w:rFonts w:ascii="Arial" w:hAnsi="Arial" w:cs="Arial"/>
          <w:i/>
          <w:iCs/>
          <w:lang w:val="en-GB"/>
        </w:rPr>
        <w:t>et al.</w:t>
      </w:r>
      <w:r w:rsidRPr="0024165C">
        <w:rPr>
          <w:rFonts w:ascii="Arial" w:hAnsi="Arial" w:cs="Arial"/>
          <w:lang w:val="en-GB"/>
        </w:rPr>
        <w:t xml:space="preserve">, 2022). Innovations are necessary within the context of health and social care in order to solve problems associated with the system, such as high demand and limited resources. For instance, the innovation adopted by the NHS known as virtual wards helps to monitor patients virtually and hence decrease hospitalisations. </w:t>
      </w:r>
      <w:r w:rsidRPr="0024165C">
        <w:rPr>
          <w:rFonts w:ascii="Arial" w:hAnsi="Arial" w:cs="Arial"/>
          <w:b/>
          <w:bCs/>
          <w:lang w:val="en-GB"/>
        </w:rPr>
        <w:t>The theory of diffusion of innovation</w:t>
      </w:r>
      <w:r w:rsidRPr="0024165C">
        <w:rPr>
          <w:rFonts w:ascii="Arial" w:hAnsi="Arial" w:cs="Arial"/>
          <w:lang w:val="en-GB"/>
        </w:rPr>
        <w:t xml:space="preserve"> by Rogers describes the process by which such technologies are gradually adopted by organisations as useful and easy-to-use.</w:t>
      </w:r>
    </w:p>
    <w:p w14:paraId="6B1D88A5" w14:textId="77777777" w:rsidR="006F3B02" w:rsidRPr="0024165C" w:rsidRDefault="00431692">
      <w:pPr>
        <w:rPr>
          <w:rFonts w:ascii="Arial" w:hAnsi="Arial" w:cs="Arial"/>
          <w:b/>
          <w:bCs/>
          <w:lang w:val="en-GB"/>
        </w:rPr>
      </w:pPr>
      <w:r w:rsidRPr="0024165C">
        <w:rPr>
          <w:rFonts w:ascii="Arial" w:hAnsi="Arial" w:cs="Arial"/>
          <w:b/>
          <w:bCs/>
          <w:lang w:val="en-GB"/>
        </w:rPr>
        <w:t>Creativity</w:t>
      </w:r>
    </w:p>
    <w:p w14:paraId="671024EA" w14:textId="77777777" w:rsidR="006F3B02" w:rsidRPr="0024165C" w:rsidRDefault="00431692">
      <w:pPr>
        <w:rPr>
          <w:rFonts w:ascii="Arial" w:hAnsi="Arial" w:cs="Arial"/>
          <w:lang w:val="en-GB"/>
        </w:rPr>
      </w:pPr>
      <w:r w:rsidRPr="0024165C">
        <w:rPr>
          <w:rFonts w:ascii="Arial" w:hAnsi="Arial" w:cs="Arial"/>
          <w:lang w:val="en-GB"/>
        </w:rPr>
        <w:t xml:space="preserve">Creativity can be defined as the generation of innovative and practical ideas via the interaction of knowledge, skills, and motivation. In accordance with </w:t>
      </w:r>
      <w:r w:rsidRPr="0024165C">
        <w:rPr>
          <w:rFonts w:ascii="Arial" w:hAnsi="Arial" w:cs="Arial"/>
          <w:b/>
          <w:bCs/>
          <w:lang w:val="en-GB"/>
        </w:rPr>
        <w:t>Amabile’s Componential Theory of Creativity</w:t>
      </w:r>
      <w:r w:rsidRPr="0024165C">
        <w:rPr>
          <w:rFonts w:ascii="Arial" w:hAnsi="Arial" w:cs="Arial"/>
          <w:lang w:val="en-GB"/>
        </w:rPr>
        <w:t>, creativity emerges due to the fact that individuals possess both internal motivation and external motivational context (Amabile and Mueller, 2024). The application of creativity includes the creation of patient-centred ideas like community health campaigns with effective communication.</w:t>
      </w:r>
    </w:p>
    <w:p w14:paraId="71651253" w14:textId="77777777" w:rsidR="006F3B02" w:rsidRPr="0024165C" w:rsidRDefault="00431692">
      <w:pPr>
        <w:rPr>
          <w:rFonts w:ascii="Arial" w:hAnsi="Arial" w:cs="Arial"/>
          <w:b/>
          <w:bCs/>
          <w:lang w:val="en-GB"/>
        </w:rPr>
      </w:pPr>
      <w:r w:rsidRPr="0024165C">
        <w:rPr>
          <w:rFonts w:ascii="Arial" w:hAnsi="Arial" w:cs="Arial"/>
          <w:b/>
          <w:bCs/>
          <w:lang w:val="en-GB"/>
        </w:rPr>
        <w:t xml:space="preserve">Value creation </w:t>
      </w:r>
    </w:p>
    <w:p w14:paraId="4D7CFAE1" w14:textId="77777777" w:rsidR="006F3B02" w:rsidRPr="0024165C" w:rsidRDefault="00431692">
      <w:pPr>
        <w:rPr>
          <w:rFonts w:ascii="Arial" w:hAnsi="Arial" w:cs="Arial"/>
          <w:lang w:val="en-GB"/>
        </w:rPr>
      </w:pPr>
      <w:r w:rsidRPr="0024165C">
        <w:rPr>
          <w:rFonts w:ascii="Arial" w:hAnsi="Arial" w:cs="Arial"/>
          <w:lang w:val="en-GB"/>
        </w:rPr>
        <w:t xml:space="preserve">The concept of value creation in healthcare involves providing value to the patients by ensuring better results at a reduced cost of provision of services. As stated by Alalääkkölä </w:t>
      </w:r>
      <w:r w:rsidRPr="0024165C">
        <w:rPr>
          <w:rFonts w:ascii="Arial" w:hAnsi="Arial" w:cs="Arial"/>
          <w:i/>
          <w:iCs/>
          <w:lang w:val="en-GB"/>
        </w:rPr>
        <w:t>et al.,</w:t>
      </w:r>
      <w:r w:rsidRPr="0024165C">
        <w:rPr>
          <w:rFonts w:ascii="Arial" w:hAnsi="Arial" w:cs="Arial"/>
          <w:lang w:val="en-GB"/>
        </w:rPr>
        <w:t xml:space="preserve"> (2023), value is said to be created in situations where there is an improvement in quality of life as well as being cost-effective. For example, the NHS has been able to ensure efficient care pathways which minimise duplicate services and increase recovery rates.</w:t>
      </w:r>
    </w:p>
    <w:p w14:paraId="4EB165F9" w14:textId="77777777" w:rsidR="006F3B02" w:rsidRPr="0024165C" w:rsidRDefault="00431692">
      <w:pPr>
        <w:rPr>
          <w:rFonts w:ascii="Arial" w:hAnsi="Arial" w:cs="Arial"/>
          <w:b/>
          <w:bCs/>
          <w:lang w:val="en-GB"/>
        </w:rPr>
      </w:pPr>
      <w:r w:rsidRPr="0024165C">
        <w:rPr>
          <w:rFonts w:ascii="Arial" w:hAnsi="Arial" w:cs="Arial"/>
          <w:b/>
          <w:bCs/>
          <w:lang w:val="en-GB"/>
        </w:rPr>
        <w:t>Change</w:t>
      </w:r>
      <w:r w:rsidRPr="0024165C">
        <w:rPr>
          <w:rFonts w:ascii="Arial" w:hAnsi="Arial" w:cs="Arial"/>
          <w:lang w:val="en-GB"/>
        </w:rPr>
        <w:t xml:space="preserve"> </w:t>
      </w:r>
    </w:p>
    <w:p w14:paraId="06A1F24E" w14:textId="77777777" w:rsidR="006F3B02" w:rsidRPr="0024165C" w:rsidRDefault="00431692">
      <w:pPr>
        <w:rPr>
          <w:rFonts w:ascii="Arial" w:hAnsi="Arial" w:cs="Arial"/>
          <w:lang w:val="en-GB"/>
        </w:rPr>
      </w:pPr>
      <w:r w:rsidRPr="0024165C">
        <w:rPr>
          <w:rFonts w:ascii="Arial" w:hAnsi="Arial" w:cs="Arial"/>
          <w:lang w:val="en-GB"/>
        </w:rPr>
        <w:t xml:space="preserve">Change is defined as the shift from the existing process to better practices. As suggested in the </w:t>
      </w:r>
      <w:r w:rsidRPr="0024165C">
        <w:rPr>
          <w:rFonts w:ascii="Arial" w:hAnsi="Arial" w:cs="Arial"/>
          <w:b/>
          <w:bCs/>
          <w:lang w:val="en-GB"/>
        </w:rPr>
        <w:t>Change Management Model by Lewin</w:t>
      </w:r>
      <w:r w:rsidRPr="0024165C">
        <w:rPr>
          <w:rFonts w:ascii="Arial" w:hAnsi="Arial" w:cs="Arial"/>
          <w:lang w:val="en-GB"/>
        </w:rPr>
        <w:t xml:space="preserve">, change occurs in three different stages, which include unfreezing, introducing new behaviours, and refreezing (Rosdiana and Aslami, 2022). In health and social care services, change is essential in addressing the changing needs and challenges. For example, the adoption of electronic health records as opposed to manual ones is the best example of change in healthcare, which enhances communication with patients and safety. </w:t>
      </w:r>
    </w:p>
    <w:p w14:paraId="0DD93C95" w14:textId="77777777" w:rsidR="0036225C" w:rsidRPr="0024165C" w:rsidRDefault="0036225C">
      <w:pPr>
        <w:rPr>
          <w:rFonts w:ascii="Arial" w:hAnsi="Arial" w:cs="Arial"/>
          <w:b/>
          <w:bCs/>
          <w:sz w:val="28"/>
          <w:szCs w:val="28"/>
          <w:lang w:val="en-GB"/>
        </w:rPr>
      </w:pPr>
      <w:bookmarkStart w:id="4" w:name="_6wxiyq2qox80" w:colFirst="0" w:colLast="0"/>
      <w:bookmarkEnd w:id="4"/>
      <w:r w:rsidRPr="0024165C">
        <w:rPr>
          <w:rFonts w:ascii="Arial" w:hAnsi="Arial" w:cs="Arial"/>
          <w:lang w:val="en-GB"/>
        </w:rPr>
        <w:br w:type="page"/>
      </w:r>
    </w:p>
    <w:p w14:paraId="61F5D3FA" w14:textId="77777777" w:rsidR="006F3B02" w:rsidRPr="0024165C" w:rsidRDefault="00431692">
      <w:pPr>
        <w:pStyle w:val="Heading1"/>
        <w:rPr>
          <w:rFonts w:ascii="Arial" w:hAnsi="Arial" w:cs="Arial"/>
          <w:lang w:val="en-GB"/>
        </w:rPr>
      </w:pPr>
      <w:bookmarkStart w:id="5" w:name="_Toc236126848"/>
      <w:r w:rsidRPr="0024165C">
        <w:rPr>
          <w:rFonts w:ascii="Arial" w:hAnsi="Arial" w:cs="Arial"/>
          <w:lang w:val="en-GB"/>
        </w:rPr>
        <w:t>Task 2 - Mind Map</w:t>
      </w:r>
      <w:bookmarkEnd w:id="5"/>
    </w:p>
    <w:p w14:paraId="2ED21256" w14:textId="77777777" w:rsidR="006F3B02" w:rsidRPr="0024165C" w:rsidRDefault="00431692">
      <w:pPr>
        <w:jc w:val="center"/>
        <w:rPr>
          <w:rFonts w:ascii="Arial" w:hAnsi="Arial" w:cs="Arial"/>
          <w:lang w:val="en-GB"/>
        </w:rPr>
      </w:pPr>
      <w:r w:rsidRPr="0024165C">
        <w:rPr>
          <w:rFonts w:ascii="Arial" w:hAnsi="Arial" w:cs="Arial"/>
          <w:noProof/>
          <w:lang w:val="en-GB" w:eastAsia="en-IN"/>
        </w:rPr>
        <w:drawing>
          <wp:inline distT="114300" distB="114300" distL="114300" distR="114300" wp14:anchorId="34D5F83D" wp14:editId="0FA10957">
            <wp:extent cx="5200650" cy="30480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200650" cy="3048000"/>
                    </a:xfrm>
                    <a:prstGeom prst="rect">
                      <a:avLst/>
                    </a:prstGeom>
                    <a:ln w="12700">
                      <a:solidFill>
                        <a:srgbClr val="000000"/>
                      </a:solidFill>
                      <a:prstDash val="solid"/>
                    </a:ln>
                  </pic:spPr>
                </pic:pic>
              </a:graphicData>
            </a:graphic>
          </wp:inline>
        </w:drawing>
      </w:r>
    </w:p>
    <w:p w14:paraId="4C163207" w14:textId="77777777" w:rsidR="006F3B02" w:rsidRPr="0024165C" w:rsidRDefault="00431692">
      <w:pPr>
        <w:jc w:val="center"/>
        <w:rPr>
          <w:rFonts w:ascii="Arial" w:hAnsi="Arial" w:cs="Arial"/>
          <w:b/>
          <w:bCs/>
          <w:lang w:val="en-GB"/>
        </w:rPr>
      </w:pPr>
      <w:r w:rsidRPr="0024165C">
        <w:rPr>
          <w:rFonts w:ascii="Arial" w:hAnsi="Arial" w:cs="Arial"/>
          <w:b/>
          <w:bCs/>
          <w:lang w:val="en-GB"/>
        </w:rPr>
        <w:t>Figure: Mind Map</w:t>
      </w:r>
    </w:p>
    <w:p w14:paraId="0A8A06A5" w14:textId="77777777" w:rsidR="006F3B02" w:rsidRPr="0024165C" w:rsidRDefault="00431692">
      <w:pPr>
        <w:jc w:val="center"/>
        <w:rPr>
          <w:rFonts w:ascii="Arial" w:hAnsi="Arial" w:cs="Arial"/>
          <w:lang w:val="en-GB"/>
        </w:rPr>
      </w:pPr>
      <w:r w:rsidRPr="0024165C">
        <w:rPr>
          <w:rFonts w:ascii="Arial" w:hAnsi="Arial" w:cs="Arial"/>
          <w:lang w:val="en-GB"/>
        </w:rPr>
        <w:t xml:space="preserve">(Source: Author) </w:t>
      </w:r>
    </w:p>
    <w:p w14:paraId="6C2DA215" w14:textId="77777777" w:rsidR="006F3B02" w:rsidRPr="0024165C" w:rsidRDefault="00431692">
      <w:pPr>
        <w:rPr>
          <w:rFonts w:ascii="Arial" w:hAnsi="Arial" w:cs="Arial"/>
          <w:lang w:val="en-GB"/>
        </w:rPr>
      </w:pPr>
      <w:r w:rsidRPr="0024165C">
        <w:rPr>
          <w:rFonts w:ascii="Arial" w:hAnsi="Arial" w:cs="Arial"/>
          <w:color w:val="0E101A"/>
          <w:lang w:val="en-GB"/>
        </w:rPr>
        <w:t xml:space="preserve">The health and social care problems associated with the UK are many, including the </w:t>
      </w:r>
      <w:r w:rsidRPr="0024165C">
        <w:rPr>
          <w:rFonts w:ascii="Arial" w:hAnsi="Arial" w:cs="Arial"/>
          <w:b/>
          <w:bCs/>
          <w:color w:val="0E101A"/>
          <w:lang w:val="en-GB"/>
        </w:rPr>
        <w:t>long waiting times</w:t>
      </w:r>
      <w:r w:rsidRPr="0024165C">
        <w:rPr>
          <w:rFonts w:ascii="Arial" w:hAnsi="Arial" w:cs="Arial"/>
          <w:color w:val="0E101A"/>
          <w:lang w:val="en-GB"/>
        </w:rPr>
        <w:t xml:space="preserve"> in the NHS system, especially at its emergency departments. This is a critical issue because it threatens the health of the patients, brings dissatisfaction to people, and causes stress for the health care professionals (Limiri, 2025). From the mind map, it is clear that some of the interrelated causes of this problem include understaffing, high demand for health care services, and inadequate triage. The overcrowding in the hospitals, the health of the patients being affected and stress for the health care professionals are some of the effects of this problem. Shin </w:t>
      </w:r>
      <w:r w:rsidRPr="0024165C">
        <w:rPr>
          <w:rFonts w:ascii="Arial" w:hAnsi="Arial" w:cs="Arial"/>
          <w:i/>
          <w:iCs/>
          <w:color w:val="0E101A"/>
          <w:lang w:val="en-GB"/>
        </w:rPr>
        <w:t xml:space="preserve">et al., </w:t>
      </w:r>
      <w:r w:rsidRPr="0024165C">
        <w:rPr>
          <w:rFonts w:ascii="Arial" w:hAnsi="Arial" w:cs="Arial"/>
          <w:color w:val="0E101A"/>
          <w:lang w:val="en-GB"/>
        </w:rPr>
        <w:t xml:space="preserve">(2023) suggested that one of the ways of addressing this issue was through the implementation of an electronic triaging process and employing more workers. Disregarding this health problem will worsen the situation. A </w:t>
      </w:r>
      <w:r w:rsidRPr="0024165C">
        <w:rPr>
          <w:rFonts w:ascii="Arial" w:hAnsi="Arial" w:cs="Arial"/>
          <w:b/>
          <w:bCs/>
          <w:color w:val="0E101A"/>
          <w:lang w:val="en-GB"/>
        </w:rPr>
        <w:t>systems thinking approach</w:t>
      </w:r>
      <w:r w:rsidRPr="0024165C">
        <w:rPr>
          <w:rFonts w:ascii="Arial" w:hAnsi="Arial" w:cs="Arial"/>
          <w:color w:val="0E101A"/>
          <w:lang w:val="en-GB"/>
        </w:rPr>
        <w:t xml:space="preserve"> would be useful in understanding the connections between these variables. </w:t>
      </w:r>
    </w:p>
    <w:p w14:paraId="2DAFFE09" w14:textId="77777777" w:rsidR="0036225C" w:rsidRPr="0024165C" w:rsidRDefault="0036225C">
      <w:pPr>
        <w:rPr>
          <w:rFonts w:ascii="Arial" w:hAnsi="Arial" w:cs="Arial"/>
          <w:b/>
          <w:bCs/>
          <w:sz w:val="28"/>
          <w:szCs w:val="28"/>
          <w:lang w:val="en-GB"/>
        </w:rPr>
      </w:pPr>
      <w:bookmarkStart w:id="6" w:name="_amhumom77sg6" w:colFirst="0" w:colLast="0"/>
      <w:bookmarkEnd w:id="6"/>
      <w:r w:rsidRPr="0024165C">
        <w:rPr>
          <w:rFonts w:ascii="Arial" w:hAnsi="Arial" w:cs="Arial"/>
          <w:lang w:val="en-GB"/>
        </w:rPr>
        <w:br w:type="page"/>
      </w:r>
    </w:p>
    <w:p w14:paraId="53B1633B" w14:textId="77777777" w:rsidR="006F3B02" w:rsidRPr="0024165C" w:rsidRDefault="00431692">
      <w:pPr>
        <w:pStyle w:val="Heading1"/>
        <w:rPr>
          <w:rFonts w:ascii="Arial" w:hAnsi="Arial" w:cs="Arial"/>
          <w:lang w:val="en-GB"/>
        </w:rPr>
      </w:pPr>
      <w:bookmarkStart w:id="7" w:name="_Toc236126849"/>
      <w:r w:rsidRPr="0024165C">
        <w:rPr>
          <w:rFonts w:ascii="Arial" w:hAnsi="Arial" w:cs="Arial"/>
          <w:lang w:val="en-GB"/>
        </w:rPr>
        <w:t>Task 3 - Self-Reflection of Group Activity</w:t>
      </w:r>
      <w:bookmarkEnd w:id="7"/>
    </w:p>
    <w:p w14:paraId="57389E9B" w14:textId="77777777" w:rsidR="006F3B02" w:rsidRPr="0024165C" w:rsidRDefault="00431692">
      <w:pPr>
        <w:rPr>
          <w:rFonts w:ascii="Arial" w:hAnsi="Arial" w:cs="Arial"/>
          <w:lang w:val="en-GB"/>
        </w:rPr>
      </w:pPr>
      <w:r w:rsidRPr="0024165C">
        <w:rPr>
          <w:rFonts w:ascii="Arial" w:hAnsi="Arial" w:cs="Arial"/>
          <w:lang w:val="en-GB"/>
        </w:rPr>
        <w:t xml:space="preserve">According to </w:t>
      </w:r>
      <w:r w:rsidRPr="0024165C">
        <w:rPr>
          <w:rFonts w:ascii="Arial" w:hAnsi="Arial" w:cs="Arial"/>
          <w:b/>
          <w:bCs/>
          <w:lang w:val="en-GB"/>
        </w:rPr>
        <w:t>Gibbs’ Reflective Cycle</w:t>
      </w:r>
      <w:r w:rsidRPr="0024165C">
        <w:rPr>
          <w:rFonts w:ascii="Arial" w:hAnsi="Arial" w:cs="Arial"/>
          <w:lang w:val="en-GB"/>
        </w:rPr>
        <w:t xml:space="preserve">, I carried out reflection on the convergent and divergent thinking task. Convergent thinking narrows down to pick the best choice, whereas divergent thinking widens choices by coming up with various creative choices (Ahmadpour </w:t>
      </w:r>
      <w:r w:rsidRPr="0024165C">
        <w:rPr>
          <w:rFonts w:ascii="Arial" w:hAnsi="Arial" w:cs="Arial"/>
          <w:i/>
          <w:iCs/>
          <w:lang w:val="en-GB"/>
        </w:rPr>
        <w:t>et al.,</w:t>
      </w:r>
      <w:r w:rsidRPr="0024165C">
        <w:rPr>
          <w:rFonts w:ascii="Arial" w:hAnsi="Arial" w:cs="Arial"/>
          <w:lang w:val="en-GB"/>
        </w:rPr>
        <w:t xml:space="preserve"> 2025). In our group task, I started by applying divergent thinking and came up with various methods to solve our selected problem. In case the team had difficulty agreeing on any method, I came up with a pros-and-cons list.</w:t>
      </w:r>
    </w:p>
    <w:p w14:paraId="322987C9" w14:textId="77777777" w:rsidR="006F3B02" w:rsidRPr="0024165C" w:rsidRDefault="00431692">
      <w:pPr>
        <w:jc w:val="center"/>
        <w:rPr>
          <w:rFonts w:ascii="Arial" w:hAnsi="Arial" w:cs="Arial"/>
          <w:lang w:val="en-GB"/>
        </w:rPr>
      </w:pPr>
      <w:r w:rsidRPr="0024165C">
        <w:rPr>
          <w:rFonts w:ascii="Arial" w:hAnsi="Arial" w:cs="Arial"/>
          <w:noProof/>
          <w:lang w:val="en-GB" w:eastAsia="en-IN"/>
        </w:rPr>
        <w:drawing>
          <wp:inline distT="114300" distB="114300" distL="114300" distR="114300" wp14:anchorId="2FF00587" wp14:editId="2610EB5B">
            <wp:extent cx="3186113" cy="3198181"/>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3186113" cy="3198181"/>
                    </a:xfrm>
                    <a:prstGeom prst="rect">
                      <a:avLst/>
                    </a:prstGeom>
                    <a:ln w="12700">
                      <a:solidFill>
                        <a:srgbClr val="000000"/>
                      </a:solidFill>
                      <a:prstDash val="solid"/>
                    </a:ln>
                  </pic:spPr>
                </pic:pic>
              </a:graphicData>
            </a:graphic>
          </wp:inline>
        </w:drawing>
      </w:r>
    </w:p>
    <w:p w14:paraId="7E4AFDF0" w14:textId="77777777" w:rsidR="006F3B02" w:rsidRPr="0024165C" w:rsidRDefault="00431692">
      <w:pPr>
        <w:jc w:val="center"/>
        <w:rPr>
          <w:rFonts w:ascii="Arial" w:hAnsi="Arial" w:cs="Arial"/>
          <w:b/>
          <w:bCs/>
          <w:lang w:val="en-GB"/>
        </w:rPr>
      </w:pPr>
      <w:r w:rsidRPr="0024165C">
        <w:rPr>
          <w:rFonts w:ascii="Arial" w:hAnsi="Arial" w:cs="Arial"/>
          <w:b/>
          <w:bCs/>
          <w:lang w:val="en-GB"/>
        </w:rPr>
        <w:t>Figure: Traits of Gibbs’ Reflective Cycle</w:t>
      </w:r>
    </w:p>
    <w:p w14:paraId="1DFCCAD0" w14:textId="77777777" w:rsidR="006F3B02" w:rsidRPr="0024165C" w:rsidRDefault="00431692">
      <w:pPr>
        <w:jc w:val="center"/>
        <w:rPr>
          <w:rFonts w:ascii="Arial" w:hAnsi="Arial" w:cs="Arial"/>
          <w:lang w:val="en-GB"/>
        </w:rPr>
      </w:pPr>
      <w:r w:rsidRPr="0024165C">
        <w:rPr>
          <w:rFonts w:ascii="Arial" w:hAnsi="Arial" w:cs="Arial"/>
          <w:lang w:val="en-GB"/>
        </w:rPr>
        <w:t xml:space="preserve">(Source: Author) </w:t>
      </w:r>
    </w:p>
    <w:p w14:paraId="05FD5353" w14:textId="77777777" w:rsidR="006F3B02" w:rsidRPr="0024165C" w:rsidRDefault="00431692">
      <w:pPr>
        <w:spacing w:after="200"/>
        <w:rPr>
          <w:rFonts w:ascii="Arial" w:hAnsi="Arial" w:cs="Arial"/>
          <w:lang w:val="en-GB"/>
        </w:rPr>
      </w:pPr>
      <w:r w:rsidRPr="0024165C">
        <w:rPr>
          <w:rFonts w:ascii="Arial" w:hAnsi="Arial" w:cs="Arial"/>
          <w:lang w:val="en-GB"/>
        </w:rPr>
        <w:t xml:space="preserve">I realised that I was more comfortable with divergent thinking since I am a person who likes to think creatively. However, I realised that convergent thinking is very important for decision-making and teamwork. Wang </w:t>
      </w:r>
      <w:r w:rsidRPr="0024165C">
        <w:rPr>
          <w:rFonts w:ascii="Arial" w:hAnsi="Arial" w:cs="Arial"/>
          <w:i/>
          <w:iCs/>
          <w:lang w:val="en-GB"/>
        </w:rPr>
        <w:t>et al.,</w:t>
      </w:r>
      <w:r w:rsidRPr="0024165C">
        <w:rPr>
          <w:rFonts w:ascii="Arial" w:hAnsi="Arial" w:cs="Arial"/>
          <w:lang w:val="en-GB"/>
        </w:rPr>
        <w:t xml:space="preserve"> (2023) have narrated that Convergent thinking is significant because it enables us to find the single best answer and make fast decisions. At the same time, I realised my ability to reach group consensus.</w:t>
      </w:r>
    </w:p>
    <w:p w14:paraId="62724EBF" w14:textId="77777777" w:rsidR="006F3B02" w:rsidRPr="0024165C" w:rsidRDefault="00431692">
      <w:pPr>
        <w:spacing w:after="200"/>
        <w:rPr>
          <w:rFonts w:ascii="Arial" w:hAnsi="Arial" w:cs="Arial"/>
          <w:lang w:val="en-GB"/>
        </w:rPr>
      </w:pPr>
      <w:r w:rsidRPr="0024165C">
        <w:rPr>
          <w:rFonts w:ascii="Arial" w:hAnsi="Arial" w:cs="Arial"/>
          <w:lang w:val="en-GB"/>
        </w:rPr>
        <w:t>In future, I should make sure that both methods are balanced and the creative concepts are exhausted before making any further selection. This reflective piece helped me realise that there is a need to have flexible minds when it comes to thinking style and proper communication skills. Using Gibbs' method, I was able to see the strengths and weaknesses in creativity and evaluation.</w:t>
      </w:r>
    </w:p>
    <w:p w14:paraId="5643ED0C" w14:textId="77777777" w:rsidR="006F3B02" w:rsidRPr="0024165C" w:rsidRDefault="00431692">
      <w:pPr>
        <w:pStyle w:val="Heading1"/>
        <w:spacing w:after="200"/>
        <w:rPr>
          <w:rFonts w:ascii="Arial" w:hAnsi="Arial" w:cs="Arial"/>
          <w:lang w:val="en-GB"/>
        </w:rPr>
      </w:pPr>
      <w:bookmarkStart w:id="8" w:name="_tenknr545kan" w:colFirst="0" w:colLast="0"/>
      <w:bookmarkStart w:id="9" w:name="_Toc236126850"/>
      <w:bookmarkEnd w:id="8"/>
      <w:r w:rsidRPr="0024165C">
        <w:rPr>
          <w:rFonts w:ascii="Arial" w:hAnsi="Arial" w:cs="Arial"/>
          <w:lang w:val="en-GB"/>
        </w:rPr>
        <w:t>Task 4 - Case Study Analysis of a UK Innovation</w:t>
      </w:r>
      <w:bookmarkEnd w:id="9"/>
    </w:p>
    <w:p w14:paraId="06E9C246"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 xml:space="preserve">An example of an innovation introduced by the NHS is </w:t>
      </w:r>
      <w:r w:rsidRPr="0024165C">
        <w:rPr>
          <w:rFonts w:ascii="Arial" w:hAnsi="Arial" w:cs="Arial"/>
          <w:b/>
          <w:bCs/>
          <w:color w:val="0E101A"/>
          <w:lang w:val="en-GB"/>
        </w:rPr>
        <w:t>virtual wards</w:t>
      </w:r>
      <w:r w:rsidRPr="0024165C">
        <w:rPr>
          <w:rFonts w:ascii="Arial" w:hAnsi="Arial" w:cs="Arial"/>
          <w:color w:val="0E101A"/>
          <w:lang w:val="en-GB"/>
        </w:rPr>
        <w:t>. The problem was that there was a lack of beds and many admissions, especially because of the pressure brought about by the winter season and the ongoing COVID-19 pandemic (NHS England, 2022). Such patients who were stable but had to be monitored occupied hospital beds.</w:t>
      </w:r>
    </w:p>
    <w:p w14:paraId="50CEB3E5"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 xml:space="preserve">The creative process was enabled through redesigning the inpatient model through the use of remote monitoring technology (Yaghoubi </w:t>
      </w:r>
      <w:r w:rsidRPr="0024165C">
        <w:rPr>
          <w:rFonts w:ascii="Arial" w:hAnsi="Arial" w:cs="Arial"/>
          <w:i/>
          <w:iCs/>
          <w:color w:val="0E101A"/>
          <w:lang w:val="en-GB"/>
        </w:rPr>
        <w:t>et al.</w:t>
      </w:r>
      <w:r w:rsidRPr="0024165C">
        <w:rPr>
          <w:rFonts w:ascii="Arial" w:hAnsi="Arial" w:cs="Arial"/>
          <w:color w:val="0E101A"/>
          <w:lang w:val="en-GB"/>
        </w:rPr>
        <w:t>, 2025). The process was creative because it moved the hospital-based care model to the community setting using technology and personalisation without compromising on safety.</w:t>
      </w:r>
    </w:p>
    <w:p w14:paraId="24D84870"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The impact that was created was considerable. Patients were able to gain the benefits of recovering at home, protection against the threat of infection within the hospital, and enhanced comfort levels. Staff had less pressure on the wards, while the system benefited in terms of being more efficient through bed management and cost savings.</w:t>
      </w:r>
    </w:p>
    <w:p w14:paraId="185FA7EA" w14:textId="77777777" w:rsidR="006F3B02" w:rsidRPr="0024165C" w:rsidRDefault="00431692">
      <w:pPr>
        <w:spacing w:after="200"/>
        <w:rPr>
          <w:rFonts w:ascii="Arial" w:hAnsi="Arial" w:cs="Arial"/>
          <w:color w:val="0E101A"/>
          <w:lang w:val="en-GB"/>
        </w:rPr>
      </w:pPr>
      <w:r w:rsidRPr="0024165C">
        <w:rPr>
          <w:rFonts w:ascii="Arial" w:hAnsi="Arial" w:cs="Arial"/>
          <w:b/>
          <w:bCs/>
          <w:color w:val="0E101A"/>
          <w:lang w:val="en-GB"/>
        </w:rPr>
        <w:t>The theory of diffusion of innovations</w:t>
      </w:r>
      <w:r w:rsidRPr="0024165C">
        <w:rPr>
          <w:rFonts w:ascii="Arial" w:hAnsi="Arial" w:cs="Arial"/>
          <w:color w:val="0E101A"/>
          <w:lang w:val="en-GB"/>
        </w:rPr>
        <w:t xml:space="preserve"> by Rogers offers an insight into how virtual wards gained acceptance since they were viewed as useful, usable, and advantageous for both staff members and patients (Yu, 2022). The concept is scalable to other departments of the NHS, proving how creativity and value creation create sustainable change.</w:t>
      </w:r>
    </w:p>
    <w:p w14:paraId="28B96A77" w14:textId="77777777" w:rsidR="0036225C" w:rsidRPr="0024165C" w:rsidRDefault="0036225C">
      <w:pPr>
        <w:rPr>
          <w:rFonts w:ascii="Arial" w:hAnsi="Arial" w:cs="Arial"/>
          <w:b/>
          <w:bCs/>
          <w:sz w:val="28"/>
          <w:szCs w:val="28"/>
          <w:lang w:val="en-GB"/>
        </w:rPr>
      </w:pPr>
      <w:bookmarkStart w:id="10" w:name="_f1uei8v7zp8z" w:colFirst="0" w:colLast="0"/>
      <w:bookmarkEnd w:id="10"/>
      <w:r w:rsidRPr="0024165C">
        <w:rPr>
          <w:rFonts w:ascii="Arial" w:hAnsi="Arial" w:cs="Arial"/>
          <w:lang w:val="en-GB"/>
        </w:rPr>
        <w:br w:type="page"/>
      </w:r>
    </w:p>
    <w:p w14:paraId="6C362262" w14:textId="77777777" w:rsidR="006F3B02" w:rsidRPr="0024165C" w:rsidRDefault="00431692">
      <w:pPr>
        <w:pStyle w:val="Heading1"/>
        <w:spacing w:after="200"/>
        <w:rPr>
          <w:rFonts w:ascii="Arial" w:hAnsi="Arial" w:cs="Arial"/>
          <w:lang w:val="en-GB"/>
        </w:rPr>
      </w:pPr>
      <w:bookmarkStart w:id="11" w:name="_Toc236126851"/>
      <w:r w:rsidRPr="0024165C">
        <w:rPr>
          <w:rFonts w:ascii="Arial" w:hAnsi="Arial" w:cs="Arial"/>
          <w:lang w:val="en-GB"/>
        </w:rPr>
        <w:t>Task 5 - Research Task</w:t>
      </w:r>
      <w:bookmarkEnd w:id="11"/>
    </w:p>
    <w:p w14:paraId="73D1EA8E" w14:textId="77777777" w:rsidR="006F3B02" w:rsidRPr="0024165C" w:rsidRDefault="00431692">
      <w:pPr>
        <w:rPr>
          <w:rFonts w:ascii="Arial" w:hAnsi="Arial" w:cs="Arial"/>
          <w:lang w:val="en-GB"/>
        </w:rPr>
      </w:pPr>
      <w:r w:rsidRPr="0024165C">
        <w:rPr>
          <w:rFonts w:ascii="Arial" w:hAnsi="Arial" w:cs="Arial"/>
          <w:lang w:val="en-GB"/>
        </w:rPr>
        <w:t>Spinos</w:t>
      </w:r>
      <w:r w:rsidRPr="0024165C">
        <w:rPr>
          <w:rFonts w:ascii="Arial" w:hAnsi="Arial" w:cs="Arial"/>
          <w:i/>
          <w:iCs/>
          <w:lang w:val="en-GB"/>
        </w:rPr>
        <w:t xml:space="preserve"> et al.,</w:t>
      </w:r>
      <w:r w:rsidRPr="0024165C">
        <w:rPr>
          <w:rFonts w:ascii="Arial" w:hAnsi="Arial" w:cs="Arial"/>
          <w:lang w:val="en-GB"/>
        </w:rPr>
        <w:t xml:space="preserve"> (2026) indicated that waiting times for service delivery in the country have doubled due to the coronavirus disease, and waiting list disparities have increased regionally. Issues leading to this include low referrals, high demand, and inadequate capacity of the system to provide services. Poverty and ethnicity must not correlate with long waiting times when it comes to Integrated Care Boards, and hence inequality issues have been hidden under the cover of inefficiencies in the system.</w:t>
      </w:r>
    </w:p>
    <w:p w14:paraId="57204B96" w14:textId="77777777" w:rsidR="006F3B02" w:rsidRPr="0024165C" w:rsidRDefault="00431692">
      <w:pPr>
        <w:rPr>
          <w:rFonts w:ascii="Arial" w:hAnsi="Arial" w:cs="Arial"/>
          <w:lang w:val="en-GB"/>
        </w:rPr>
      </w:pPr>
      <w:r w:rsidRPr="0024165C">
        <w:rPr>
          <w:rFonts w:ascii="Arial" w:hAnsi="Arial" w:cs="Arial"/>
          <w:lang w:val="en-GB"/>
        </w:rPr>
        <w:t xml:space="preserve">Application of the system dynamics modelling approach was undertaken to examine waiting times in cardiovascular health in NHS England (Catsis </w:t>
      </w:r>
      <w:r w:rsidRPr="0024165C">
        <w:rPr>
          <w:rFonts w:ascii="Arial" w:hAnsi="Arial" w:cs="Arial"/>
          <w:i/>
          <w:iCs/>
          <w:lang w:val="en-GB"/>
        </w:rPr>
        <w:t>et al.,</w:t>
      </w:r>
      <w:r w:rsidRPr="0024165C">
        <w:rPr>
          <w:rFonts w:ascii="Arial" w:hAnsi="Arial" w:cs="Arial"/>
          <w:lang w:val="en-GB"/>
        </w:rPr>
        <w:t xml:space="preserve"> 2023). The existence of bottlenecks in referring, diagnosing, and treating processes was established, demonstrating how an increase in capacity in one process could negatively affect the following process. Some of the factors were limited referrals from primary care and a shortage of consultants. This paper helps to understand that waiting times are a systemic problem and need to be addressed.</w:t>
      </w:r>
    </w:p>
    <w:p w14:paraId="0D009907" w14:textId="77777777" w:rsidR="006F3B02" w:rsidRPr="0024165C" w:rsidRDefault="00431692">
      <w:pPr>
        <w:rPr>
          <w:rFonts w:ascii="Arial" w:hAnsi="Arial" w:cs="Arial"/>
          <w:b/>
          <w:bCs/>
          <w:i/>
          <w:iCs/>
          <w:u w:val="single"/>
          <w:lang w:val="en-GB"/>
        </w:rPr>
      </w:pPr>
      <w:r w:rsidRPr="0024165C">
        <w:rPr>
          <w:rFonts w:ascii="Arial" w:hAnsi="Arial" w:cs="Arial"/>
          <w:b/>
          <w:bCs/>
          <w:i/>
          <w:iCs/>
          <w:u w:val="single"/>
          <w:lang w:val="en-GB"/>
        </w:rPr>
        <w:t xml:space="preserve">Comparison  </w:t>
      </w:r>
    </w:p>
    <w:p w14:paraId="6AFB6BB8" w14:textId="77777777" w:rsidR="006F3B02" w:rsidRPr="0024165C" w:rsidRDefault="00431692">
      <w:pPr>
        <w:rPr>
          <w:rFonts w:ascii="Arial" w:hAnsi="Arial" w:cs="Arial"/>
          <w:color w:val="0E101A"/>
          <w:lang w:val="en-GB"/>
        </w:rPr>
      </w:pPr>
      <w:r w:rsidRPr="0024165C">
        <w:rPr>
          <w:rFonts w:ascii="Arial" w:hAnsi="Arial" w:cs="Arial"/>
          <w:lang w:val="en-GB"/>
        </w:rPr>
        <w:t xml:space="preserve">Both these articles identify waiting times as being caused by the constraints of capacity and bottlenecks within the system. While Spinos </w:t>
      </w:r>
      <w:r w:rsidRPr="0024165C">
        <w:rPr>
          <w:rFonts w:ascii="Arial" w:hAnsi="Arial" w:cs="Arial"/>
          <w:i/>
          <w:iCs/>
          <w:lang w:val="en-GB"/>
        </w:rPr>
        <w:t>et al.,</w:t>
      </w:r>
      <w:r w:rsidRPr="0024165C">
        <w:rPr>
          <w:rFonts w:ascii="Arial" w:hAnsi="Arial" w:cs="Arial"/>
          <w:lang w:val="en-GB"/>
        </w:rPr>
        <w:t xml:space="preserve"> focus on increases in demand due to the pandemic, Catsis </w:t>
      </w:r>
      <w:r w:rsidRPr="0024165C">
        <w:rPr>
          <w:rFonts w:ascii="Arial" w:hAnsi="Arial" w:cs="Arial"/>
          <w:i/>
          <w:iCs/>
          <w:lang w:val="en-GB"/>
        </w:rPr>
        <w:t xml:space="preserve">et al., </w:t>
      </w:r>
      <w:r w:rsidRPr="0024165C">
        <w:rPr>
          <w:rFonts w:ascii="Arial" w:hAnsi="Arial" w:cs="Arial"/>
          <w:lang w:val="en-GB"/>
        </w:rPr>
        <w:t xml:space="preserve">place their emphasis on inefficiencies in flow. </w:t>
      </w:r>
      <w:r w:rsidRPr="0024165C">
        <w:rPr>
          <w:rFonts w:ascii="Arial" w:hAnsi="Arial" w:cs="Arial"/>
          <w:color w:val="0E101A"/>
          <w:lang w:val="en-GB"/>
        </w:rPr>
        <w:t xml:space="preserve">They demonstrate how </w:t>
      </w:r>
      <w:r w:rsidRPr="0024165C">
        <w:rPr>
          <w:rFonts w:ascii="Arial" w:hAnsi="Arial" w:cs="Arial"/>
          <w:b/>
          <w:bCs/>
          <w:color w:val="0E101A"/>
          <w:lang w:val="en-GB"/>
        </w:rPr>
        <w:t>Systems Theory</w:t>
      </w:r>
      <w:r w:rsidRPr="0024165C">
        <w:rPr>
          <w:rFonts w:ascii="Arial" w:hAnsi="Arial" w:cs="Arial"/>
          <w:color w:val="0E101A"/>
          <w:lang w:val="en-GB"/>
        </w:rPr>
        <w:t xml:space="preserve"> helps explain waiting times as problems that are interrelated within the NHS.</w:t>
      </w:r>
    </w:p>
    <w:p w14:paraId="4A606B4D" w14:textId="77777777" w:rsidR="0036225C" w:rsidRPr="0024165C" w:rsidRDefault="0036225C">
      <w:pPr>
        <w:rPr>
          <w:rFonts w:ascii="Arial" w:hAnsi="Arial" w:cs="Arial"/>
          <w:b/>
          <w:bCs/>
          <w:sz w:val="28"/>
          <w:szCs w:val="28"/>
          <w:lang w:val="en-GB"/>
        </w:rPr>
      </w:pPr>
      <w:bookmarkStart w:id="12" w:name="_md13u7z6andl" w:colFirst="0" w:colLast="0"/>
      <w:bookmarkEnd w:id="12"/>
      <w:r w:rsidRPr="0024165C">
        <w:rPr>
          <w:rFonts w:ascii="Arial" w:hAnsi="Arial" w:cs="Arial"/>
          <w:lang w:val="en-GB"/>
        </w:rPr>
        <w:br w:type="page"/>
      </w:r>
    </w:p>
    <w:p w14:paraId="700153BE" w14:textId="77777777" w:rsidR="006F3B02" w:rsidRPr="0024165C" w:rsidRDefault="00431692">
      <w:pPr>
        <w:pStyle w:val="Heading1"/>
        <w:rPr>
          <w:rFonts w:ascii="Arial" w:hAnsi="Arial" w:cs="Arial"/>
          <w:lang w:val="en-GB"/>
        </w:rPr>
      </w:pPr>
      <w:bookmarkStart w:id="13" w:name="_Toc236126852"/>
      <w:r w:rsidRPr="0024165C">
        <w:rPr>
          <w:rFonts w:ascii="Arial" w:hAnsi="Arial" w:cs="Arial"/>
          <w:lang w:val="en-GB"/>
        </w:rPr>
        <w:t>Task 6 – Exploring Digital Innovation</w:t>
      </w:r>
      <w:bookmarkEnd w:id="13"/>
      <w:r w:rsidRPr="0024165C">
        <w:rPr>
          <w:rFonts w:ascii="Arial" w:hAnsi="Arial" w:cs="Arial"/>
          <w:lang w:val="en-GB"/>
        </w:rPr>
        <w:t xml:space="preserve"> </w:t>
      </w:r>
    </w:p>
    <w:p w14:paraId="7DF69A01" w14:textId="77777777" w:rsidR="006F3B02" w:rsidRPr="0024165C" w:rsidRDefault="00431692">
      <w:pPr>
        <w:rPr>
          <w:rFonts w:ascii="Arial" w:hAnsi="Arial" w:cs="Arial"/>
          <w:b/>
          <w:bCs/>
          <w:i/>
          <w:iCs/>
          <w:lang w:val="en-GB"/>
        </w:rPr>
      </w:pPr>
      <w:r w:rsidRPr="0024165C">
        <w:rPr>
          <w:rFonts w:ascii="Arial" w:hAnsi="Arial" w:cs="Arial"/>
          <w:b/>
          <w:bCs/>
          <w:i/>
          <w:iCs/>
          <w:lang w:val="en-GB"/>
        </w:rPr>
        <w:t xml:space="preserve">Wearable Health Technologies </w:t>
      </w:r>
    </w:p>
    <w:p w14:paraId="787F0D79" w14:textId="77777777" w:rsidR="006F3B02" w:rsidRPr="0024165C" w:rsidRDefault="00687B5F">
      <w:pPr>
        <w:rPr>
          <w:rFonts w:ascii="Arial" w:hAnsi="Arial" w:cs="Arial"/>
          <w:highlight w:val="yellow"/>
          <w:lang w:val="en-GB"/>
        </w:rPr>
      </w:pPr>
      <w:r w:rsidRPr="0024165C">
        <w:rPr>
          <w:rFonts w:ascii="Arial" w:hAnsi="Arial" w:cs="Arial"/>
          <w:lang w:val="en-GB"/>
        </w:rPr>
        <w:t>A smart watch</w:t>
      </w:r>
      <w:r w:rsidR="00431692" w:rsidRPr="0024165C">
        <w:rPr>
          <w:rFonts w:ascii="Arial" w:hAnsi="Arial" w:cs="Arial"/>
          <w:lang w:val="en-GB"/>
        </w:rPr>
        <w:t xml:space="preserve"> is an example of wearable technology that helps in managing chronic diseases through constant monitoring of vital signs of patients, including their heart rate, blood pressure, and sugar levels. </w:t>
      </w:r>
      <w:r w:rsidR="00431692" w:rsidRPr="0024165C">
        <w:rPr>
          <w:rFonts w:ascii="Arial" w:hAnsi="Arial" w:cs="Arial"/>
          <w:color w:val="0E101A"/>
          <w:lang w:val="en-GB"/>
        </w:rPr>
        <w:t xml:space="preserve">This makes it easy to note any changes that may result in interventions being done early. For example, Fitbit technology can be used in a pilot study done in the NHS to help cardiac patients minimise the number of visits made to the hospital since it helps detect any changes in the patient's body system (Obianyo </w:t>
      </w:r>
      <w:r w:rsidR="00431692" w:rsidRPr="0024165C">
        <w:rPr>
          <w:rFonts w:ascii="Arial" w:hAnsi="Arial" w:cs="Arial"/>
          <w:i/>
          <w:iCs/>
          <w:color w:val="0E101A"/>
          <w:lang w:val="en-GB"/>
        </w:rPr>
        <w:t>et al.,</w:t>
      </w:r>
      <w:r w:rsidR="00431692" w:rsidRPr="0024165C">
        <w:rPr>
          <w:rFonts w:ascii="Arial" w:hAnsi="Arial" w:cs="Arial"/>
          <w:color w:val="0E101A"/>
          <w:lang w:val="en-GB"/>
        </w:rPr>
        <w:t xml:space="preserve"> 2024). Based on the </w:t>
      </w:r>
      <w:r w:rsidR="00431692" w:rsidRPr="0024165C">
        <w:rPr>
          <w:rFonts w:ascii="Arial" w:hAnsi="Arial" w:cs="Arial"/>
          <w:b/>
          <w:bCs/>
          <w:color w:val="0E101A"/>
          <w:lang w:val="en-GB"/>
        </w:rPr>
        <w:t>Technology Acceptance Model</w:t>
      </w:r>
      <w:r w:rsidR="00431692" w:rsidRPr="0024165C">
        <w:rPr>
          <w:rFonts w:ascii="Arial" w:hAnsi="Arial" w:cs="Arial"/>
          <w:color w:val="0E101A"/>
          <w:lang w:val="en-GB"/>
        </w:rPr>
        <w:t xml:space="preserve">, the acceptance of the </w:t>
      </w:r>
      <w:r w:rsidRPr="0024165C">
        <w:rPr>
          <w:rFonts w:ascii="Arial" w:hAnsi="Arial" w:cs="Arial"/>
          <w:color w:val="0E101A"/>
          <w:lang w:val="en-GB"/>
        </w:rPr>
        <w:t>wearable</w:t>
      </w:r>
      <w:r w:rsidR="00431692" w:rsidRPr="0024165C">
        <w:rPr>
          <w:rFonts w:ascii="Arial" w:hAnsi="Arial" w:cs="Arial"/>
          <w:color w:val="0E101A"/>
          <w:lang w:val="en-GB"/>
        </w:rPr>
        <w:t xml:space="preserve"> is based on ease of use and usefulness. Usefulness in this case means good outcomes for the patients.</w:t>
      </w:r>
      <w:r w:rsidR="00431692" w:rsidRPr="0024165C">
        <w:rPr>
          <w:rFonts w:ascii="Arial" w:hAnsi="Arial" w:cs="Arial"/>
          <w:lang w:val="en-GB"/>
        </w:rPr>
        <w:t xml:space="preserve"> </w:t>
      </w:r>
    </w:p>
    <w:p w14:paraId="3D34D790" w14:textId="77777777" w:rsidR="006F3B02" w:rsidRPr="0024165C" w:rsidRDefault="00431692">
      <w:pPr>
        <w:rPr>
          <w:rFonts w:ascii="Arial" w:hAnsi="Arial" w:cs="Arial"/>
          <w:b/>
          <w:bCs/>
          <w:i/>
          <w:iCs/>
          <w:lang w:val="en-GB"/>
        </w:rPr>
      </w:pPr>
      <w:r w:rsidRPr="0024165C">
        <w:rPr>
          <w:rFonts w:ascii="Arial" w:hAnsi="Arial" w:cs="Arial"/>
          <w:b/>
          <w:bCs/>
          <w:i/>
          <w:iCs/>
          <w:lang w:val="en-GB"/>
        </w:rPr>
        <w:t xml:space="preserve">Electronic Health Records (EHRs) </w:t>
      </w:r>
    </w:p>
    <w:p w14:paraId="2F3E8BDA" w14:textId="77777777" w:rsidR="006F3B02" w:rsidRPr="0024165C" w:rsidRDefault="00431692">
      <w:pPr>
        <w:rPr>
          <w:rFonts w:ascii="Arial" w:hAnsi="Arial" w:cs="Arial"/>
          <w:lang w:val="en-GB"/>
        </w:rPr>
      </w:pPr>
      <w:r w:rsidRPr="0024165C">
        <w:rPr>
          <w:rFonts w:ascii="Arial" w:hAnsi="Arial" w:cs="Arial"/>
          <w:lang w:val="en-GB"/>
        </w:rPr>
        <w:t xml:space="preserve">The use of EHRs helps to improve communication and collaboration by having one source for patient data (Johnston </w:t>
      </w:r>
      <w:r w:rsidRPr="0024165C">
        <w:rPr>
          <w:rFonts w:ascii="Arial" w:hAnsi="Arial" w:cs="Arial"/>
          <w:i/>
          <w:iCs/>
          <w:lang w:val="en-GB"/>
        </w:rPr>
        <w:t>et al.,</w:t>
      </w:r>
      <w:r w:rsidRPr="0024165C">
        <w:rPr>
          <w:rFonts w:ascii="Arial" w:hAnsi="Arial" w:cs="Arial"/>
          <w:lang w:val="en-GB"/>
        </w:rPr>
        <w:t xml:space="preserve"> 2022). This makes the process more efficient and avoids any errors or duplication. For example, NHS Spine helps doctors, hospitals, and pharmacies to share data about patients in a secure manner, thus ensuring safer medication treatment. The </w:t>
      </w:r>
      <w:r w:rsidRPr="0024165C">
        <w:rPr>
          <w:rFonts w:ascii="Arial" w:hAnsi="Arial" w:cs="Arial"/>
          <w:b/>
          <w:bCs/>
          <w:lang w:val="en-GB"/>
        </w:rPr>
        <w:t>Technology Acceptance Model</w:t>
      </w:r>
      <w:r w:rsidRPr="0024165C">
        <w:rPr>
          <w:rFonts w:ascii="Arial" w:hAnsi="Arial" w:cs="Arial"/>
          <w:lang w:val="en-GB"/>
        </w:rPr>
        <w:t xml:space="preserve"> demonstrates that EHRs are used by physicians when they see their usefulness and ease of use. The benefits obtained from the adoption include rapid decision-making, reduced bureaucracy, and increased patient safety.</w:t>
      </w:r>
    </w:p>
    <w:p w14:paraId="0D87EA30" w14:textId="77777777" w:rsidR="007C5123" w:rsidRPr="0024165C" w:rsidRDefault="007C5123">
      <w:pPr>
        <w:rPr>
          <w:rFonts w:ascii="Arial" w:hAnsi="Arial" w:cs="Arial"/>
          <w:b/>
          <w:bCs/>
          <w:i/>
          <w:iCs/>
          <w:lang w:val="en-GB"/>
        </w:rPr>
      </w:pPr>
      <w:r w:rsidRPr="0024165C">
        <w:rPr>
          <w:rFonts w:ascii="Arial" w:hAnsi="Arial" w:cs="Arial"/>
          <w:b/>
          <w:bCs/>
          <w:i/>
          <w:iCs/>
          <w:lang w:val="en-GB"/>
        </w:rPr>
        <w:br w:type="page"/>
      </w:r>
    </w:p>
    <w:p w14:paraId="322FEB8F" w14:textId="77777777" w:rsidR="006F3B02" w:rsidRPr="0024165C" w:rsidRDefault="00431692">
      <w:pPr>
        <w:rPr>
          <w:rFonts w:ascii="Arial" w:hAnsi="Arial" w:cs="Arial"/>
          <w:b/>
          <w:bCs/>
          <w:i/>
          <w:iCs/>
          <w:lang w:val="en-GB"/>
        </w:rPr>
      </w:pPr>
      <w:r w:rsidRPr="0024165C">
        <w:rPr>
          <w:rFonts w:ascii="Arial" w:hAnsi="Arial" w:cs="Arial"/>
          <w:b/>
          <w:bCs/>
          <w:i/>
          <w:iCs/>
          <w:lang w:val="en-GB"/>
        </w:rPr>
        <w:t>Preventative Care and Health Promotion</w:t>
      </w:r>
    </w:p>
    <w:p w14:paraId="736CA8A9" w14:textId="77777777" w:rsidR="006F3B02" w:rsidRPr="0024165C" w:rsidRDefault="00431692">
      <w:pPr>
        <w:rPr>
          <w:rFonts w:ascii="Arial" w:hAnsi="Arial" w:cs="Arial"/>
          <w:lang w:val="en-GB"/>
        </w:rPr>
      </w:pPr>
      <w:r w:rsidRPr="0024165C">
        <w:rPr>
          <w:rFonts w:ascii="Arial" w:hAnsi="Arial" w:cs="Arial"/>
          <w:lang w:val="en-GB"/>
        </w:rPr>
        <w:t xml:space="preserve">As per the study by Singh </w:t>
      </w:r>
      <w:r w:rsidRPr="0024165C">
        <w:rPr>
          <w:rFonts w:ascii="Arial" w:hAnsi="Arial" w:cs="Arial"/>
          <w:i/>
          <w:iCs/>
          <w:lang w:val="en-GB"/>
        </w:rPr>
        <w:t>et al.</w:t>
      </w:r>
      <w:r w:rsidR="00687B5F" w:rsidRPr="0024165C">
        <w:rPr>
          <w:rFonts w:ascii="Arial" w:hAnsi="Arial" w:cs="Arial"/>
          <w:i/>
          <w:iCs/>
          <w:lang w:val="en-GB"/>
        </w:rPr>
        <w:t>,</w:t>
      </w:r>
      <w:r w:rsidR="00687B5F" w:rsidRPr="0024165C">
        <w:rPr>
          <w:rFonts w:ascii="Arial" w:hAnsi="Arial" w:cs="Arial"/>
          <w:lang w:val="en-GB"/>
        </w:rPr>
        <w:t xml:space="preserve"> (</w:t>
      </w:r>
      <w:r w:rsidRPr="0024165C">
        <w:rPr>
          <w:rFonts w:ascii="Arial" w:hAnsi="Arial" w:cs="Arial"/>
          <w:lang w:val="en-GB"/>
        </w:rPr>
        <w:t xml:space="preserve">2022) digital technology facilitates preventative care through proactive intervention. For instance, there are health applications which monitor the lifestyle activities of patients to alert them regarding the need for exercise or a healthy diet. There is also an imagined application from the National Health Service that will be used together with wearable devices and EHR to identify patients who may develop diabetes to ensure preventative care. This follows the objectives of public health of minimising costs and promoting good health. Based on the </w:t>
      </w:r>
      <w:r w:rsidRPr="0024165C">
        <w:rPr>
          <w:rFonts w:ascii="Arial" w:hAnsi="Arial" w:cs="Arial"/>
          <w:b/>
          <w:bCs/>
          <w:lang w:val="en-GB"/>
        </w:rPr>
        <w:t>Technology Acceptance Model</w:t>
      </w:r>
      <w:r w:rsidRPr="0024165C">
        <w:rPr>
          <w:rFonts w:ascii="Arial" w:hAnsi="Arial" w:cs="Arial"/>
          <w:lang w:val="en-GB"/>
        </w:rPr>
        <w:t>, adoption depends on usefulness and ease of use.</w:t>
      </w:r>
    </w:p>
    <w:p w14:paraId="2A8F41D3" w14:textId="77777777" w:rsidR="0036225C" w:rsidRPr="0024165C" w:rsidRDefault="0036225C">
      <w:pPr>
        <w:rPr>
          <w:rFonts w:ascii="Arial" w:hAnsi="Arial" w:cs="Arial"/>
          <w:b/>
          <w:bCs/>
          <w:sz w:val="28"/>
          <w:szCs w:val="28"/>
          <w:lang w:val="en-GB"/>
        </w:rPr>
      </w:pPr>
      <w:bookmarkStart w:id="14" w:name="_d27qvvnatjve" w:colFirst="0" w:colLast="0"/>
      <w:bookmarkEnd w:id="14"/>
      <w:r w:rsidRPr="0024165C">
        <w:rPr>
          <w:rFonts w:ascii="Arial" w:hAnsi="Arial" w:cs="Arial"/>
          <w:lang w:val="en-GB"/>
        </w:rPr>
        <w:br w:type="page"/>
      </w:r>
    </w:p>
    <w:p w14:paraId="54DCFAD1" w14:textId="77777777" w:rsidR="006F3B02" w:rsidRPr="0024165C" w:rsidRDefault="00431692">
      <w:pPr>
        <w:pStyle w:val="Heading1"/>
        <w:rPr>
          <w:rFonts w:ascii="Arial" w:hAnsi="Arial" w:cs="Arial"/>
          <w:lang w:val="en-GB"/>
        </w:rPr>
      </w:pPr>
      <w:bookmarkStart w:id="15" w:name="_Toc236126853"/>
      <w:r w:rsidRPr="0024165C">
        <w:rPr>
          <w:rFonts w:ascii="Arial" w:hAnsi="Arial" w:cs="Arial"/>
          <w:lang w:val="en-GB"/>
        </w:rPr>
        <w:t>Task 7 – Understanding the NHS Leadership Framework</w:t>
      </w:r>
      <w:bookmarkEnd w:id="15"/>
    </w:p>
    <w:p w14:paraId="3C8F027C" w14:textId="77777777" w:rsidR="006F3B02" w:rsidRPr="0024165C" w:rsidRDefault="00431692">
      <w:pPr>
        <w:rPr>
          <w:rFonts w:ascii="Arial" w:hAnsi="Arial" w:cs="Arial"/>
          <w:b/>
          <w:bCs/>
          <w:i/>
          <w:iCs/>
          <w:lang w:val="en-GB"/>
        </w:rPr>
      </w:pPr>
      <w:r w:rsidRPr="0024165C">
        <w:rPr>
          <w:rFonts w:ascii="Arial" w:hAnsi="Arial" w:cs="Arial"/>
          <w:b/>
          <w:bCs/>
          <w:i/>
          <w:iCs/>
          <w:lang w:val="en-GB"/>
        </w:rPr>
        <w:t xml:space="preserve">Summary of the Framework </w:t>
      </w:r>
    </w:p>
    <w:p w14:paraId="555F31BA" w14:textId="77777777" w:rsidR="006F3B02" w:rsidRPr="0024165C" w:rsidRDefault="00431692">
      <w:pPr>
        <w:rPr>
          <w:rFonts w:ascii="Arial" w:hAnsi="Arial" w:cs="Arial"/>
          <w:lang w:val="en-GB"/>
        </w:rPr>
      </w:pPr>
      <w:r w:rsidRPr="0024165C">
        <w:rPr>
          <w:rFonts w:ascii="Arial" w:hAnsi="Arial" w:cs="Arial"/>
          <w:color w:val="0E101A"/>
          <w:lang w:val="en-GB"/>
        </w:rPr>
        <w:t xml:space="preserve">The </w:t>
      </w:r>
      <w:r w:rsidRPr="0024165C">
        <w:rPr>
          <w:rFonts w:ascii="Arial" w:hAnsi="Arial" w:cs="Arial"/>
          <w:b/>
          <w:bCs/>
          <w:color w:val="0E101A"/>
          <w:lang w:val="en-GB"/>
        </w:rPr>
        <w:t xml:space="preserve">National Health Service Leadership Framework </w:t>
      </w:r>
      <w:r w:rsidRPr="0024165C">
        <w:rPr>
          <w:rFonts w:ascii="Arial" w:hAnsi="Arial" w:cs="Arial"/>
          <w:color w:val="0E101A"/>
          <w:lang w:val="en-GB"/>
        </w:rPr>
        <w:t>explains behavioural traits which make good leadership in the health and social care context. The key elements of the framework include inspiring a sense of purpose, caring leadership, analysing data, integrating services, engaging people, and being held accountable (Marie and Vik, 2024). The importance of this framework lies in the fact that it helps create an effective framework of leadership for the entire NHS.</w:t>
      </w:r>
      <w:r w:rsidRPr="0024165C">
        <w:rPr>
          <w:rFonts w:ascii="Arial" w:hAnsi="Arial" w:cs="Arial"/>
          <w:lang w:val="en-GB"/>
        </w:rPr>
        <w:t xml:space="preserve"> </w:t>
      </w:r>
    </w:p>
    <w:p w14:paraId="40038EE0" w14:textId="77777777" w:rsidR="006F3B02" w:rsidRPr="0024165C" w:rsidRDefault="00431692">
      <w:pPr>
        <w:rPr>
          <w:rFonts w:ascii="Arial" w:hAnsi="Arial" w:cs="Arial"/>
          <w:b/>
          <w:bCs/>
          <w:i/>
          <w:iCs/>
          <w:lang w:val="en-GB"/>
        </w:rPr>
      </w:pPr>
      <w:r w:rsidRPr="0024165C">
        <w:rPr>
          <w:rFonts w:ascii="Arial" w:hAnsi="Arial" w:cs="Arial"/>
          <w:b/>
          <w:bCs/>
          <w:i/>
          <w:iCs/>
          <w:lang w:val="en-GB"/>
        </w:rPr>
        <w:t>Chosen Behaviour: Inspiring Shared Purpose</w:t>
      </w:r>
    </w:p>
    <w:p w14:paraId="638D0D33" w14:textId="77777777" w:rsidR="006F3B02" w:rsidRPr="0024165C" w:rsidRDefault="00431692">
      <w:pPr>
        <w:rPr>
          <w:rFonts w:ascii="Arial" w:hAnsi="Arial" w:cs="Arial"/>
          <w:lang w:val="en-GB"/>
        </w:rPr>
      </w:pPr>
      <w:r w:rsidRPr="0024165C">
        <w:rPr>
          <w:rFonts w:ascii="Arial" w:hAnsi="Arial" w:cs="Arial"/>
          <w:lang w:val="en-GB"/>
        </w:rPr>
        <w:t xml:space="preserve">One behavioural element, Inspiring Shared Purpose, helps to motivate employees by having leaders clarify their vision. An example of how a ward manager can adopt this behaviour is by motivating creativity through involving nurses in designing patient safety projects. This is in line with </w:t>
      </w:r>
      <w:r w:rsidRPr="0024165C">
        <w:rPr>
          <w:rFonts w:ascii="Arial" w:hAnsi="Arial" w:cs="Arial"/>
          <w:b/>
          <w:bCs/>
          <w:lang w:val="en-GB"/>
        </w:rPr>
        <w:t>Transformational Leadership theory</w:t>
      </w:r>
      <w:r w:rsidRPr="0024165C">
        <w:rPr>
          <w:rFonts w:ascii="Arial" w:hAnsi="Arial" w:cs="Arial"/>
          <w:lang w:val="en-GB"/>
        </w:rPr>
        <w:t xml:space="preserve">, which states that leaders help teams achieve success through vision and motivation (Eaton </w:t>
      </w:r>
      <w:r w:rsidRPr="0024165C">
        <w:rPr>
          <w:rFonts w:ascii="Arial" w:hAnsi="Arial" w:cs="Arial"/>
          <w:i/>
          <w:iCs/>
          <w:lang w:val="en-GB"/>
        </w:rPr>
        <w:t xml:space="preserve">et al., </w:t>
      </w:r>
      <w:r w:rsidRPr="0024165C">
        <w:rPr>
          <w:rFonts w:ascii="Arial" w:hAnsi="Arial" w:cs="Arial"/>
          <w:lang w:val="en-GB"/>
        </w:rPr>
        <w:t>2024). Through shared vision, leaders will enhance quality care among patients by making sure that employees are motivated to innovate.</w:t>
      </w:r>
    </w:p>
    <w:p w14:paraId="354057F6" w14:textId="77777777" w:rsidR="006F3B02" w:rsidRPr="0024165C" w:rsidRDefault="00431692">
      <w:pPr>
        <w:rPr>
          <w:rFonts w:ascii="Arial" w:hAnsi="Arial" w:cs="Arial"/>
          <w:b/>
          <w:bCs/>
          <w:i/>
          <w:iCs/>
          <w:lang w:val="en-GB"/>
        </w:rPr>
      </w:pPr>
      <w:r w:rsidRPr="0024165C">
        <w:rPr>
          <w:rFonts w:ascii="Arial" w:hAnsi="Arial" w:cs="Arial"/>
          <w:b/>
          <w:bCs/>
          <w:i/>
          <w:iCs/>
          <w:lang w:val="en-GB"/>
        </w:rPr>
        <w:t>Reflective Journal Entry</w:t>
      </w:r>
    </w:p>
    <w:p w14:paraId="007B4A91"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I used to have the idea that creativity is just about coming up with new ideas. Now I see how much creativity can help us deal with systemic issues in healthcare and social care services. Now I realise that creativity needs to be organised.</w:t>
      </w:r>
    </w:p>
    <w:p w14:paraId="14E85A1F"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Certain exercises, such as those of convergent and divergent thinking, and looking at innovations within the NHS, such as virtual wards, have affected my thinking. It was seen that there is always a theoretical base for creativity and innovation, such as Rogers’ Diffusion of Innovation.</w:t>
      </w:r>
    </w:p>
    <w:p w14:paraId="30D608A4"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 xml:space="preserve">I will strive to display leadership qualities that instil a sense of shared purpose and creativity in problem-solving. I will strive to make my contribution towards innovative practices centred </w:t>
      </w:r>
      <w:r w:rsidR="00687B5F" w:rsidRPr="0024165C">
        <w:rPr>
          <w:rFonts w:ascii="Arial" w:hAnsi="Arial" w:cs="Arial"/>
          <w:color w:val="0E101A"/>
          <w:lang w:val="en-GB"/>
        </w:rPr>
        <w:t>on</w:t>
      </w:r>
      <w:r w:rsidRPr="0024165C">
        <w:rPr>
          <w:rFonts w:ascii="Arial" w:hAnsi="Arial" w:cs="Arial"/>
          <w:color w:val="0E101A"/>
          <w:lang w:val="en-GB"/>
        </w:rPr>
        <w:t xml:space="preserve"> patients.</w:t>
      </w:r>
    </w:p>
    <w:p w14:paraId="1E165575" w14:textId="77777777" w:rsidR="0036225C" w:rsidRPr="0024165C" w:rsidRDefault="0036225C">
      <w:pPr>
        <w:rPr>
          <w:rFonts w:ascii="Arial" w:hAnsi="Arial" w:cs="Arial"/>
          <w:b/>
          <w:bCs/>
          <w:sz w:val="28"/>
          <w:szCs w:val="28"/>
          <w:lang w:val="en-GB"/>
        </w:rPr>
      </w:pPr>
      <w:bookmarkStart w:id="16" w:name="_ohgbbg42md9s" w:colFirst="0" w:colLast="0"/>
      <w:bookmarkEnd w:id="16"/>
      <w:r w:rsidRPr="0024165C">
        <w:rPr>
          <w:rFonts w:ascii="Arial" w:hAnsi="Arial" w:cs="Arial"/>
          <w:lang w:val="en-GB"/>
        </w:rPr>
        <w:br w:type="page"/>
      </w:r>
    </w:p>
    <w:p w14:paraId="59D92B7A" w14:textId="77777777" w:rsidR="006F3B02" w:rsidRPr="0024165C" w:rsidRDefault="00431692">
      <w:pPr>
        <w:pStyle w:val="Heading1"/>
        <w:spacing w:after="200"/>
        <w:rPr>
          <w:rFonts w:ascii="Arial" w:hAnsi="Arial" w:cs="Arial"/>
          <w:color w:val="0E101A"/>
          <w:lang w:val="en-GB"/>
        </w:rPr>
      </w:pPr>
      <w:bookmarkStart w:id="17" w:name="_Toc236126854"/>
      <w:r w:rsidRPr="0024165C">
        <w:rPr>
          <w:rFonts w:ascii="Arial" w:hAnsi="Arial" w:cs="Arial"/>
          <w:lang w:val="en-GB"/>
        </w:rPr>
        <w:t>Task 8 – Self-Reflection Journal Entry</w:t>
      </w:r>
      <w:bookmarkEnd w:id="17"/>
    </w:p>
    <w:p w14:paraId="7B65D1D4"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During this module, I have changed my views on creativity, innovation and value creation. Creativity used to be a source of ideas for me. But at present I realise how significant it is in solving system issues and patient-centred innovations.</w:t>
      </w:r>
    </w:p>
    <w:p w14:paraId="0C2FA6C2"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One important insight I got from this analysis was that innovation can help alleviate pressure on hospitals as well as improve patient care. Connecting that insight with Rogers’ Diffusion of Innovation Theory suggests that adoption is determined by usefulness and ease of use (Üzümcü and Acilmis, 2023).</w:t>
      </w:r>
    </w:p>
    <w:p w14:paraId="1B1D13F4" w14:textId="77777777" w:rsidR="006F3B02" w:rsidRPr="0024165C" w:rsidRDefault="00431692">
      <w:pPr>
        <w:spacing w:after="200"/>
        <w:rPr>
          <w:rFonts w:ascii="Arial" w:hAnsi="Arial" w:cs="Arial"/>
          <w:color w:val="0E101A"/>
          <w:lang w:val="en-GB"/>
        </w:rPr>
      </w:pPr>
      <w:r w:rsidRPr="0024165C">
        <w:rPr>
          <w:rFonts w:ascii="Arial" w:hAnsi="Arial" w:cs="Arial"/>
          <w:color w:val="0E101A"/>
          <w:lang w:val="en-GB"/>
        </w:rPr>
        <w:t xml:space="preserve">This learning will impact my future career, and I will apply reflective models like Gibbs' Cycle for evaluation and incorporate creativity in problem-solving. </w:t>
      </w:r>
    </w:p>
    <w:p w14:paraId="45934950" w14:textId="77777777" w:rsidR="0036225C" w:rsidRPr="0024165C" w:rsidRDefault="0036225C">
      <w:pPr>
        <w:rPr>
          <w:rFonts w:ascii="Arial" w:hAnsi="Arial" w:cs="Arial"/>
          <w:b/>
          <w:bCs/>
          <w:sz w:val="28"/>
          <w:szCs w:val="28"/>
          <w:lang w:val="en-GB"/>
        </w:rPr>
      </w:pPr>
      <w:bookmarkStart w:id="18" w:name="_cr0i6k7oe6ew" w:colFirst="0" w:colLast="0"/>
      <w:bookmarkEnd w:id="18"/>
      <w:r w:rsidRPr="0024165C">
        <w:rPr>
          <w:rFonts w:ascii="Arial" w:hAnsi="Arial" w:cs="Arial"/>
          <w:lang w:val="en-GB"/>
        </w:rPr>
        <w:br w:type="page"/>
      </w:r>
    </w:p>
    <w:p w14:paraId="3E705B74" w14:textId="77777777" w:rsidR="006F3B02" w:rsidRPr="0024165C" w:rsidRDefault="00431692">
      <w:pPr>
        <w:pStyle w:val="Heading1"/>
        <w:spacing w:after="200"/>
        <w:rPr>
          <w:rFonts w:ascii="Arial" w:hAnsi="Arial" w:cs="Arial"/>
          <w:lang w:val="en-GB"/>
        </w:rPr>
      </w:pPr>
      <w:bookmarkStart w:id="19" w:name="_Toc236126855"/>
      <w:r w:rsidRPr="0024165C">
        <w:rPr>
          <w:rFonts w:ascii="Arial" w:hAnsi="Arial" w:cs="Arial"/>
          <w:lang w:val="en-GB"/>
        </w:rPr>
        <w:t>Conclusion</w:t>
      </w:r>
      <w:bookmarkEnd w:id="19"/>
      <w:r w:rsidRPr="0024165C">
        <w:rPr>
          <w:rFonts w:ascii="Arial" w:hAnsi="Arial" w:cs="Arial"/>
          <w:lang w:val="en-GB"/>
        </w:rPr>
        <w:t xml:space="preserve"> </w:t>
      </w:r>
    </w:p>
    <w:p w14:paraId="77713F5D" w14:textId="77777777" w:rsidR="006F3B02" w:rsidRPr="0024165C" w:rsidRDefault="00431692">
      <w:pPr>
        <w:rPr>
          <w:rFonts w:ascii="Arial" w:hAnsi="Arial" w:cs="Arial"/>
          <w:lang w:val="en-GB"/>
        </w:rPr>
      </w:pPr>
      <w:r w:rsidRPr="0024165C">
        <w:rPr>
          <w:rFonts w:ascii="Arial" w:hAnsi="Arial" w:cs="Arial"/>
          <w:lang w:val="en-GB"/>
        </w:rPr>
        <w:t>In conclusion, it can be stated that innovation, creativity, and value generation are interlinked mechanisms that contribute to improvements in health and social care. They impact patient outcomes, motivate staff, and inform my future practice on sustainability and patient-centredness.</w:t>
      </w:r>
    </w:p>
    <w:p w14:paraId="4E98C4E6" w14:textId="77777777" w:rsidR="006F3B02" w:rsidRPr="0024165C" w:rsidRDefault="00431692">
      <w:pPr>
        <w:rPr>
          <w:rFonts w:ascii="Arial" w:hAnsi="Arial" w:cs="Arial"/>
          <w:lang w:val="en-GB"/>
        </w:rPr>
      </w:pPr>
      <w:r w:rsidRPr="0024165C">
        <w:rPr>
          <w:rFonts w:ascii="Arial" w:hAnsi="Arial" w:cs="Arial"/>
          <w:lang w:val="en-GB"/>
        </w:rPr>
        <w:br w:type="page"/>
      </w:r>
    </w:p>
    <w:p w14:paraId="55C69DF8" w14:textId="77777777" w:rsidR="006F3B02" w:rsidRPr="0024165C" w:rsidRDefault="00431692">
      <w:pPr>
        <w:pStyle w:val="Heading1"/>
        <w:spacing w:after="240"/>
        <w:rPr>
          <w:rFonts w:ascii="Arial" w:hAnsi="Arial" w:cs="Arial"/>
          <w:lang w:val="en-GB"/>
        </w:rPr>
      </w:pPr>
      <w:bookmarkStart w:id="20" w:name="_lvauira8rvyk" w:colFirst="0" w:colLast="0"/>
      <w:bookmarkStart w:id="21" w:name="_Toc236126856"/>
      <w:bookmarkEnd w:id="20"/>
      <w:r w:rsidRPr="0024165C">
        <w:rPr>
          <w:rFonts w:ascii="Arial" w:hAnsi="Arial" w:cs="Arial"/>
          <w:lang w:val="en-GB"/>
        </w:rPr>
        <w:t>Reference List</w:t>
      </w:r>
      <w:bookmarkEnd w:id="21"/>
    </w:p>
    <w:p w14:paraId="3FA71AF2" w14:textId="77777777" w:rsidR="006F3B02" w:rsidRPr="0024165C" w:rsidRDefault="00431692">
      <w:pPr>
        <w:spacing w:after="240"/>
        <w:rPr>
          <w:rFonts w:ascii="Arial" w:hAnsi="Arial" w:cs="Arial"/>
          <w:lang w:val="en-GB"/>
        </w:rPr>
      </w:pPr>
      <w:r w:rsidRPr="0024165C">
        <w:rPr>
          <w:rFonts w:ascii="Arial" w:hAnsi="Arial" w:cs="Arial"/>
          <w:lang w:val="en-GB"/>
        </w:rPr>
        <w:t xml:space="preserve">Ahmadpour, N., Shariati, A. and Moghadam, M.P. (2025) "Effect of Narrative writing based on Gibbs' reflective model on the empathy and communication skills of nursing students," </w:t>
      </w:r>
      <w:r w:rsidRPr="0024165C">
        <w:rPr>
          <w:rFonts w:ascii="Arial" w:hAnsi="Arial" w:cs="Arial"/>
          <w:i/>
          <w:iCs/>
          <w:lang w:val="en-GB"/>
        </w:rPr>
        <w:t>BMC Medical Education</w:t>
      </w:r>
      <w:r w:rsidRPr="0024165C">
        <w:rPr>
          <w:rFonts w:ascii="Arial" w:hAnsi="Arial" w:cs="Arial"/>
          <w:lang w:val="en-GB"/>
        </w:rPr>
        <w:t>, 25(1), pp. 1–9. Available at: https://doi.org/https://doi.org/10.1186/s12909-024-06593-7.</w:t>
      </w:r>
    </w:p>
    <w:p w14:paraId="08C18651" w14:textId="77777777" w:rsidR="006F3B02" w:rsidRPr="0024165C" w:rsidRDefault="00431692">
      <w:pPr>
        <w:spacing w:after="240"/>
        <w:rPr>
          <w:rFonts w:ascii="Arial" w:hAnsi="Arial" w:cs="Arial"/>
          <w:lang w:val="en-GB"/>
        </w:rPr>
      </w:pPr>
      <w:r w:rsidRPr="0024165C">
        <w:rPr>
          <w:rFonts w:ascii="Arial" w:hAnsi="Arial" w:cs="Arial"/>
          <w:lang w:val="en-GB"/>
        </w:rPr>
        <w:t xml:space="preserve">Alalääkkölä, T., Torvinen, H., Hurmelinna-Laukkanen, P. and Mainela, T. (2023) “From value creation to value capture practices in healthcare innovation collaborations,” </w:t>
      </w:r>
      <w:r w:rsidRPr="0024165C">
        <w:rPr>
          <w:rFonts w:ascii="Arial" w:hAnsi="Arial" w:cs="Arial"/>
          <w:i/>
          <w:iCs/>
          <w:lang w:val="en-GB"/>
        </w:rPr>
        <w:t>Innovation</w:t>
      </w:r>
      <w:r w:rsidRPr="0024165C">
        <w:rPr>
          <w:rFonts w:ascii="Arial" w:hAnsi="Arial" w:cs="Arial"/>
          <w:lang w:val="en-GB"/>
        </w:rPr>
        <w:t>, 7(3), pp. 1–22. Available at: https://doi.org/10.1080/14479338.2023.2232996.</w:t>
      </w:r>
    </w:p>
    <w:p w14:paraId="034A8116" w14:textId="77777777" w:rsidR="006F3B02" w:rsidRPr="0024165C" w:rsidRDefault="00431692">
      <w:pPr>
        <w:spacing w:after="240"/>
        <w:rPr>
          <w:rFonts w:ascii="Arial" w:hAnsi="Arial" w:cs="Arial"/>
          <w:lang w:val="en-GB"/>
        </w:rPr>
      </w:pPr>
      <w:r w:rsidRPr="0024165C">
        <w:rPr>
          <w:rFonts w:ascii="Arial" w:hAnsi="Arial" w:cs="Arial"/>
          <w:lang w:val="en-GB"/>
        </w:rPr>
        <w:t xml:space="preserve">Amabile, T.M. and Mueller, J.S. (2024) “Studying creativity, its processes, and its antecedents,” </w:t>
      </w:r>
      <w:r w:rsidRPr="0024165C">
        <w:rPr>
          <w:rFonts w:ascii="Arial" w:hAnsi="Arial" w:cs="Arial"/>
          <w:i/>
          <w:iCs/>
          <w:lang w:val="en-GB"/>
        </w:rPr>
        <w:t>Handbook of Organisational creativity</w:t>
      </w:r>
      <w:r w:rsidRPr="0024165C">
        <w:rPr>
          <w:rFonts w:ascii="Arial" w:hAnsi="Arial" w:cs="Arial"/>
          <w:lang w:val="en-GB"/>
        </w:rPr>
        <w:t>, 7(9), pp. 33–64. Available at: https://doi.org/10.4324/9781003573326-3.</w:t>
      </w:r>
    </w:p>
    <w:p w14:paraId="5C46CA2F" w14:textId="77777777" w:rsidR="006F3B02" w:rsidRPr="0024165C" w:rsidRDefault="00431692">
      <w:pPr>
        <w:spacing w:after="240"/>
        <w:rPr>
          <w:rFonts w:ascii="Arial" w:hAnsi="Arial" w:cs="Arial"/>
          <w:lang w:val="en-GB"/>
        </w:rPr>
      </w:pPr>
      <w:r w:rsidRPr="0024165C">
        <w:rPr>
          <w:rFonts w:ascii="Arial" w:hAnsi="Arial" w:cs="Arial"/>
          <w:lang w:val="en-GB"/>
        </w:rPr>
        <w:t xml:space="preserve">Catsis, S., Champneys, A.R., Hoyle, R., Currie, C., Enright, J., Cheema, K., Woodall, M., Angelini, G., Nadarajah, R., Gale, C. and Gibbison, B. (2023) “Process modelling of NHS cardiovascular waiting lists in response to the covid-19 pandemic,” </w:t>
      </w:r>
      <w:r w:rsidRPr="0024165C">
        <w:rPr>
          <w:rFonts w:ascii="Arial" w:hAnsi="Arial" w:cs="Arial"/>
          <w:i/>
          <w:iCs/>
          <w:lang w:val="en-GB"/>
        </w:rPr>
        <w:t>BMJ open</w:t>
      </w:r>
      <w:r w:rsidRPr="0024165C">
        <w:rPr>
          <w:rFonts w:ascii="Arial" w:hAnsi="Arial" w:cs="Arial"/>
          <w:lang w:val="en-GB"/>
        </w:rPr>
        <w:t>, 13(7), pp. 35–62. Available at: https://doi.org/10.1136/bmjopen-2022-065622.</w:t>
      </w:r>
    </w:p>
    <w:p w14:paraId="22C758D3" w14:textId="77777777" w:rsidR="006F3B02" w:rsidRPr="0024165C" w:rsidRDefault="00431692">
      <w:pPr>
        <w:spacing w:after="240"/>
        <w:rPr>
          <w:rFonts w:ascii="Arial" w:hAnsi="Arial" w:cs="Arial"/>
          <w:lang w:val="en-GB"/>
        </w:rPr>
      </w:pPr>
      <w:r w:rsidRPr="0024165C">
        <w:rPr>
          <w:rFonts w:ascii="Arial" w:hAnsi="Arial" w:cs="Arial"/>
          <w:lang w:val="en-GB"/>
        </w:rPr>
        <w:t xml:space="preserve">Eaton, L., Bridgman, T. and Cummings, S. (2024) "Advancing the democratisation of Work: A new intellectual history of transformational leadership theory," </w:t>
      </w:r>
      <w:r w:rsidRPr="0024165C">
        <w:rPr>
          <w:rFonts w:ascii="Arial" w:hAnsi="Arial" w:cs="Arial"/>
          <w:i/>
          <w:iCs/>
          <w:lang w:val="en-GB"/>
        </w:rPr>
        <w:t>Leadership</w:t>
      </w:r>
      <w:r w:rsidRPr="0024165C">
        <w:rPr>
          <w:rFonts w:ascii="Arial" w:hAnsi="Arial" w:cs="Arial"/>
          <w:lang w:val="en-GB"/>
        </w:rPr>
        <w:t>, 20(3), pp. 125–143. Available at: https://doi.org/10.1177/17427150241232705.</w:t>
      </w:r>
    </w:p>
    <w:p w14:paraId="54A768C6" w14:textId="77777777" w:rsidR="006F3B02" w:rsidRPr="0024165C" w:rsidRDefault="00431692">
      <w:pPr>
        <w:spacing w:after="240"/>
        <w:rPr>
          <w:rFonts w:ascii="Arial" w:hAnsi="Arial" w:cs="Arial"/>
          <w:lang w:val="en-GB"/>
        </w:rPr>
      </w:pPr>
      <w:r w:rsidRPr="0024165C">
        <w:rPr>
          <w:rFonts w:ascii="Arial" w:hAnsi="Arial" w:cs="Arial"/>
          <w:lang w:val="en-GB"/>
        </w:rPr>
        <w:t xml:space="preserve">Iyanna, S., Kaur, P., Ractham, P., Talwar, S. and Najmul Islam, A.K.M. (2022) “Digital transformation of healthcare sector. What is impeding adoption and continued usage of technology-driven innovations by end-users?,” </w:t>
      </w:r>
      <w:r w:rsidRPr="0024165C">
        <w:rPr>
          <w:rFonts w:ascii="Arial" w:hAnsi="Arial" w:cs="Arial"/>
          <w:i/>
          <w:iCs/>
          <w:lang w:val="en-GB"/>
        </w:rPr>
        <w:t>Journal of Business Research</w:t>
      </w:r>
      <w:r w:rsidRPr="0024165C">
        <w:rPr>
          <w:rFonts w:ascii="Arial" w:hAnsi="Arial" w:cs="Arial"/>
          <w:lang w:val="en-GB"/>
        </w:rPr>
        <w:t>, 153(8), pp. 150–161. Available at: https://doi.org/https://doi.org/10.1016/j.jbusres.2022.08.007.</w:t>
      </w:r>
    </w:p>
    <w:p w14:paraId="356B50C4" w14:textId="77777777" w:rsidR="006F3B02" w:rsidRPr="0024165C" w:rsidRDefault="00431692">
      <w:pPr>
        <w:spacing w:after="240"/>
        <w:rPr>
          <w:rFonts w:ascii="Arial" w:hAnsi="Arial" w:cs="Arial"/>
          <w:lang w:val="en-GB"/>
        </w:rPr>
      </w:pPr>
      <w:r w:rsidRPr="0024165C">
        <w:rPr>
          <w:rFonts w:ascii="Arial" w:hAnsi="Arial" w:cs="Arial"/>
          <w:lang w:val="en-GB"/>
        </w:rPr>
        <w:t xml:space="preserve">Johnston, C., Butcher, D. and Aveyard, H. (2022) “An integrative review exploring the impact of electronic health records (EHR) on the quality of nurse–patient interactions and communication,” </w:t>
      </w:r>
      <w:r w:rsidRPr="0024165C">
        <w:rPr>
          <w:rFonts w:ascii="Arial" w:hAnsi="Arial" w:cs="Arial"/>
          <w:i/>
          <w:iCs/>
          <w:lang w:val="en-GB"/>
        </w:rPr>
        <w:t>Journal of Advanced Nursing</w:t>
      </w:r>
      <w:r w:rsidRPr="0024165C">
        <w:rPr>
          <w:rFonts w:ascii="Arial" w:hAnsi="Arial" w:cs="Arial"/>
          <w:lang w:val="en-GB"/>
        </w:rPr>
        <w:t>, 79(1), pp. 48–67. Available at: https://doi.org/10.1111/jan.15484.</w:t>
      </w:r>
    </w:p>
    <w:p w14:paraId="71064B10" w14:textId="77777777" w:rsidR="006F3B02" w:rsidRPr="0024165C" w:rsidRDefault="00431692">
      <w:pPr>
        <w:spacing w:after="240"/>
        <w:rPr>
          <w:rFonts w:ascii="Arial" w:hAnsi="Arial" w:cs="Arial"/>
          <w:lang w:val="en-GB"/>
        </w:rPr>
      </w:pPr>
      <w:r w:rsidRPr="0024165C">
        <w:rPr>
          <w:rFonts w:ascii="Arial" w:hAnsi="Arial" w:cs="Arial"/>
          <w:lang w:val="en-GB"/>
        </w:rPr>
        <w:t xml:space="preserve">Limiri, D. (2025) </w:t>
      </w:r>
      <w:r w:rsidRPr="0024165C">
        <w:rPr>
          <w:rFonts w:ascii="Arial" w:hAnsi="Arial" w:cs="Arial"/>
          <w:i/>
          <w:iCs/>
          <w:lang w:val="en-GB"/>
        </w:rPr>
        <w:t>The impact of Long wait times on patient health outcomes: The growing NHS crisis</w:t>
      </w:r>
      <w:r w:rsidRPr="0024165C">
        <w:rPr>
          <w:rFonts w:ascii="Arial" w:hAnsi="Arial" w:cs="Arial"/>
          <w:lang w:val="en-GB"/>
        </w:rPr>
        <w:t>, pp. 45–98. Available at: https://doi.org/10.70389/PJPH.100020.</w:t>
      </w:r>
    </w:p>
    <w:p w14:paraId="197A992E" w14:textId="77777777" w:rsidR="006F3B02" w:rsidRPr="0024165C" w:rsidRDefault="00431692">
      <w:pPr>
        <w:spacing w:after="240"/>
        <w:rPr>
          <w:rFonts w:ascii="Arial" w:hAnsi="Arial" w:cs="Arial"/>
          <w:lang w:val="en-GB"/>
        </w:rPr>
      </w:pPr>
      <w:r w:rsidRPr="0024165C">
        <w:rPr>
          <w:rFonts w:ascii="Arial" w:hAnsi="Arial" w:cs="Arial"/>
          <w:lang w:val="en-GB"/>
        </w:rPr>
        <w:t xml:space="preserve">Marie, I. and Vik, E. (2024) “Suggesting a holistic framework for understanding healthcare services leadership competence – a critical interpretive synthesis,” </w:t>
      </w:r>
      <w:r w:rsidRPr="0024165C">
        <w:rPr>
          <w:rFonts w:ascii="Arial" w:hAnsi="Arial" w:cs="Arial"/>
          <w:i/>
          <w:iCs/>
          <w:lang w:val="en-GB"/>
        </w:rPr>
        <w:t>Leadership in health services</w:t>
      </w:r>
      <w:r w:rsidRPr="0024165C">
        <w:rPr>
          <w:rFonts w:ascii="Arial" w:hAnsi="Arial" w:cs="Arial"/>
          <w:lang w:val="en-GB"/>
        </w:rPr>
        <w:t>, 37(5), pp. 99–129. Available at: https://doi.org/10.1108/lhs-08-2023-0059.</w:t>
      </w:r>
    </w:p>
    <w:p w14:paraId="0F5330A3" w14:textId="77777777" w:rsidR="006F3B02" w:rsidRPr="0024165C" w:rsidRDefault="00431692">
      <w:pPr>
        <w:spacing w:after="240"/>
        <w:rPr>
          <w:rFonts w:ascii="Arial" w:hAnsi="Arial" w:cs="Arial"/>
          <w:lang w:val="en-GB"/>
        </w:rPr>
      </w:pPr>
      <w:r w:rsidRPr="0024165C">
        <w:rPr>
          <w:rFonts w:ascii="Arial" w:hAnsi="Arial" w:cs="Arial"/>
          <w:lang w:val="en-GB"/>
        </w:rPr>
        <w:t xml:space="preserve">NHS England (2022) </w:t>
      </w:r>
      <w:r w:rsidRPr="0024165C">
        <w:rPr>
          <w:rFonts w:ascii="Arial" w:hAnsi="Arial" w:cs="Arial"/>
          <w:i/>
          <w:iCs/>
          <w:lang w:val="en-GB"/>
        </w:rPr>
        <w:t>NHS England » virtual wards</w:t>
      </w:r>
      <w:r w:rsidRPr="0024165C">
        <w:rPr>
          <w:rFonts w:ascii="Arial" w:hAnsi="Arial" w:cs="Arial"/>
          <w:lang w:val="en-GB"/>
        </w:rPr>
        <w:t xml:space="preserve">, </w:t>
      </w:r>
      <w:r w:rsidRPr="0024165C">
        <w:rPr>
          <w:rFonts w:ascii="Arial" w:hAnsi="Arial" w:cs="Arial"/>
          <w:i/>
          <w:iCs/>
          <w:lang w:val="en-GB"/>
        </w:rPr>
        <w:t>www.england.nhs.uk</w:t>
      </w:r>
      <w:r w:rsidRPr="0024165C">
        <w:rPr>
          <w:rFonts w:ascii="Arial" w:hAnsi="Arial" w:cs="Arial"/>
          <w:lang w:val="en-GB"/>
        </w:rPr>
        <w:t>, pp. 34–65. Available at: https://www.england.nhs.uk/virtual-wards/ (Accessed: July 28, 2026).</w:t>
      </w:r>
    </w:p>
    <w:p w14:paraId="057D962A" w14:textId="77777777" w:rsidR="006F3B02" w:rsidRPr="0024165C" w:rsidRDefault="00431692">
      <w:pPr>
        <w:spacing w:after="240"/>
        <w:rPr>
          <w:rFonts w:ascii="Arial" w:hAnsi="Arial" w:cs="Arial"/>
          <w:lang w:val="en-GB"/>
        </w:rPr>
      </w:pPr>
      <w:r w:rsidRPr="0024165C">
        <w:rPr>
          <w:rFonts w:ascii="Arial" w:hAnsi="Arial" w:cs="Arial"/>
          <w:lang w:val="en-GB"/>
        </w:rPr>
        <w:t xml:space="preserve">Obianyo, M., Chiedozie, V., Idoko, B., Adeyinka, T., Ejembi, V., Ene, J. and Ugwu, J. (2024) “The future of wearable health technology: From monitoring to preventive healthcare,” </w:t>
      </w:r>
      <w:r w:rsidRPr="0024165C">
        <w:rPr>
          <w:rFonts w:ascii="Arial" w:hAnsi="Arial" w:cs="Arial"/>
          <w:i/>
          <w:iCs/>
          <w:lang w:val="en-GB"/>
        </w:rPr>
        <w:t>World Journal of Biology, Pharmacy and Health Sciences</w:t>
      </w:r>
      <w:r w:rsidRPr="0024165C">
        <w:rPr>
          <w:rFonts w:ascii="Arial" w:hAnsi="Arial" w:cs="Arial"/>
          <w:lang w:val="en-GB"/>
        </w:rPr>
        <w:t>, 20(1), pp. 036–055. Available at: https://doi.org/10.30574/wjbphs.2024.20.1.0709.</w:t>
      </w:r>
    </w:p>
    <w:p w14:paraId="3DF67E88" w14:textId="77777777" w:rsidR="006F3B02" w:rsidRPr="0024165C" w:rsidRDefault="00431692">
      <w:pPr>
        <w:spacing w:after="240"/>
        <w:rPr>
          <w:rFonts w:ascii="Arial" w:hAnsi="Arial" w:cs="Arial"/>
          <w:lang w:val="en-GB"/>
        </w:rPr>
      </w:pPr>
      <w:r w:rsidRPr="0024165C">
        <w:rPr>
          <w:rFonts w:ascii="Arial" w:hAnsi="Arial" w:cs="Arial"/>
          <w:lang w:val="en-GB"/>
        </w:rPr>
        <w:t xml:space="preserve">Rosdiana, N. and Aslami, N. (2022) "The main models of Change management in Kurt Lewin's thinking," </w:t>
      </w:r>
      <w:r w:rsidRPr="0024165C">
        <w:rPr>
          <w:rFonts w:ascii="Arial" w:hAnsi="Arial" w:cs="Arial"/>
          <w:i/>
          <w:iCs/>
          <w:lang w:val="en-GB"/>
        </w:rPr>
        <w:t>Jurnal akuntansi, manajemen Dan bisnis digital</w:t>
      </w:r>
      <w:r w:rsidRPr="0024165C">
        <w:rPr>
          <w:rFonts w:ascii="Arial" w:hAnsi="Arial" w:cs="Arial"/>
          <w:lang w:val="en-GB"/>
        </w:rPr>
        <w:t>, 1(2), pp. 251–256. Available at: https://doi.org/https://doi.org/10.37676/jambd.v1i2.2446.</w:t>
      </w:r>
    </w:p>
    <w:p w14:paraId="346106DE" w14:textId="77777777" w:rsidR="006F3B02" w:rsidRPr="0024165C" w:rsidRDefault="00431692">
      <w:pPr>
        <w:spacing w:after="240"/>
        <w:rPr>
          <w:rFonts w:ascii="Arial" w:hAnsi="Arial" w:cs="Arial"/>
          <w:lang w:val="en-GB"/>
        </w:rPr>
      </w:pPr>
      <w:r w:rsidRPr="0024165C">
        <w:rPr>
          <w:rFonts w:ascii="Arial" w:hAnsi="Arial" w:cs="Arial"/>
          <w:lang w:val="en-GB"/>
        </w:rPr>
        <w:t xml:space="preserve">Shin, P., Desai, V., Conte, A.H. and Qiu, C. (2023) “Time out: The impact of Physician burnout on patient care quality and safety in Perioperative medicine,” </w:t>
      </w:r>
      <w:r w:rsidRPr="0024165C">
        <w:rPr>
          <w:rFonts w:ascii="Arial" w:hAnsi="Arial" w:cs="Arial"/>
          <w:i/>
          <w:iCs/>
          <w:lang w:val="en-GB"/>
        </w:rPr>
        <w:t>The Permanente Journal</w:t>
      </w:r>
      <w:r w:rsidRPr="0024165C">
        <w:rPr>
          <w:rFonts w:ascii="Arial" w:hAnsi="Arial" w:cs="Arial"/>
          <w:lang w:val="en-GB"/>
        </w:rPr>
        <w:t>, 27(2), pp. 160–168. Available at: https://doi.org/10.7812/tpp/23.015.</w:t>
      </w:r>
    </w:p>
    <w:p w14:paraId="095135DD" w14:textId="77777777" w:rsidR="006F3B02" w:rsidRPr="0024165C" w:rsidRDefault="00431692">
      <w:pPr>
        <w:spacing w:after="240"/>
        <w:rPr>
          <w:rFonts w:ascii="Arial" w:hAnsi="Arial" w:cs="Arial"/>
          <w:lang w:val="en-GB"/>
        </w:rPr>
      </w:pPr>
      <w:r w:rsidRPr="0024165C">
        <w:rPr>
          <w:rFonts w:ascii="Arial" w:hAnsi="Arial" w:cs="Arial"/>
          <w:lang w:val="en-GB"/>
        </w:rPr>
        <w:t xml:space="preserve">Singh, V., Kumar, A. and Gupta, S. (2022) “Mental health prevention and promotion—a narrative review,” </w:t>
      </w:r>
      <w:r w:rsidRPr="0024165C">
        <w:rPr>
          <w:rFonts w:ascii="Arial" w:hAnsi="Arial" w:cs="Arial"/>
          <w:i/>
          <w:iCs/>
          <w:lang w:val="en-GB"/>
        </w:rPr>
        <w:t>Frontiers in Psychiatry</w:t>
      </w:r>
      <w:r w:rsidRPr="0024165C">
        <w:rPr>
          <w:rFonts w:ascii="Arial" w:hAnsi="Arial" w:cs="Arial"/>
          <w:lang w:val="en-GB"/>
        </w:rPr>
        <w:t>, 13(13), pp. 23–76. Available at: https://doi.org/10.3389/fpsyt.2022.898009.</w:t>
      </w:r>
    </w:p>
    <w:p w14:paraId="0B8C1024" w14:textId="77777777" w:rsidR="006F3B02" w:rsidRPr="0024165C" w:rsidRDefault="00431692">
      <w:pPr>
        <w:spacing w:after="240"/>
        <w:rPr>
          <w:rFonts w:ascii="Arial" w:hAnsi="Arial" w:cs="Arial"/>
          <w:lang w:val="en-GB"/>
        </w:rPr>
      </w:pPr>
      <w:r w:rsidRPr="0024165C">
        <w:rPr>
          <w:rFonts w:ascii="Arial" w:hAnsi="Arial" w:cs="Arial"/>
          <w:lang w:val="en-GB"/>
        </w:rPr>
        <w:t xml:space="preserve">Spinos, D., Beech, T., Lee, J., Coulson, C., French, L., Greenfield, S., Litchfield, I., Nankivell, P., Allen, R. and Muzaffar, J. (2026) “Referral to treatment times in the national health service of England: A five-year analysis of the impact of the covid-19 pandemic and socioeconomic deprivation and future implications for Ear, nose and throat service delivery,” </w:t>
      </w:r>
      <w:r w:rsidRPr="0024165C">
        <w:rPr>
          <w:rFonts w:ascii="Arial" w:hAnsi="Arial" w:cs="Arial"/>
          <w:i/>
          <w:iCs/>
          <w:lang w:val="en-GB"/>
        </w:rPr>
        <w:t>PLOS one</w:t>
      </w:r>
      <w:r w:rsidRPr="0024165C">
        <w:rPr>
          <w:rFonts w:ascii="Arial" w:hAnsi="Arial" w:cs="Arial"/>
          <w:lang w:val="en-GB"/>
        </w:rPr>
        <w:t>. Edited by R.F. Baggaley, 21(4), pp. 34–65. Available at: https://doi.org/10.1371/journal.pone.0346596.</w:t>
      </w:r>
    </w:p>
    <w:p w14:paraId="1753F90A" w14:textId="77777777" w:rsidR="006F3B02" w:rsidRPr="0024165C" w:rsidRDefault="00431692">
      <w:pPr>
        <w:spacing w:after="240"/>
        <w:rPr>
          <w:rFonts w:ascii="Arial" w:hAnsi="Arial" w:cs="Arial"/>
          <w:lang w:val="en-GB"/>
        </w:rPr>
      </w:pPr>
      <w:r w:rsidRPr="0024165C">
        <w:rPr>
          <w:rFonts w:ascii="Arial" w:hAnsi="Arial" w:cs="Arial"/>
          <w:lang w:val="en-GB"/>
        </w:rPr>
        <w:t xml:space="preserve">Wang, X., Hommel, B., Colzato, L.S., He, D., Ding, K., Liu, C., Qiu, J. and Chen, Q. (2023) “The contribution of divergent and convergent thinking to visual creativity,” </w:t>
      </w:r>
      <w:r w:rsidRPr="0024165C">
        <w:rPr>
          <w:rFonts w:ascii="Arial" w:hAnsi="Arial" w:cs="Arial"/>
          <w:i/>
          <w:iCs/>
          <w:lang w:val="en-GB"/>
        </w:rPr>
        <w:t>Thinking Skills and Creativity</w:t>
      </w:r>
      <w:r w:rsidRPr="0024165C">
        <w:rPr>
          <w:rFonts w:ascii="Arial" w:hAnsi="Arial" w:cs="Arial"/>
          <w:lang w:val="en-GB"/>
        </w:rPr>
        <w:t>, 49(6), pp. 101–372. Available at: https://doi.org/10.1016/j.tsc.2023.101372.</w:t>
      </w:r>
    </w:p>
    <w:p w14:paraId="0B85C4CF" w14:textId="77777777" w:rsidR="006F3B02" w:rsidRPr="0024165C" w:rsidRDefault="00431692">
      <w:pPr>
        <w:spacing w:after="240"/>
        <w:rPr>
          <w:rFonts w:ascii="Arial" w:hAnsi="Arial" w:cs="Arial"/>
          <w:lang w:val="en-GB"/>
        </w:rPr>
      </w:pPr>
      <w:r w:rsidRPr="0024165C">
        <w:rPr>
          <w:rFonts w:ascii="Arial" w:hAnsi="Arial" w:cs="Arial"/>
          <w:lang w:val="en-GB"/>
        </w:rPr>
        <w:t xml:space="preserve">Yaghoubi, E., Yaghoubi, E., Maghami, M.R., Rahebi, J., Jahromi, M.Z., Rahebi, M. and Yusupov, Z. (2025) “A systematic review and Meta-Analysis of Model predictive control in Microgrids: Moving beyond traditional methods,” </w:t>
      </w:r>
      <w:r w:rsidRPr="0024165C">
        <w:rPr>
          <w:rFonts w:ascii="Arial" w:hAnsi="Arial" w:cs="Arial"/>
          <w:i/>
          <w:iCs/>
          <w:lang w:val="en-GB"/>
        </w:rPr>
        <w:t>Processes</w:t>
      </w:r>
      <w:r w:rsidRPr="0024165C">
        <w:rPr>
          <w:rFonts w:ascii="Arial" w:hAnsi="Arial" w:cs="Arial"/>
          <w:lang w:val="en-GB"/>
        </w:rPr>
        <w:t>, 13(7), pp. 2197–2197. Available at: https://doi.org/10.3390/pr13072197.</w:t>
      </w:r>
    </w:p>
    <w:p w14:paraId="25DBFA50" w14:textId="77777777" w:rsidR="006F3B02" w:rsidRPr="0024165C" w:rsidRDefault="00431692">
      <w:pPr>
        <w:spacing w:after="240"/>
        <w:rPr>
          <w:rFonts w:ascii="Arial" w:hAnsi="Arial" w:cs="Arial"/>
          <w:lang w:val="en-GB"/>
        </w:rPr>
      </w:pPr>
      <w:r w:rsidRPr="0024165C">
        <w:rPr>
          <w:rFonts w:ascii="Arial" w:hAnsi="Arial" w:cs="Arial"/>
          <w:lang w:val="en-GB"/>
        </w:rPr>
        <w:t xml:space="preserve">Yu, P. (2022) “Diffusion of innovation theory,” </w:t>
      </w:r>
      <w:r w:rsidRPr="0024165C">
        <w:rPr>
          <w:rFonts w:ascii="Arial" w:hAnsi="Arial" w:cs="Arial"/>
          <w:i/>
          <w:iCs/>
          <w:lang w:val="en-GB"/>
        </w:rPr>
        <w:t>Implementation Science</w:t>
      </w:r>
      <w:r w:rsidRPr="0024165C">
        <w:rPr>
          <w:rFonts w:ascii="Arial" w:hAnsi="Arial" w:cs="Arial"/>
          <w:lang w:val="en-GB"/>
        </w:rPr>
        <w:t>, 5(8), pp. 59–61. Available at: https://doi.org/10.4324/9781003109945-16.</w:t>
      </w:r>
    </w:p>
    <w:p w14:paraId="031EA2FC" w14:textId="77777777" w:rsidR="006F3B02" w:rsidRPr="0024165C" w:rsidRDefault="00431692">
      <w:pPr>
        <w:spacing w:after="240"/>
        <w:rPr>
          <w:rFonts w:ascii="Arial" w:hAnsi="Arial" w:cs="Arial"/>
          <w:lang w:val="en-GB"/>
        </w:rPr>
      </w:pPr>
      <w:r w:rsidRPr="0024165C">
        <w:rPr>
          <w:rFonts w:ascii="Arial" w:hAnsi="Arial" w:cs="Arial"/>
          <w:lang w:val="en-GB"/>
        </w:rPr>
        <w:t xml:space="preserve">Üzümcü, Ö. and Acilmis , H. (2023) “Do innovative teachers use AI-powered tools more interactively? A study in the context of Diffusion of Innovation theory,” </w:t>
      </w:r>
      <w:r w:rsidRPr="0024165C">
        <w:rPr>
          <w:rFonts w:ascii="Arial" w:hAnsi="Arial" w:cs="Arial"/>
          <w:i/>
          <w:iCs/>
          <w:lang w:val="en-GB"/>
        </w:rPr>
        <w:t>Technology, knowledge, and learning</w:t>
      </w:r>
      <w:r w:rsidRPr="0024165C">
        <w:rPr>
          <w:rFonts w:ascii="Arial" w:hAnsi="Arial" w:cs="Arial"/>
          <w:lang w:val="en-GB"/>
        </w:rPr>
        <w:t>, 29(23), pp. 23–98. Available at: https://doi.org/10.1007/s10758-023-09687-1.</w:t>
      </w:r>
    </w:p>
    <w:p w14:paraId="495F61CE" w14:textId="77777777" w:rsidR="006F3B02" w:rsidRPr="0024165C" w:rsidRDefault="006F3B02">
      <w:pPr>
        <w:rPr>
          <w:rFonts w:ascii="Arial" w:hAnsi="Arial" w:cs="Arial"/>
          <w:lang w:val="en-GB"/>
        </w:rPr>
      </w:pPr>
    </w:p>
    <w:p w14:paraId="6B3807E2" w14:textId="77777777" w:rsidR="006F3B02" w:rsidRPr="0024165C" w:rsidRDefault="006F3B02">
      <w:pPr>
        <w:rPr>
          <w:rFonts w:ascii="Arial" w:hAnsi="Arial" w:cs="Arial"/>
          <w:lang w:val="en-GB"/>
        </w:rPr>
      </w:pPr>
    </w:p>
    <w:p w14:paraId="5F935718" w14:textId="77777777" w:rsidR="006F3B02" w:rsidRPr="0024165C" w:rsidRDefault="006F3B02">
      <w:pPr>
        <w:spacing w:after="200"/>
        <w:rPr>
          <w:rFonts w:ascii="Arial" w:hAnsi="Arial" w:cs="Arial"/>
          <w:color w:val="0E101A"/>
          <w:lang w:val="en-GB"/>
        </w:rPr>
      </w:pPr>
    </w:p>
    <w:p w14:paraId="3281266F" w14:textId="77777777" w:rsidR="006F3B02" w:rsidRPr="0024165C" w:rsidRDefault="006F3B02">
      <w:pPr>
        <w:rPr>
          <w:rFonts w:ascii="Arial" w:hAnsi="Arial" w:cs="Arial"/>
          <w:lang w:val="en-GB"/>
        </w:rPr>
      </w:pPr>
    </w:p>
    <w:p w14:paraId="1FAC4DB0" w14:textId="77777777" w:rsidR="006F3B02" w:rsidRPr="0024165C" w:rsidRDefault="006F3B02">
      <w:pPr>
        <w:rPr>
          <w:rFonts w:ascii="Arial" w:hAnsi="Arial" w:cs="Arial"/>
          <w:lang w:val="en-GB"/>
        </w:rPr>
      </w:pPr>
    </w:p>
    <w:p w14:paraId="302D18DA" w14:textId="77777777" w:rsidR="006F3B02" w:rsidRPr="0024165C" w:rsidRDefault="006F3B02">
      <w:pPr>
        <w:rPr>
          <w:rFonts w:ascii="Arial" w:hAnsi="Arial" w:cs="Arial"/>
          <w:lang w:val="en-GB"/>
        </w:rPr>
      </w:pPr>
    </w:p>
    <w:p w14:paraId="4D1F3AB6" w14:textId="77777777" w:rsidR="006F3B02" w:rsidRPr="0024165C" w:rsidRDefault="006F3B02">
      <w:pPr>
        <w:rPr>
          <w:rFonts w:ascii="Arial" w:hAnsi="Arial" w:cs="Arial"/>
          <w:lang w:val="en-GB"/>
        </w:rPr>
      </w:pPr>
    </w:p>
    <w:p w14:paraId="421C37F3" w14:textId="77777777" w:rsidR="006F3B02" w:rsidRPr="0024165C" w:rsidRDefault="006F3B02">
      <w:pPr>
        <w:rPr>
          <w:rFonts w:ascii="Arial" w:hAnsi="Arial" w:cs="Arial"/>
          <w:lang w:val="en-GB"/>
        </w:rPr>
      </w:pPr>
    </w:p>
    <w:p w14:paraId="4F9B4B54" w14:textId="77777777" w:rsidR="006F3B02" w:rsidRPr="0024165C" w:rsidRDefault="006F3B02">
      <w:pPr>
        <w:rPr>
          <w:rFonts w:ascii="Arial" w:hAnsi="Arial" w:cs="Arial"/>
          <w:lang w:val="en-GB"/>
        </w:rPr>
      </w:pPr>
    </w:p>
    <w:p w14:paraId="13A5BE7E" w14:textId="77777777" w:rsidR="006F3B02" w:rsidRPr="0024165C" w:rsidRDefault="006F3B02">
      <w:pPr>
        <w:rPr>
          <w:rFonts w:ascii="Arial" w:hAnsi="Arial" w:cs="Arial"/>
          <w:lang w:val="en-GB"/>
        </w:rPr>
      </w:pPr>
    </w:p>
    <w:p w14:paraId="5889AD9B" w14:textId="77777777" w:rsidR="006F3B02" w:rsidRPr="0024165C" w:rsidRDefault="006F3B02">
      <w:pPr>
        <w:rPr>
          <w:rFonts w:ascii="Arial" w:hAnsi="Arial" w:cs="Arial"/>
          <w:lang w:val="en-GB"/>
        </w:rPr>
      </w:pPr>
    </w:p>
    <w:sectPr w:rsidR="006F3B02" w:rsidRPr="0024165C">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B9668" w14:textId="77777777" w:rsidR="00BB6CDA" w:rsidRDefault="00BB6CDA" w:rsidP="006E2ABF">
      <w:pPr>
        <w:spacing w:line="240" w:lineRule="auto"/>
      </w:pPr>
      <w:r>
        <w:separator/>
      </w:r>
    </w:p>
  </w:endnote>
  <w:endnote w:type="continuationSeparator" w:id="0">
    <w:p w14:paraId="00C351DA" w14:textId="77777777" w:rsidR="00BB6CDA" w:rsidRDefault="00BB6CDA" w:rsidP="006E2A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A0507CB-E988-4BBA-A094-B1895AC4CD41}"/>
  </w:font>
  <w:font w:name="Cambria">
    <w:panose1 w:val="02040503050406030204"/>
    <w:charset w:val="00"/>
    <w:family w:val="roman"/>
    <w:pitch w:val="variable"/>
    <w:sig w:usb0="E00006FF" w:usb1="420024FF" w:usb2="02000000" w:usb3="00000000" w:csb0="0000019F" w:csb1="00000000"/>
    <w:embedRegular r:id="rId2" w:fontKey="{268FA59E-B66E-4914-9C05-D5FD6B04892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414614"/>
      <w:docPartObj>
        <w:docPartGallery w:val="Page Numbers (Bottom of Page)"/>
        <w:docPartUnique/>
      </w:docPartObj>
    </w:sdtPr>
    <w:sdtContent>
      <w:p w14:paraId="53BAD5E7" w14:textId="77777777" w:rsidR="006E2ABF" w:rsidRDefault="006E2ABF">
        <w:pPr>
          <w:pStyle w:val="Footer"/>
          <w:jc w:val="right"/>
        </w:pPr>
        <w:r>
          <w:t xml:space="preserve">Page | </w:t>
        </w:r>
        <w:r>
          <w:fldChar w:fldCharType="begin"/>
        </w:r>
        <w:r>
          <w:instrText xml:space="preserve"> PAGE   \* MERGEFORMAT </w:instrText>
        </w:r>
        <w:r>
          <w:fldChar w:fldCharType="separate"/>
        </w:r>
        <w:r w:rsidR="000633CD">
          <w:rPr>
            <w:noProof/>
          </w:rPr>
          <w:t>2</w:t>
        </w:r>
        <w:r>
          <w:rPr>
            <w:noProof/>
          </w:rPr>
          <w:fldChar w:fldCharType="end"/>
        </w:r>
        <w:r>
          <w:t xml:space="preserve"> </w:t>
        </w:r>
      </w:p>
    </w:sdtContent>
  </w:sdt>
  <w:p w14:paraId="41ACCEA4" w14:textId="77777777" w:rsidR="006E2ABF" w:rsidRDefault="006E2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2D401" w14:textId="77777777" w:rsidR="00BB6CDA" w:rsidRDefault="00BB6CDA" w:rsidP="006E2ABF">
      <w:pPr>
        <w:spacing w:line="240" w:lineRule="auto"/>
      </w:pPr>
      <w:r>
        <w:separator/>
      </w:r>
    </w:p>
  </w:footnote>
  <w:footnote w:type="continuationSeparator" w:id="0">
    <w:p w14:paraId="028A211F" w14:textId="77777777" w:rsidR="00BB6CDA" w:rsidRDefault="00BB6CDA" w:rsidP="006E2A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B02"/>
    <w:rsid w:val="000633CD"/>
    <w:rsid w:val="00183810"/>
    <w:rsid w:val="002308F9"/>
    <w:rsid w:val="00235A8C"/>
    <w:rsid w:val="0024165C"/>
    <w:rsid w:val="0036225C"/>
    <w:rsid w:val="003C1D7E"/>
    <w:rsid w:val="00414C87"/>
    <w:rsid w:val="00431692"/>
    <w:rsid w:val="00687B5F"/>
    <w:rsid w:val="006E2ABF"/>
    <w:rsid w:val="006E32BF"/>
    <w:rsid w:val="006F2C1F"/>
    <w:rsid w:val="006F3B02"/>
    <w:rsid w:val="007000BE"/>
    <w:rsid w:val="00784143"/>
    <w:rsid w:val="007C5123"/>
    <w:rsid w:val="008138BF"/>
    <w:rsid w:val="00877128"/>
    <w:rsid w:val="008A1D47"/>
    <w:rsid w:val="009044B1"/>
    <w:rsid w:val="00913DF3"/>
    <w:rsid w:val="00B30F98"/>
    <w:rsid w:val="00BB6CDA"/>
    <w:rsid w:val="00C823B2"/>
    <w:rsid w:val="00CE44B8"/>
    <w:rsid w:val="00E00C86"/>
    <w:rsid w:val="00E20BA2"/>
    <w:rsid w:val="00FE47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5C043"/>
  <w15:docId w15:val="{BEEBBFB4-F5F8-4E16-A483-11EBD7910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7000BE"/>
    <w:pPr>
      <w:spacing w:line="240" w:lineRule="auto"/>
    </w:pPr>
  </w:style>
  <w:style w:type="paragraph" w:styleId="TOCHeading">
    <w:name w:val="TOC Heading"/>
    <w:basedOn w:val="Heading1"/>
    <w:next w:val="Normal"/>
    <w:uiPriority w:val="39"/>
    <w:unhideWhenUsed/>
    <w:qFormat/>
    <w:rsid w:val="006F2C1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6F2C1F"/>
    <w:pPr>
      <w:spacing w:after="100"/>
    </w:pPr>
  </w:style>
  <w:style w:type="character" w:styleId="Hyperlink">
    <w:name w:val="Hyperlink"/>
    <w:basedOn w:val="DefaultParagraphFont"/>
    <w:uiPriority w:val="99"/>
    <w:unhideWhenUsed/>
    <w:rsid w:val="006F2C1F"/>
    <w:rPr>
      <w:color w:val="0000FF" w:themeColor="hyperlink"/>
      <w:u w:val="single"/>
    </w:rPr>
  </w:style>
  <w:style w:type="paragraph" w:styleId="Header">
    <w:name w:val="header"/>
    <w:basedOn w:val="Normal"/>
    <w:link w:val="HeaderChar"/>
    <w:uiPriority w:val="99"/>
    <w:unhideWhenUsed/>
    <w:rsid w:val="006E2ABF"/>
    <w:pPr>
      <w:tabs>
        <w:tab w:val="center" w:pos="4513"/>
        <w:tab w:val="right" w:pos="9026"/>
      </w:tabs>
      <w:spacing w:line="240" w:lineRule="auto"/>
    </w:pPr>
  </w:style>
  <w:style w:type="character" w:customStyle="1" w:styleId="HeaderChar">
    <w:name w:val="Header Char"/>
    <w:basedOn w:val="DefaultParagraphFont"/>
    <w:link w:val="Header"/>
    <w:uiPriority w:val="99"/>
    <w:rsid w:val="006E2ABF"/>
  </w:style>
  <w:style w:type="paragraph" w:styleId="Footer">
    <w:name w:val="footer"/>
    <w:basedOn w:val="Normal"/>
    <w:link w:val="FooterChar"/>
    <w:uiPriority w:val="99"/>
    <w:unhideWhenUsed/>
    <w:rsid w:val="006E2ABF"/>
    <w:pPr>
      <w:tabs>
        <w:tab w:val="center" w:pos="4513"/>
        <w:tab w:val="right" w:pos="9026"/>
      </w:tabs>
      <w:spacing w:line="240" w:lineRule="auto"/>
    </w:pPr>
  </w:style>
  <w:style w:type="character" w:customStyle="1" w:styleId="FooterChar">
    <w:name w:val="Footer Char"/>
    <w:basedOn w:val="DefaultParagraphFont"/>
    <w:link w:val="Footer"/>
    <w:uiPriority w:val="99"/>
    <w:rsid w:val="006E2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3829A1-B10C-4079-9A81-44326BEE2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mary banger</cp:lastModifiedBy>
  <cp:revision>24</cp:revision>
  <dcterms:created xsi:type="dcterms:W3CDTF">2026-07-28T04:40:00Z</dcterms:created>
  <dcterms:modified xsi:type="dcterms:W3CDTF">2026-07-29T15:58:00Z</dcterms:modified>
</cp:coreProperties>
</file>