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4525820"/>
        <w:docPartObj>
          <w:docPartGallery w:val="Cover Pages"/>
          <w:docPartUnique/>
        </w:docPartObj>
      </w:sdtPr>
      <w:sdtEndPr>
        <w:rPr>
          <w:rFonts w:ascii="Arial" w:eastAsiaTheme="minorHAnsi" w:hAnsi="Arial" w:cs="Arial"/>
          <w:b/>
          <w:bCs/>
          <w:kern w:val="2"/>
          <w:sz w:val="24"/>
          <w:szCs w:val="24"/>
          <w:lang w:val="en-GB"/>
          <w14:ligatures w14:val="standardContextual"/>
        </w:rPr>
      </w:sdtEndPr>
      <w:sdtContent>
        <w:p w14:paraId="71207C9F" w14:textId="2AD037D0" w:rsidR="00A35A63" w:rsidRDefault="00A35A63">
          <w:pPr>
            <w:pStyle w:val="NoSpacing"/>
          </w:pPr>
          <w:r>
            <w:rPr>
              <w:noProof/>
            </w:rPr>
            <mc:AlternateContent>
              <mc:Choice Requires="wpg">
                <w:drawing>
                  <wp:anchor distT="0" distB="0" distL="114300" distR="114300" simplePos="0" relativeHeight="251659264" behindDoc="1" locked="0" layoutInCell="1" allowOverlap="1" wp14:anchorId="0659D2DB" wp14:editId="3EFADA9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1-10T00:00:00Z">
                                      <w:dateFormat w:val="M/d/yyyy"/>
                                      <w:lid w:val="en-US"/>
                                      <w:storeMappedDataAs w:val="dateTime"/>
                                      <w:calendar w:val="gregorian"/>
                                    </w:date>
                                  </w:sdtPr>
                                  <w:sdtContent>
                                    <w:p w14:paraId="5948BDED" w14:textId="02EC05AE" w:rsidR="00A35A63" w:rsidRPr="00A35A63" w:rsidRDefault="00A35A63">
                                      <w:pPr>
                                        <w:pStyle w:val="NoSpacing"/>
                                        <w:jc w:val="right"/>
                                        <w:rPr>
                                          <w:rFonts w:ascii="Arial Black" w:hAnsi="Arial Black"/>
                                          <w:color w:val="FFFFFF" w:themeColor="background1"/>
                                          <w:sz w:val="28"/>
                                          <w:szCs w:val="28"/>
                                        </w:rPr>
                                      </w:pPr>
                                      <w:r w:rsidRPr="00A35A63">
                                        <w:rPr>
                                          <w:rFonts w:ascii="Arial Black" w:hAnsi="Arial Black"/>
                                          <w:color w:val="FFFFFF" w:themeColor="background1"/>
                                          <w:sz w:val="28"/>
                                          <w:szCs w:val="28"/>
                                        </w:rPr>
                                        <w:t>11/10/2024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659D2DB"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rFonts w:ascii="Arial Black" w:hAnsi="Arial Black"/>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1-10T00:00:00Z">
                                <w:dateFormat w:val="M/d/yyyy"/>
                                <w:lid w:val="en-US"/>
                                <w:storeMappedDataAs w:val="dateTime"/>
                                <w:calendar w:val="gregorian"/>
                              </w:date>
                            </w:sdtPr>
                            <w:sdtContent>
                              <w:p w14:paraId="5948BDED" w14:textId="02EC05AE" w:rsidR="00A35A63" w:rsidRPr="00A35A63" w:rsidRDefault="00A35A63">
                                <w:pPr>
                                  <w:pStyle w:val="NoSpacing"/>
                                  <w:jc w:val="right"/>
                                  <w:rPr>
                                    <w:rFonts w:ascii="Arial Black" w:hAnsi="Arial Black"/>
                                    <w:color w:val="FFFFFF" w:themeColor="background1"/>
                                    <w:sz w:val="28"/>
                                    <w:szCs w:val="28"/>
                                  </w:rPr>
                                </w:pPr>
                                <w:r w:rsidRPr="00A35A63">
                                  <w:rPr>
                                    <w:rFonts w:ascii="Arial Black" w:hAnsi="Arial Black"/>
                                    <w:color w:val="FFFFFF" w:themeColor="background1"/>
                                    <w:sz w:val="28"/>
                                    <w:szCs w:val="28"/>
                                  </w:rPr>
                                  <w:t>11/10/2024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82CC0E7" w14:textId="10F9E8F4" w:rsidR="00A35A63" w:rsidRDefault="00A35A63">
          <w:pPr>
            <w:rPr>
              <w:rFonts w:ascii="Arial" w:hAnsi="Arial" w:cs="Arial"/>
              <w:b/>
              <w:bCs/>
            </w:rPr>
          </w:pPr>
          <w:r>
            <w:rPr>
              <w:noProof/>
            </w:rPr>
            <mc:AlternateContent>
              <mc:Choice Requires="wps">
                <w:drawing>
                  <wp:anchor distT="0" distB="0" distL="114300" distR="114300" simplePos="0" relativeHeight="251661312" behindDoc="0" locked="0" layoutInCell="1" allowOverlap="1" wp14:anchorId="38A00A07" wp14:editId="15BF3D43">
                    <wp:simplePos x="0" y="0"/>
                    <wp:positionH relativeFrom="page">
                      <wp:posOffset>2305050</wp:posOffset>
                    </wp:positionH>
                    <wp:positionV relativeFrom="page">
                      <wp:posOffset>9410700</wp:posOffset>
                    </wp:positionV>
                    <wp:extent cx="4272280" cy="365760"/>
                    <wp:effectExtent l="0" t="0" r="13970" b="0"/>
                    <wp:wrapNone/>
                    <wp:docPr id="32" name="Text Box 28"/>
                    <wp:cNvGraphicFramePr/>
                    <a:graphic xmlns:a="http://schemas.openxmlformats.org/drawingml/2006/main">
                      <a:graphicData uri="http://schemas.microsoft.com/office/word/2010/wordprocessingShape">
                        <wps:wsp>
                          <wps:cNvSpPr txBox="1"/>
                          <wps:spPr>
                            <a:xfrm>
                              <a:off x="0" y="0"/>
                              <a:ext cx="427228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69A842" w14:textId="72A9365D" w:rsidR="00A35A63" w:rsidRPr="00A35A63" w:rsidRDefault="00A35A63">
                                <w:pPr>
                                  <w:pStyle w:val="NoSpacing"/>
                                  <w:rPr>
                                    <w:rFonts w:ascii="Arial Black" w:hAnsi="Arial Black"/>
                                    <w:color w:val="156082" w:themeColor="accent1"/>
                                    <w:sz w:val="40"/>
                                    <w:szCs w:val="40"/>
                                  </w:rPr>
                                </w:pPr>
                                <w:sdt>
                                  <w:sdtPr>
                                    <w:rPr>
                                      <w:rFonts w:ascii="Arial Black" w:hAnsi="Arial Black"/>
                                      <w:color w:val="156082"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A35A63">
                                      <w:rPr>
                                        <w:rFonts w:ascii="Arial Black" w:hAnsi="Arial Black"/>
                                        <w:color w:val="156082" w:themeColor="accent1"/>
                                        <w:sz w:val="40"/>
                                        <w:szCs w:val="40"/>
                                      </w:rPr>
                                      <w:t>Neculai Balaceanu (2414598)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8A00A07" id="_x0000_t202" coordsize="21600,21600" o:spt="202" path="m,l,21600r21600,l21600,xe">
                    <v:stroke joinstyle="miter"/>
                    <v:path gradientshapeok="t" o:connecttype="rect"/>
                  </v:shapetype>
                  <v:shape id="Text Box 28" o:spid="_x0000_s1055" type="#_x0000_t202" style="position:absolute;margin-left:181.5pt;margin-top:741pt;width:336.4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" filled="f" stroked="f" strokeweight=".5pt">
                    <v:textbox style="mso-fit-shape-to-text:t" inset="0,0,0,0">
                      <w:txbxContent>
                        <w:p w14:paraId="5969A842" w14:textId="72A9365D" w:rsidR="00A35A63" w:rsidRPr="00A35A63" w:rsidRDefault="00A35A63">
                          <w:pPr>
                            <w:pStyle w:val="NoSpacing"/>
                            <w:rPr>
                              <w:rFonts w:ascii="Arial Black" w:hAnsi="Arial Black"/>
                              <w:color w:val="156082" w:themeColor="accent1"/>
                              <w:sz w:val="40"/>
                              <w:szCs w:val="40"/>
                            </w:rPr>
                          </w:pPr>
                          <w:sdt>
                            <w:sdtPr>
                              <w:rPr>
                                <w:rFonts w:ascii="Arial Black" w:hAnsi="Arial Black"/>
                                <w:color w:val="156082"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A35A63">
                                <w:rPr>
                                  <w:rFonts w:ascii="Arial Black" w:hAnsi="Arial Black"/>
                                  <w:color w:val="156082" w:themeColor="accent1"/>
                                  <w:sz w:val="40"/>
                                  <w:szCs w:val="40"/>
                                </w:rPr>
                                <w:t>Neculai Balaceanu (2414598)</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F258E01" wp14:editId="76078639">
                    <wp:simplePos x="0" y="0"/>
                    <wp:positionH relativeFrom="page">
                      <wp:posOffset>1333500</wp:posOffset>
                    </wp:positionH>
                    <wp:positionV relativeFrom="page">
                      <wp:posOffset>3232150</wp:posOffset>
                    </wp:positionV>
                    <wp:extent cx="5340350" cy="1069848"/>
                    <wp:effectExtent l="0" t="0" r="12700" b="1270"/>
                    <wp:wrapNone/>
                    <wp:docPr id="1" name="Text Box 30"/>
                    <wp:cNvGraphicFramePr/>
                    <a:graphic xmlns:a="http://schemas.openxmlformats.org/drawingml/2006/main">
                      <a:graphicData uri="http://schemas.microsoft.com/office/word/2010/wordprocessingShape">
                        <wps:wsp>
                          <wps:cNvSpPr txBox="1"/>
                          <wps:spPr>
                            <a:xfrm>
                              <a:off x="0" y="0"/>
                              <a:ext cx="534035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A24484" w14:textId="79FC14ED" w:rsidR="00A35A63" w:rsidRPr="00A35A63" w:rsidRDefault="00A35A63" w:rsidP="00A35A63">
                                <w:pPr>
                                  <w:pStyle w:val="NoSpacing"/>
                                  <w:jc w:val="center"/>
                                  <w:rPr>
                                    <w:rFonts w:ascii="Arial Black" w:eastAsiaTheme="majorEastAsia" w:hAnsi="Arial Black" w:cstheme="majorBidi"/>
                                    <w:color w:val="262626" w:themeColor="text1" w:themeTint="D9"/>
                                    <w:sz w:val="72"/>
                                  </w:rPr>
                                </w:pPr>
                                <w:r w:rsidRPr="00A35A63">
                                  <w:rPr>
                                    <w:rFonts w:ascii="Arial Black" w:eastAsiaTheme="majorEastAsia" w:hAnsi="Arial Black" w:cstheme="majorBidi"/>
                                    <w:color w:val="262626" w:themeColor="text1" w:themeTint="D9"/>
                                    <w:sz w:val="72"/>
                                  </w:rPr>
                                  <w:t>Opportunities and Threats to Social Enterprise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0F258E01" id="Text Box 30" o:spid="_x0000_s1056" type="#_x0000_t202" style="position:absolute;margin-left:105pt;margin-top:254.5pt;width:420.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" filled="f" stroked="f" strokeweight=".5pt">
                    <v:textbox style="mso-fit-shape-to-text:t" inset="0,0,0,0">
                      <w:txbxContent>
                        <w:p w14:paraId="19A24484" w14:textId="79FC14ED" w:rsidR="00A35A63" w:rsidRPr="00A35A63" w:rsidRDefault="00A35A63" w:rsidP="00A35A63">
                          <w:pPr>
                            <w:pStyle w:val="NoSpacing"/>
                            <w:jc w:val="center"/>
                            <w:rPr>
                              <w:rFonts w:ascii="Arial Black" w:eastAsiaTheme="majorEastAsia" w:hAnsi="Arial Black" w:cstheme="majorBidi"/>
                              <w:color w:val="262626" w:themeColor="text1" w:themeTint="D9"/>
                              <w:sz w:val="72"/>
                            </w:rPr>
                          </w:pPr>
                          <w:r w:rsidRPr="00A35A63">
                            <w:rPr>
                              <w:rFonts w:ascii="Arial Black" w:eastAsiaTheme="majorEastAsia" w:hAnsi="Arial Black" w:cstheme="majorBidi"/>
                              <w:color w:val="262626" w:themeColor="text1" w:themeTint="D9"/>
                              <w:sz w:val="72"/>
                            </w:rPr>
                            <w:t>Opportunities and Threats to Social Enterprise</w:t>
                          </w:r>
                        </w:p>
                      </w:txbxContent>
                    </v:textbox>
                    <w10:wrap anchorx="page" anchory="page"/>
                  </v:shape>
                </w:pict>
              </mc:Fallback>
            </mc:AlternateContent>
          </w:r>
          <w:r>
            <w:rPr>
              <w:rFonts w:ascii="Arial" w:hAnsi="Arial" w:cs="Arial"/>
              <w:b/>
              <w:bCs/>
            </w:rPr>
            <w:br w:type="page"/>
          </w:r>
        </w:p>
      </w:sdtContent>
    </w:sdt>
    <w:p w14:paraId="498AD557" w14:textId="26EE89E4" w:rsidR="00B502D5" w:rsidRPr="00A35A63" w:rsidRDefault="00B502D5" w:rsidP="00B502D5">
      <w:pPr>
        <w:spacing w:line="480" w:lineRule="auto"/>
        <w:jc w:val="both"/>
        <w:rPr>
          <w:rFonts w:ascii="Arial" w:hAnsi="Arial" w:cs="Arial"/>
          <w:b/>
          <w:bCs/>
        </w:rPr>
      </w:pPr>
      <w:r w:rsidRPr="00A35A63">
        <w:rPr>
          <w:rFonts w:ascii="Arial" w:hAnsi="Arial" w:cs="Arial"/>
          <w:b/>
          <w:bCs/>
        </w:rPr>
        <w:lastRenderedPageBreak/>
        <w:t xml:space="preserve">Introduction </w:t>
      </w:r>
    </w:p>
    <w:p w14:paraId="5C6A79AA" w14:textId="77777777" w:rsidR="00B502D5" w:rsidRDefault="00B502D5" w:rsidP="00B502D5">
      <w:pPr>
        <w:spacing w:line="480" w:lineRule="auto"/>
        <w:jc w:val="both"/>
        <w:rPr>
          <w:rFonts w:ascii="Arial" w:hAnsi="Arial" w:cs="Arial"/>
        </w:rPr>
      </w:pPr>
      <w:r w:rsidRPr="00B502D5">
        <w:rPr>
          <w:rFonts w:ascii="Arial" w:hAnsi="Arial" w:cs="Arial"/>
        </w:rPr>
        <w:t xml:space="preserve">In recent years, social enterprises have attracted considerable interest as hybrid entities that combine the social objectives of non-profits with the market-oriented strategies of businesses. They seek to address immediate social challenges by implementing creative solutions that are effective and environmentally friendly. Nonetheless, functioning at the crossroads of social benefit and financial sustainability offers a distinct array of opportunities and obstacles. This essay utilises a SWOT analysis to explore the strengths, weaknesses, opportunities, and threats encountered by social enterprises. Through the combination of academic theories and practical examples, we will examine how these organisations manage the challenges of their dual goals and the approaches they use to enhance their social impact while maintaining financial viability. </w:t>
      </w:r>
    </w:p>
    <w:p w14:paraId="5E46479C" w14:textId="77777777" w:rsidR="00B502D5" w:rsidRPr="00A35A63" w:rsidRDefault="00B502D5" w:rsidP="00B502D5">
      <w:pPr>
        <w:spacing w:line="480" w:lineRule="auto"/>
        <w:jc w:val="both"/>
        <w:rPr>
          <w:rFonts w:ascii="Arial" w:hAnsi="Arial" w:cs="Arial"/>
          <w:b/>
          <w:bCs/>
        </w:rPr>
      </w:pPr>
      <w:r w:rsidRPr="00A35A63">
        <w:rPr>
          <w:rFonts w:ascii="Arial" w:hAnsi="Arial" w:cs="Arial"/>
          <w:b/>
          <w:bCs/>
        </w:rPr>
        <w:t>SWOT Analysis</w:t>
      </w:r>
    </w:p>
    <w:p w14:paraId="488E2EEA" w14:textId="3CE51191" w:rsidR="00B502D5" w:rsidRPr="00A35A63" w:rsidRDefault="00B502D5" w:rsidP="00B502D5">
      <w:pPr>
        <w:spacing w:line="480" w:lineRule="auto"/>
        <w:jc w:val="both"/>
        <w:rPr>
          <w:rFonts w:ascii="Arial" w:hAnsi="Arial" w:cs="Arial"/>
          <w:b/>
          <w:bCs/>
        </w:rPr>
      </w:pPr>
      <w:r w:rsidRPr="00A35A63">
        <w:rPr>
          <w:rFonts w:ascii="Arial" w:hAnsi="Arial" w:cs="Arial"/>
          <w:b/>
          <w:bCs/>
        </w:rPr>
        <w:t>Strengths</w:t>
      </w:r>
    </w:p>
    <w:p w14:paraId="2F0BB69C" w14:textId="77777777" w:rsidR="00B502D5" w:rsidRDefault="00B502D5" w:rsidP="00B502D5">
      <w:pPr>
        <w:spacing w:line="480" w:lineRule="auto"/>
        <w:jc w:val="both"/>
        <w:rPr>
          <w:rFonts w:ascii="Arial" w:hAnsi="Arial" w:cs="Arial"/>
        </w:rPr>
      </w:pPr>
      <w:r w:rsidRPr="00B502D5">
        <w:rPr>
          <w:rFonts w:ascii="Arial" w:hAnsi="Arial" w:cs="Arial"/>
        </w:rPr>
        <w:t>The primary benefit of social enterprises is their capacity to generate blended value, a concept introduced by Jed Emerson. Emerson's Blended Value Theory suggests that social enterprises create value that integrates social, environmental, and economic returns. This comprehensive method enables social enterprises to address social issues efficiently while maintaining their financial viability. TOMS Shoes follows a one-for-one model, giving away a pair of shoes for each pair purchased, thus merging profit with charitable efforts.</w:t>
      </w:r>
    </w:p>
    <w:p w14:paraId="31AAC44F" w14:textId="77777777" w:rsidR="00B502D5" w:rsidRDefault="00B502D5" w:rsidP="00B502D5">
      <w:pPr>
        <w:spacing w:line="480" w:lineRule="auto"/>
        <w:jc w:val="both"/>
        <w:rPr>
          <w:rFonts w:ascii="Arial" w:hAnsi="Arial" w:cs="Arial"/>
        </w:rPr>
      </w:pPr>
      <w:r w:rsidRPr="00B502D5">
        <w:rPr>
          <w:rFonts w:ascii="Arial" w:hAnsi="Arial" w:cs="Arial"/>
        </w:rPr>
        <w:t xml:space="preserve">Additionally, social enterprises gain from robust relationships with stakeholders, as explained by R. Edward Freeman's Stakeholder Theory. By focussing on the requirements of different stakeholders—such as employees, customers, suppliers, </w:t>
      </w:r>
      <w:r w:rsidRPr="00B502D5">
        <w:rPr>
          <w:rFonts w:ascii="Arial" w:hAnsi="Arial" w:cs="Arial"/>
        </w:rPr>
        <w:lastRenderedPageBreak/>
        <w:t>and the community—social enterprises foster trust and loyalty, potentially resulting in a competitive edge. Greyston Bakery demonstrates this through its open hiring policy, which provides employment opportunities to all individuals, irrespective of their backgrounds, thereby promoting community growth while delivering top-notch products.</w:t>
      </w:r>
    </w:p>
    <w:p w14:paraId="2B7DD816" w14:textId="77777777" w:rsidR="00B502D5" w:rsidRDefault="00B502D5" w:rsidP="00B502D5">
      <w:pPr>
        <w:spacing w:line="480" w:lineRule="auto"/>
        <w:jc w:val="both"/>
        <w:rPr>
          <w:rFonts w:ascii="Arial" w:hAnsi="Arial" w:cs="Arial"/>
        </w:rPr>
      </w:pPr>
      <w:r w:rsidRPr="00B502D5">
        <w:rPr>
          <w:rFonts w:ascii="Arial" w:hAnsi="Arial" w:cs="Arial"/>
        </w:rPr>
        <w:t xml:space="preserve">Moreover, social enterprises frequently utilise innovation to tackle intricate social challenges, in line with Gregory Dees' insights into Social Innovation Theory. Dees highlighted the significance of creative approaches in generating social change. Social enterprises such as </w:t>
      </w:r>
      <w:proofErr w:type="spellStart"/>
      <w:r w:rsidRPr="00B502D5">
        <w:rPr>
          <w:rFonts w:ascii="Arial" w:hAnsi="Arial" w:cs="Arial"/>
        </w:rPr>
        <w:t>Fairphone</w:t>
      </w:r>
      <w:proofErr w:type="spellEnd"/>
      <w:r w:rsidRPr="00B502D5">
        <w:rPr>
          <w:rFonts w:ascii="Arial" w:hAnsi="Arial" w:cs="Arial"/>
        </w:rPr>
        <w:t xml:space="preserve"> challenge conventional markets by offering smartphones that are produced ethically, tackling concerns related to labour rights and electronic waste.</w:t>
      </w:r>
    </w:p>
    <w:p w14:paraId="35CD48DF" w14:textId="5AC5A1AE" w:rsidR="00B502D5" w:rsidRPr="00A35A63" w:rsidRDefault="00A35A63" w:rsidP="00B502D5">
      <w:pPr>
        <w:spacing w:line="480" w:lineRule="auto"/>
        <w:jc w:val="both"/>
        <w:rPr>
          <w:rFonts w:ascii="Arial" w:hAnsi="Arial" w:cs="Arial"/>
          <w:b/>
          <w:bCs/>
        </w:rPr>
      </w:pPr>
      <w:r w:rsidRPr="00A35A63">
        <w:rPr>
          <w:rFonts w:ascii="Arial" w:hAnsi="Arial" w:cs="Arial"/>
          <w:b/>
          <w:bCs/>
        </w:rPr>
        <w:t>Weaknesses</w:t>
      </w:r>
    </w:p>
    <w:p w14:paraId="2FB4B72D" w14:textId="77777777" w:rsidR="00B502D5" w:rsidRDefault="00B502D5" w:rsidP="00B502D5">
      <w:pPr>
        <w:spacing w:line="480" w:lineRule="auto"/>
        <w:jc w:val="both"/>
        <w:rPr>
          <w:rFonts w:ascii="Arial" w:hAnsi="Arial" w:cs="Arial"/>
        </w:rPr>
      </w:pPr>
      <w:r w:rsidRPr="00B502D5">
        <w:rPr>
          <w:rFonts w:ascii="Arial" w:hAnsi="Arial" w:cs="Arial"/>
        </w:rPr>
        <w:t>While social enterprises have their advantages, they also encounter fundamental weaknesses, especially the issue of mission drift. Kim Alter's conversations regarding Mission Drift Theory emphasise the danger of organisations deviating from their social goals while seeking financial sustainability. The conflict between social objectives and profitability can weaken the organization's effectiveness. For instance, when microfinance institutions focus more on financial gains than on the well-being of their clients, they might set high-interest rates that place a heavy burden on the communities they intend to support.</w:t>
      </w:r>
    </w:p>
    <w:p w14:paraId="45C0C889" w14:textId="77777777" w:rsidR="00B502D5" w:rsidRDefault="00B502D5" w:rsidP="00B502D5">
      <w:pPr>
        <w:spacing w:line="480" w:lineRule="auto"/>
        <w:jc w:val="both"/>
        <w:rPr>
          <w:rFonts w:ascii="Arial" w:hAnsi="Arial" w:cs="Arial"/>
        </w:rPr>
      </w:pPr>
      <w:r w:rsidRPr="00B502D5">
        <w:rPr>
          <w:rFonts w:ascii="Arial" w:hAnsi="Arial" w:cs="Arial"/>
        </w:rPr>
        <w:t xml:space="preserve">Resource dependency represents a notable vulnerability, as described in the Resource Dependency Theory by Jeffrey Pfeffer and Gerald R. </w:t>
      </w:r>
      <w:proofErr w:type="spellStart"/>
      <w:r w:rsidRPr="00B502D5">
        <w:rPr>
          <w:rFonts w:ascii="Arial" w:hAnsi="Arial" w:cs="Arial"/>
        </w:rPr>
        <w:t>Salancik</w:t>
      </w:r>
      <w:proofErr w:type="spellEnd"/>
      <w:r w:rsidRPr="00B502D5">
        <w:rPr>
          <w:rFonts w:ascii="Arial" w:hAnsi="Arial" w:cs="Arial"/>
        </w:rPr>
        <w:t xml:space="preserve">. Social enterprises frequently depend on outside funding sources, like grants or impact investments, which can be inconsistent or inadequate. This reliance can restrict their </w:t>
      </w:r>
      <w:r w:rsidRPr="00B502D5">
        <w:rPr>
          <w:rFonts w:ascii="Arial" w:hAnsi="Arial" w:cs="Arial"/>
        </w:rPr>
        <w:lastRenderedPageBreak/>
        <w:t>operational capabilities and strategic independence. An example of this is social enterprises in developing nations that face challenges in scaling because of restricted access to capital and infrastructure.</w:t>
      </w:r>
    </w:p>
    <w:p w14:paraId="183002A8" w14:textId="77777777" w:rsidR="00B502D5" w:rsidRDefault="00B502D5" w:rsidP="00B502D5">
      <w:pPr>
        <w:spacing w:line="480" w:lineRule="auto"/>
        <w:jc w:val="both"/>
        <w:rPr>
          <w:rFonts w:ascii="Arial" w:hAnsi="Arial" w:cs="Arial"/>
        </w:rPr>
      </w:pPr>
      <w:r w:rsidRPr="00B502D5">
        <w:rPr>
          <w:rFonts w:ascii="Arial" w:hAnsi="Arial" w:cs="Arial"/>
        </w:rPr>
        <w:t>Additionally, overseeing the dual aspects of social enterprises presents internal difficulties. Julie Battilana and Matthew Lee's research on Hybrid Organisation Theory illustrates how the interplay between commercial pursuits and social objectives can lead to organisational conflicts. Workers might face competing demands, resulting in decreased efficiency or lower morale. A social enterprise that needs to reduce expenses to stay competitive might encounter criticism if its cost-cutting strategies undermine its social initiatives.</w:t>
      </w:r>
    </w:p>
    <w:p w14:paraId="113BF6ED" w14:textId="77777777" w:rsidR="00B502D5" w:rsidRDefault="00B502D5" w:rsidP="00B502D5">
      <w:pPr>
        <w:spacing w:line="480" w:lineRule="auto"/>
        <w:jc w:val="both"/>
        <w:rPr>
          <w:rFonts w:ascii="Arial" w:hAnsi="Arial" w:cs="Arial"/>
        </w:rPr>
      </w:pPr>
      <w:r w:rsidRPr="00A35A63">
        <w:rPr>
          <w:rFonts w:ascii="Arial" w:hAnsi="Arial" w:cs="Arial"/>
          <w:b/>
          <w:bCs/>
        </w:rPr>
        <w:t>Opportunities</w:t>
      </w:r>
      <w:r w:rsidRPr="00B502D5">
        <w:rPr>
          <w:rFonts w:ascii="Arial" w:hAnsi="Arial" w:cs="Arial"/>
          <w:b/>
          <w:bCs/>
        </w:rPr>
        <w:br/>
      </w:r>
      <w:r w:rsidRPr="00B502D5">
        <w:rPr>
          <w:rFonts w:ascii="Arial" w:hAnsi="Arial" w:cs="Arial"/>
        </w:rPr>
        <w:t>The changing environment offers many chances for social enterprises to enhance their influence. The growing enthusiasm for impact investing, championed by entities such as the Rockefeller Foundation and the Global Impact Investing Network (GIIN), opens up new avenues for funding aimed at producing social and environmental advantages in addition to financial gains. Impact investors are attracted to social enterprises that show quantifiable results, in line with the Social Return on Investment (SROI) metrics established by the Roberts Enterprise Development Fund (REDF). Emphasising measurable outcomes can draw significant funding, allowing social enterprises to grow their activities.</w:t>
      </w:r>
    </w:p>
    <w:p w14:paraId="2B68E66C" w14:textId="77777777" w:rsidR="00B502D5" w:rsidRDefault="00B502D5" w:rsidP="00B502D5">
      <w:pPr>
        <w:spacing w:line="480" w:lineRule="auto"/>
        <w:jc w:val="both"/>
        <w:rPr>
          <w:rFonts w:ascii="Arial" w:hAnsi="Arial" w:cs="Arial"/>
        </w:rPr>
      </w:pPr>
      <w:r w:rsidRPr="00B502D5">
        <w:rPr>
          <w:rFonts w:ascii="Arial" w:hAnsi="Arial" w:cs="Arial"/>
        </w:rPr>
        <w:t xml:space="preserve">Progress in social innovation presents chances for expanding influence. The SCALERS model, developed by Paul Bloom and J. Gregory Dees, highlights essential factors for expanding social impact, including staffing, communication, alliance-building, lobbying, earnings-generation, replication, and stimulating market forces. </w:t>
      </w:r>
      <w:r w:rsidRPr="00B502D5">
        <w:rPr>
          <w:rFonts w:ascii="Arial" w:hAnsi="Arial" w:cs="Arial"/>
        </w:rPr>
        <w:lastRenderedPageBreak/>
        <w:t xml:space="preserve">Social enterprises that successfully utilise these factors can broaden their impact. An illustration is </w:t>
      </w:r>
      <w:proofErr w:type="spellStart"/>
      <w:proofErr w:type="gramStart"/>
      <w:r w:rsidRPr="00B502D5">
        <w:rPr>
          <w:rFonts w:ascii="Arial" w:hAnsi="Arial" w:cs="Arial"/>
        </w:rPr>
        <w:t>d.light</w:t>
      </w:r>
      <w:proofErr w:type="spellEnd"/>
      <w:proofErr w:type="gramEnd"/>
      <w:r w:rsidRPr="00B502D5">
        <w:rPr>
          <w:rFonts w:ascii="Arial" w:hAnsi="Arial" w:cs="Arial"/>
        </w:rPr>
        <w:t>, a firm that offers cost-effective solar energy solutions in off-grid areas, which has experienced rapid growth by forming strategic partnerships and adjusting to local markets.</w:t>
      </w:r>
    </w:p>
    <w:p w14:paraId="0466427D" w14:textId="77777777" w:rsidR="00B502D5" w:rsidRDefault="00B502D5" w:rsidP="00B502D5">
      <w:pPr>
        <w:spacing w:line="480" w:lineRule="auto"/>
        <w:jc w:val="both"/>
        <w:rPr>
          <w:rFonts w:ascii="Arial" w:hAnsi="Arial" w:cs="Arial"/>
        </w:rPr>
      </w:pPr>
      <w:r w:rsidRPr="00B502D5">
        <w:rPr>
          <w:rFonts w:ascii="Arial" w:hAnsi="Arial" w:cs="Arial"/>
        </w:rPr>
        <w:t xml:space="preserve">Additionally, the increasing consumer interest in ethical and sustainable products presents market opportunities. The Triple Bottom Line framework, proposed by John Elkington, highlights the significance of </w:t>
      </w:r>
      <w:r w:rsidRPr="00B502D5">
        <w:rPr>
          <w:rFonts w:ascii="Arial" w:hAnsi="Arial" w:cs="Arial"/>
        </w:rPr>
        <w:t>considering</w:t>
      </w:r>
      <w:r w:rsidRPr="00B502D5">
        <w:rPr>
          <w:rFonts w:ascii="Arial" w:hAnsi="Arial" w:cs="Arial"/>
        </w:rPr>
        <w:t xml:space="preserve"> social, environmental, and economic factors. Customers are progressively backing companies that resonate with these principles. Social enterprises </w:t>
      </w:r>
      <w:r w:rsidRPr="00B502D5">
        <w:rPr>
          <w:rFonts w:ascii="Arial" w:hAnsi="Arial" w:cs="Arial"/>
        </w:rPr>
        <w:t>can</w:t>
      </w:r>
      <w:r w:rsidRPr="00B502D5">
        <w:rPr>
          <w:rFonts w:ascii="Arial" w:hAnsi="Arial" w:cs="Arial"/>
        </w:rPr>
        <w:t xml:space="preserve"> leverage this trend by promoting their social and environmental contributions, setting themselves apart from conventional competitors. Brands such as Patagonia have effectively woven sustainability into their identity, drawing in a dedicated customer following.</w:t>
      </w:r>
    </w:p>
    <w:p w14:paraId="721DC1CE" w14:textId="77777777" w:rsidR="00B502D5" w:rsidRDefault="00B502D5" w:rsidP="00B502D5">
      <w:pPr>
        <w:spacing w:line="480" w:lineRule="auto"/>
        <w:jc w:val="both"/>
        <w:rPr>
          <w:rFonts w:ascii="Arial" w:hAnsi="Arial" w:cs="Arial"/>
        </w:rPr>
      </w:pPr>
      <w:r w:rsidRPr="00A35A63">
        <w:rPr>
          <w:rFonts w:ascii="Arial" w:hAnsi="Arial" w:cs="Arial"/>
          <w:b/>
          <w:bCs/>
        </w:rPr>
        <w:t>Threats</w:t>
      </w:r>
      <w:r w:rsidRPr="00B502D5">
        <w:rPr>
          <w:rFonts w:ascii="Arial" w:hAnsi="Arial" w:cs="Arial"/>
          <w:b/>
          <w:bCs/>
        </w:rPr>
        <w:br/>
      </w:r>
      <w:r w:rsidRPr="00B502D5">
        <w:rPr>
          <w:rFonts w:ascii="Arial" w:hAnsi="Arial" w:cs="Arial"/>
        </w:rPr>
        <w:t>Social enterprises encounter external challenges that can hinder their advancement. Competition in the market from traditional businesses that implement corporate social responsibility (CSR) initiatives can obscure the differences between social enterprises and regular companies. The merging of these factors can pose difficulties for social enterprises in preserving a distinct value proposition. For example, major corporations that enter the fair-trade market might eclipse smaller social enterprises by utilising their resources and benefiting from economies of scale.</w:t>
      </w:r>
    </w:p>
    <w:p w14:paraId="159000C0" w14:textId="77777777" w:rsidR="00B502D5" w:rsidRDefault="00B502D5" w:rsidP="00B502D5">
      <w:pPr>
        <w:spacing w:line="480" w:lineRule="auto"/>
        <w:jc w:val="both"/>
        <w:rPr>
          <w:rFonts w:ascii="Arial" w:hAnsi="Arial" w:cs="Arial"/>
        </w:rPr>
      </w:pPr>
      <w:r w:rsidRPr="00B502D5">
        <w:rPr>
          <w:rFonts w:ascii="Arial" w:hAnsi="Arial" w:cs="Arial"/>
        </w:rPr>
        <w:t xml:space="preserve">Regulatory and institutional obstacles pose further risks. Paul DiMaggio and Walter Powell's Institutional Theory emphasises the ways in which established norms and regulations can limit organisational behaviour. Social enterprises functioning within strict legal frameworks might face challenges due to limitations that fail to support </w:t>
      </w:r>
      <w:r w:rsidRPr="00B502D5">
        <w:rPr>
          <w:rFonts w:ascii="Arial" w:hAnsi="Arial" w:cs="Arial"/>
        </w:rPr>
        <w:lastRenderedPageBreak/>
        <w:t>hybrid business models. Dealing with intricate regulations can shift focus and resources from essential tasks. For instance, social enterprises in nations lacking specific legal acknowledgement might encounter challenges in obtaining funding or enjoying tax advantages.</w:t>
      </w:r>
    </w:p>
    <w:p w14:paraId="596CF77F" w14:textId="77777777" w:rsidR="00B502D5" w:rsidRDefault="00B502D5" w:rsidP="00B502D5">
      <w:pPr>
        <w:spacing w:line="480" w:lineRule="auto"/>
        <w:jc w:val="both"/>
        <w:rPr>
          <w:rFonts w:ascii="Arial" w:hAnsi="Arial" w:cs="Arial"/>
        </w:rPr>
      </w:pPr>
      <w:r w:rsidRPr="00B502D5">
        <w:rPr>
          <w:rFonts w:ascii="Arial" w:hAnsi="Arial" w:cs="Arial"/>
        </w:rPr>
        <w:t>The sustainability of social enterprises can be jeopardised by economic instability and resource scarcity, as highlighted in Resource Dependency Theory. Changing economic circumstances might lead to a decrease in funding from donors and investors. Social enterprises that depend on international aid or foreign investment could be especially at risk. Moreover, the competition for scarce resources may escalate, with an increasing number of organisations competing for the same funding sources.</w:t>
      </w:r>
    </w:p>
    <w:p w14:paraId="2DE28680" w14:textId="77777777" w:rsidR="00B502D5" w:rsidRPr="00A35A63" w:rsidRDefault="00B502D5" w:rsidP="00B502D5">
      <w:pPr>
        <w:spacing w:line="480" w:lineRule="auto"/>
        <w:jc w:val="both"/>
        <w:rPr>
          <w:rFonts w:ascii="Arial" w:hAnsi="Arial" w:cs="Arial"/>
          <w:b/>
          <w:bCs/>
        </w:rPr>
      </w:pPr>
      <w:r w:rsidRPr="00A35A63">
        <w:rPr>
          <w:rFonts w:ascii="Arial" w:hAnsi="Arial" w:cs="Arial"/>
          <w:b/>
          <w:bCs/>
        </w:rPr>
        <w:t>Conclusion</w:t>
      </w:r>
    </w:p>
    <w:p w14:paraId="0D61383C" w14:textId="77777777" w:rsidR="00A35A63" w:rsidRDefault="00B502D5" w:rsidP="00B502D5">
      <w:pPr>
        <w:spacing w:line="480" w:lineRule="auto"/>
        <w:jc w:val="both"/>
        <w:rPr>
          <w:rFonts w:ascii="Arial" w:hAnsi="Arial" w:cs="Arial"/>
        </w:rPr>
      </w:pPr>
      <w:r w:rsidRPr="00B502D5">
        <w:rPr>
          <w:rFonts w:ascii="Arial" w:hAnsi="Arial" w:cs="Arial"/>
        </w:rPr>
        <w:t>Social enterprises play an essential role in tackling societal issues by providing innovative, market-driven solutions. Their advantages consist of the capacity to generate blended value, cultivate robust stakeholder connections, and utilise social innovation. Nonetheless, they encounter vulnerabilities like the potential for mission drift, reliance on resources, and internal conflicts arising from their hybrid characteristics. Opportunities emerge from the expansion of impact investing, progress in enhancing social impact, and a rising consumer appetite for ethical products. However, challenges from market competition, regulatory obstacles, and economic uncertainty are significant concerns.</w:t>
      </w:r>
    </w:p>
    <w:p w14:paraId="693A8EFA" w14:textId="65B704ED" w:rsidR="00B502D5" w:rsidRDefault="00B502D5" w:rsidP="00B502D5">
      <w:pPr>
        <w:spacing w:line="480" w:lineRule="auto"/>
        <w:jc w:val="both"/>
        <w:rPr>
          <w:rFonts w:ascii="Arial" w:hAnsi="Arial" w:cs="Arial"/>
        </w:rPr>
      </w:pPr>
      <w:r w:rsidRPr="00B502D5">
        <w:rPr>
          <w:rFonts w:ascii="Arial" w:hAnsi="Arial" w:cs="Arial"/>
        </w:rPr>
        <w:t xml:space="preserve">Incorporating academic theories offers a more profound insight into these dynamics. Ideas such as Blended Value Theory, Stakeholder Theory, and Mission Drift Theory clarify the internal processes and external factors that impact social enterprises. </w:t>
      </w:r>
      <w:r w:rsidRPr="00B502D5">
        <w:rPr>
          <w:rFonts w:ascii="Arial" w:hAnsi="Arial" w:cs="Arial"/>
        </w:rPr>
        <w:lastRenderedPageBreak/>
        <w:t>Examples from the industry illustrate the practical application of these theories, providing valuable insights into successful strategies and frequent challenges.</w:t>
      </w:r>
      <w:r w:rsidRPr="00B502D5">
        <w:rPr>
          <w:rFonts w:ascii="Arial" w:hAnsi="Arial" w:cs="Arial"/>
        </w:rPr>
        <w:br/>
        <w:t xml:space="preserve">In the end, the effectiveness of social enterprises depends on their capacity to manage these challenges, striking a balance between their social objectives and financial sustainability. By utilising their strengths, addressing weaknesses, capitalising on opportunities, and anticipating threats, social enterprises can improve their impact and play a significant role in fostering a more equitable and sustainable world. </w:t>
      </w:r>
    </w:p>
    <w:p w14:paraId="382C70F8" w14:textId="77777777" w:rsidR="00A35A63" w:rsidRDefault="00A35A63" w:rsidP="00B502D5">
      <w:pPr>
        <w:spacing w:line="480" w:lineRule="auto"/>
        <w:jc w:val="both"/>
        <w:rPr>
          <w:rFonts w:ascii="Arial" w:hAnsi="Arial" w:cs="Arial"/>
        </w:rPr>
      </w:pPr>
    </w:p>
    <w:p w14:paraId="6050C14A" w14:textId="77777777" w:rsidR="00A35A63" w:rsidRDefault="00A35A63" w:rsidP="00B502D5">
      <w:pPr>
        <w:spacing w:line="480" w:lineRule="auto"/>
        <w:jc w:val="both"/>
        <w:rPr>
          <w:rFonts w:ascii="Arial" w:hAnsi="Arial" w:cs="Arial"/>
        </w:rPr>
      </w:pPr>
    </w:p>
    <w:p w14:paraId="41B4D1F6" w14:textId="77777777" w:rsidR="00A35A63" w:rsidRDefault="00A35A63" w:rsidP="00B502D5">
      <w:pPr>
        <w:spacing w:line="480" w:lineRule="auto"/>
        <w:jc w:val="both"/>
        <w:rPr>
          <w:rFonts w:ascii="Arial" w:hAnsi="Arial" w:cs="Arial"/>
        </w:rPr>
      </w:pPr>
    </w:p>
    <w:p w14:paraId="5ED5F67B" w14:textId="77777777" w:rsidR="00A35A63" w:rsidRDefault="00A35A63" w:rsidP="00B502D5">
      <w:pPr>
        <w:spacing w:line="480" w:lineRule="auto"/>
        <w:jc w:val="both"/>
        <w:rPr>
          <w:rFonts w:ascii="Arial" w:hAnsi="Arial" w:cs="Arial"/>
        </w:rPr>
      </w:pPr>
    </w:p>
    <w:p w14:paraId="11EF672A" w14:textId="77777777" w:rsidR="00A35A63" w:rsidRDefault="00A35A63" w:rsidP="00B502D5">
      <w:pPr>
        <w:spacing w:line="480" w:lineRule="auto"/>
        <w:jc w:val="both"/>
        <w:rPr>
          <w:rFonts w:ascii="Arial" w:hAnsi="Arial" w:cs="Arial"/>
        </w:rPr>
      </w:pPr>
    </w:p>
    <w:p w14:paraId="6FF420E6" w14:textId="77777777" w:rsidR="00A35A63" w:rsidRDefault="00A35A63" w:rsidP="00B502D5">
      <w:pPr>
        <w:spacing w:line="480" w:lineRule="auto"/>
        <w:jc w:val="both"/>
        <w:rPr>
          <w:rFonts w:ascii="Arial" w:hAnsi="Arial" w:cs="Arial"/>
        </w:rPr>
      </w:pPr>
    </w:p>
    <w:p w14:paraId="052C2F98" w14:textId="77777777" w:rsidR="00A35A63" w:rsidRDefault="00A35A63" w:rsidP="00B502D5">
      <w:pPr>
        <w:spacing w:line="480" w:lineRule="auto"/>
        <w:jc w:val="both"/>
        <w:rPr>
          <w:rFonts w:ascii="Arial" w:hAnsi="Arial" w:cs="Arial"/>
        </w:rPr>
      </w:pPr>
    </w:p>
    <w:p w14:paraId="7C878071" w14:textId="77777777" w:rsidR="00A35A63" w:rsidRDefault="00A35A63" w:rsidP="00B502D5">
      <w:pPr>
        <w:spacing w:line="480" w:lineRule="auto"/>
        <w:jc w:val="both"/>
        <w:rPr>
          <w:rFonts w:ascii="Arial" w:hAnsi="Arial" w:cs="Arial"/>
        </w:rPr>
      </w:pPr>
    </w:p>
    <w:p w14:paraId="362E841E" w14:textId="77777777" w:rsidR="00A35A63" w:rsidRDefault="00A35A63" w:rsidP="00B502D5">
      <w:pPr>
        <w:spacing w:line="480" w:lineRule="auto"/>
        <w:jc w:val="both"/>
        <w:rPr>
          <w:rFonts w:ascii="Arial" w:hAnsi="Arial" w:cs="Arial"/>
        </w:rPr>
      </w:pPr>
    </w:p>
    <w:p w14:paraId="600FD0E2" w14:textId="77777777" w:rsidR="00A35A63" w:rsidRDefault="00A35A63" w:rsidP="00B502D5">
      <w:pPr>
        <w:spacing w:line="480" w:lineRule="auto"/>
        <w:jc w:val="both"/>
        <w:rPr>
          <w:rFonts w:ascii="Arial" w:hAnsi="Arial" w:cs="Arial"/>
        </w:rPr>
      </w:pPr>
    </w:p>
    <w:p w14:paraId="378C4957" w14:textId="77777777" w:rsidR="00A35A63" w:rsidRDefault="00A35A63" w:rsidP="00B502D5">
      <w:pPr>
        <w:spacing w:line="480" w:lineRule="auto"/>
        <w:jc w:val="both"/>
        <w:rPr>
          <w:rFonts w:ascii="Arial" w:hAnsi="Arial" w:cs="Arial"/>
        </w:rPr>
      </w:pPr>
    </w:p>
    <w:p w14:paraId="6DB557F3" w14:textId="77777777" w:rsidR="00A35A63" w:rsidRDefault="00A35A63" w:rsidP="00B502D5">
      <w:pPr>
        <w:spacing w:line="480" w:lineRule="auto"/>
        <w:jc w:val="both"/>
        <w:rPr>
          <w:rFonts w:ascii="Arial" w:hAnsi="Arial" w:cs="Arial"/>
        </w:rPr>
      </w:pPr>
    </w:p>
    <w:p w14:paraId="1859506E" w14:textId="77777777" w:rsidR="00A35A63" w:rsidRDefault="00A35A63" w:rsidP="00B502D5">
      <w:pPr>
        <w:spacing w:line="480" w:lineRule="auto"/>
        <w:jc w:val="both"/>
        <w:rPr>
          <w:rFonts w:ascii="Arial" w:hAnsi="Arial" w:cs="Arial"/>
        </w:rPr>
      </w:pPr>
    </w:p>
    <w:p w14:paraId="07CD5E45" w14:textId="77777777" w:rsidR="00A35A63" w:rsidRDefault="00A35A63" w:rsidP="00B502D5">
      <w:pPr>
        <w:spacing w:line="480" w:lineRule="auto"/>
        <w:jc w:val="both"/>
        <w:rPr>
          <w:rFonts w:ascii="Arial" w:hAnsi="Arial" w:cs="Arial"/>
        </w:rPr>
      </w:pPr>
    </w:p>
    <w:p w14:paraId="3D22C75E" w14:textId="408C197B" w:rsidR="00A35A63" w:rsidRPr="00D23752" w:rsidRDefault="00A35A63" w:rsidP="00B502D5">
      <w:pPr>
        <w:spacing w:line="480" w:lineRule="auto"/>
        <w:jc w:val="both"/>
        <w:rPr>
          <w:rFonts w:ascii="Arial Black" w:hAnsi="Arial Black" w:cs="Arial"/>
        </w:rPr>
      </w:pPr>
      <w:r w:rsidRPr="00D23752">
        <w:rPr>
          <w:rFonts w:ascii="Arial Black" w:hAnsi="Arial Black" w:cs="Arial"/>
        </w:rPr>
        <w:lastRenderedPageBreak/>
        <w:t xml:space="preserve">References </w:t>
      </w:r>
    </w:p>
    <w:p w14:paraId="34566172" w14:textId="77777777" w:rsidR="00D23752" w:rsidRPr="00D23752" w:rsidRDefault="00D23752" w:rsidP="00D23752">
      <w:pPr>
        <w:spacing w:line="480" w:lineRule="auto"/>
        <w:jc w:val="both"/>
        <w:rPr>
          <w:rFonts w:ascii="Arial" w:hAnsi="Arial" w:cs="Arial"/>
        </w:rPr>
      </w:pPr>
      <w:r w:rsidRPr="00D23752">
        <w:rPr>
          <w:rFonts w:ascii="Arial" w:hAnsi="Arial" w:cs="Arial"/>
        </w:rPr>
        <w:t xml:space="preserve">Alter, K. (2007). </w:t>
      </w:r>
      <w:r w:rsidRPr="00D23752">
        <w:rPr>
          <w:rFonts w:ascii="Arial" w:hAnsi="Arial" w:cs="Arial"/>
          <w:i/>
          <w:iCs/>
        </w:rPr>
        <w:t>Social enterprise typology</w:t>
      </w:r>
      <w:r w:rsidRPr="00D23752">
        <w:rPr>
          <w:rFonts w:ascii="Arial" w:hAnsi="Arial" w:cs="Arial"/>
        </w:rPr>
        <w:t>. Virtue Ventures LLC.</w:t>
      </w:r>
    </w:p>
    <w:p w14:paraId="1E957CB1" w14:textId="397D4AE3" w:rsidR="00D23752" w:rsidRPr="00D23752" w:rsidRDefault="00D23752" w:rsidP="00D23752">
      <w:pPr>
        <w:spacing w:line="480" w:lineRule="auto"/>
        <w:jc w:val="both"/>
        <w:rPr>
          <w:rFonts w:ascii="Arial" w:hAnsi="Arial" w:cs="Arial"/>
        </w:rPr>
      </w:pPr>
      <w:r w:rsidRPr="00D23752">
        <w:rPr>
          <w:rFonts w:ascii="Arial" w:hAnsi="Arial" w:cs="Arial"/>
        </w:rPr>
        <w:t xml:space="preserve">Battilana, J., &amp; Lee, M. (2014). Advancing research on hybrid </w:t>
      </w:r>
      <w:r w:rsidRPr="00D23752">
        <w:rPr>
          <w:rFonts w:ascii="Arial" w:hAnsi="Arial" w:cs="Arial"/>
        </w:rPr>
        <w:t>organizing Insights</w:t>
      </w:r>
      <w:r w:rsidRPr="00D23752">
        <w:rPr>
          <w:rFonts w:ascii="Arial" w:hAnsi="Arial" w:cs="Arial"/>
        </w:rPr>
        <w:t xml:space="preserve"> from the study of social enterprises. </w:t>
      </w:r>
      <w:r w:rsidRPr="00D23752">
        <w:rPr>
          <w:rFonts w:ascii="Arial" w:hAnsi="Arial" w:cs="Arial"/>
          <w:i/>
          <w:iCs/>
        </w:rPr>
        <w:t>The Academy of Management Annals, 8</w:t>
      </w:r>
      <w:r w:rsidRPr="00D23752">
        <w:rPr>
          <w:rFonts w:ascii="Arial" w:hAnsi="Arial" w:cs="Arial"/>
        </w:rPr>
        <w:t xml:space="preserve">(1), 397–441. </w:t>
      </w:r>
    </w:p>
    <w:p w14:paraId="2EED336A" w14:textId="480BCDE8" w:rsidR="00D23752" w:rsidRPr="00D23752" w:rsidRDefault="00D23752" w:rsidP="00D23752">
      <w:pPr>
        <w:spacing w:line="480" w:lineRule="auto"/>
        <w:jc w:val="both"/>
        <w:rPr>
          <w:rFonts w:ascii="Arial" w:hAnsi="Arial" w:cs="Arial"/>
        </w:rPr>
      </w:pPr>
      <w:r w:rsidRPr="00D23752">
        <w:rPr>
          <w:rFonts w:ascii="Arial" w:hAnsi="Arial" w:cs="Arial"/>
        </w:rPr>
        <w:t xml:space="preserve">Dees, J. G. (1998). </w:t>
      </w:r>
      <w:r w:rsidRPr="00D23752">
        <w:rPr>
          <w:rFonts w:ascii="Arial" w:hAnsi="Arial" w:cs="Arial"/>
          <w:i/>
          <w:iCs/>
        </w:rPr>
        <w:t>The meaning of social entrepreneurship</w:t>
      </w:r>
      <w:r w:rsidRPr="00D23752">
        <w:rPr>
          <w:rFonts w:ascii="Arial" w:hAnsi="Arial" w:cs="Arial"/>
        </w:rPr>
        <w:t xml:space="preserve">. Kauffman </w:t>
      </w:r>
      <w:r w:rsidRPr="00D23752">
        <w:rPr>
          <w:rFonts w:ascii="Arial" w:hAnsi="Arial" w:cs="Arial"/>
        </w:rPr>
        <w:t>Centre</w:t>
      </w:r>
      <w:r w:rsidRPr="00D23752">
        <w:rPr>
          <w:rFonts w:ascii="Arial" w:hAnsi="Arial" w:cs="Arial"/>
        </w:rPr>
        <w:t xml:space="preserve"> for Entrepreneurial Leadership.</w:t>
      </w:r>
    </w:p>
    <w:p w14:paraId="30E8D54A" w14:textId="77777777" w:rsidR="00D23752" w:rsidRDefault="00D23752" w:rsidP="00D23752">
      <w:pPr>
        <w:spacing w:line="480" w:lineRule="auto"/>
        <w:jc w:val="both"/>
        <w:rPr>
          <w:rFonts w:ascii="Arial" w:hAnsi="Arial" w:cs="Arial"/>
        </w:rPr>
      </w:pPr>
      <w:r w:rsidRPr="00D23752">
        <w:rPr>
          <w:rFonts w:ascii="Arial" w:hAnsi="Arial" w:cs="Arial"/>
        </w:rPr>
        <w:t xml:space="preserve">DiMaggio, P. J., &amp; Powell, W. W. (1983). </w:t>
      </w:r>
      <w:r w:rsidRPr="00D23752">
        <w:rPr>
          <w:rFonts w:ascii="Arial" w:hAnsi="Arial" w:cs="Arial"/>
          <w:i/>
          <w:iCs/>
        </w:rPr>
        <w:t>The iron cage revisited: Institutional isomorphism and collective rationality in organizational fields</w:t>
      </w:r>
      <w:r w:rsidRPr="00D23752">
        <w:rPr>
          <w:rFonts w:ascii="Arial" w:hAnsi="Arial" w:cs="Arial"/>
        </w:rPr>
        <w:t>. American Sociological Review, 48(2), 147–160.</w:t>
      </w:r>
    </w:p>
    <w:p w14:paraId="5D80D51C" w14:textId="227656B3" w:rsidR="00D23752" w:rsidRPr="00D23752" w:rsidRDefault="00D23752" w:rsidP="00D23752">
      <w:pPr>
        <w:spacing w:line="480" w:lineRule="auto"/>
        <w:jc w:val="both"/>
        <w:rPr>
          <w:rFonts w:ascii="Arial" w:hAnsi="Arial" w:cs="Arial"/>
        </w:rPr>
      </w:pPr>
      <w:r w:rsidRPr="00D23752">
        <w:rPr>
          <w:rFonts w:ascii="Arial" w:hAnsi="Arial" w:cs="Arial"/>
        </w:rPr>
        <w:t xml:space="preserve">Elkington, J. (1997). </w:t>
      </w:r>
      <w:r w:rsidRPr="00D23752">
        <w:rPr>
          <w:rFonts w:ascii="Arial" w:hAnsi="Arial" w:cs="Arial"/>
          <w:i/>
          <w:iCs/>
        </w:rPr>
        <w:t>Cannibals with forks: The triple bottom line of 21st-century business.</w:t>
      </w:r>
      <w:r w:rsidRPr="00D23752">
        <w:rPr>
          <w:rFonts w:ascii="Arial" w:hAnsi="Arial" w:cs="Arial"/>
        </w:rPr>
        <w:t xml:space="preserve"> Capstone Publishing.</w:t>
      </w:r>
    </w:p>
    <w:p w14:paraId="5C8929B9" w14:textId="77777777" w:rsidR="00D23752" w:rsidRDefault="00D23752" w:rsidP="00D23752">
      <w:pPr>
        <w:spacing w:line="480" w:lineRule="auto"/>
        <w:jc w:val="both"/>
        <w:rPr>
          <w:rFonts w:ascii="Arial" w:hAnsi="Arial" w:cs="Arial"/>
        </w:rPr>
      </w:pPr>
      <w:r w:rsidRPr="00D23752">
        <w:rPr>
          <w:rFonts w:ascii="Arial" w:hAnsi="Arial" w:cs="Arial"/>
        </w:rPr>
        <w:t xml:space="preserve">Emerson, J. (2003). The blended value proposition: Integrating social and financial returns. </w:t>
      </w:r>
      <w:r w:rsidRPr="00D23752">
        <w:rPr>
          <w:rFonts w:ascii="Arial" w:hAnsi="Arial" w:cs="Arial"/>
          <w:i/>
          <w:iCs/>
        </w:rPr>
        <w:t>California Management Review, 45</w:t>
      </w:r>
      <w:r w:rsidRPr="00D23752">
        <w:rPr>
          <w:rFonts w:ascii="Arial" w:hAnsi="Arial" w:cs="Arial"/>
        </w:rPr>
        <w:t>(4), 35–51.</w:t>
      </w:r>
    </w:p>
    <w:p w14:paraId="18B224A0" w14:textId="440A5C71" w:rsidR="00D23752" w:rsidRPr="00D23752" w:rsidRDefault="00D23752" w:rsidP="00D23752">
      <w:pPr>
        <w:spacing w:line="480" w:lineRule="auto"/>
        <w:jc w:val="both"/>
        <w:rPr>
          <w:rFonts w:ascii="Arial" w:hAnsi="Arial" w:cs="Arial"/>
        </w:rPr>
      </w:pPr>
      <w:r w:rsidRPr="00D23752">
        <w:rPr>
          <w:rFonts w:ascii="Arial" w:hAnsi="Arial" w:cs="Arial"/>
        </w:rPr>
        <w:t xml:space="preserve">Freeman, R. E. (1984). </w:t>
      </w:r>
      <w:r w:rsidRPr="00D23752">
        <w:rPr>
          <w:rFonts w:ascii="Arial" w:hAnsi="Arial" w:cs="Arial"/>
          <w:i/>
          <w:iCs/>
        </w:rPr>
        <w:t>Strategic management: A stakeholder approach</w:t>
      </w:r>
      <w:r w:rsidRPr="00D23752">
        <w:rPr>
          <w:rFonts w:ascii="Arial" w:hAnsi="Arial" w:cs="Arial"/>
        </w:rPr>
        <w:t>. Pitman.</w:t>
      </w:r>
    </w:p>
    <w:p w14:paraId="315157AF" w14:textId="77777777" w:rsidR="00D23752" w:rsidRPr="00D23752" w:rsidRDefault="00D23752" w:rsidP="00D23752">
      <w:pPr>
        <w:spacing w:line="480" w:lineRule="auto"/>
        <w:jc w:val="both"/>
        <w:rPr>
          <w:rFonts w:ascii="Arial" w:hAnsi="Arial" w:cs="Arial"/>
        </w:rPr>
      </w:pPr>
      <w:r w:rsidRPr="00D23752">
        <w:rPr>
          <w:rFonts w:ascii="Arial" w:hAnsi="Arial" w:cs="Arial"/>
        </w:rPr>
        <w:t xml:space="preserve">Pfeffer, J., &amp; </w:t>
      </w:r>
      <w:proofErr w:type="spellStart"/>
      <w:r w:rsidRPr="00D23752">
        <w:rPr>
          <w:rFonts w:ascii="Arial" w:hAnsi="Arial" w:cs="Arial"/>
        </w:rPr>
        <w:t>Salancik</w:t>
      </w:r>
      <w:proofErr w:type="spellEnd"/>
      <w:r w:rsidRPr="00D23752">
        <w:rPr>
          <w:rFonts w:ascii="Arial" w:hAnsi="Arial" w:cs="Arial"/>
        </w:rPr>
        <w:t xml:space="preserve">, G. R. (1978). </w:t>
      </w:r>
      <w:r w:rsidRPr="00D23752">
        <w:rPr>
          <w:rFonts w:ascii="Arial" w:hAnsi="Arial" w:cs="Arial"/>
          <w:i/>
          <w:iCs/>
        </w:rPr>
        <w:t>The external control of organizations: A resource dependence perspective.</w:t>
      </w:r>
      <w:r w:rsidRPr="00D23752">
        <w:rPr>
          <w:rFonts w:ascii="Arial" w:hAnsi="Arial" w:cs="Arial"/>
        </w:rPr>
        <w:t xml:space="preserve"> Harper &amp; Row.</w:t>
      </w:r>
    </w:p>
    <w:p w14:paraId="705656EC" w14:textId="77777777" w:rsidR="00D23752" w:rsidRDefault="00D23752" w:rsidP="00D23752">
      <w:pPr>
        <w:spacing w:line="480" w:lineRule="auto"/>
        <w:jc w:val="both"/>
        <w:rPr>
          <w:rFonts w:ascii="Arial" w:hAnsi="Arial" w:cs="Arial"/>
        </w:rPr>
      </w:pPr>
      <w:r w:rsidRPr="00D23752">
        <w:rPr>
          <w:rFonts w:ascii="Arial" w:hAnsi="Arial" w:cs="Arial"/>
        </w:rPr>
        <w:t xml:space="preserve">Weiss, C. H. (1995). Nothing as practical as good theory: Exploring theory-based evaluation for comprehensive community initiatives for children and families. In J. P. Connell, A. C. Kubisch, L. B. Schorr, &amp; C. H. Weiss (Eds.), </w:t>
      </w:r>
      <w:r w:rsidRPr="00D23752">
        <w:rPr>
          <w:rFonts w:ascii="Arial" w:hAnsi="Arial" w:cs="Arial"/>
          <w:i/>
          <w:iCs/>
        </w:rPr>
        <w:t>New approaches to evaluating community initiatives: Concepts, methods, and contexts</w:t>
      </w:r>
      <w:r w:rsidRPr="00D23752">
        <w:rPr>
          <w:rFonts w:ascii="Arial" w:hAnsi="Arial" w:cs="Arial"/>
        </w:rPr>
        <w:t xml:space="preserve"> (pp. 65–92). Aspen Institute.</w:t>
      </w:r>
    </w:p>
    <w:p w14:paraId="177EAD4C" w14:textId="652D3E20" w:rsidR="00672872" w:rsidRDefault="00672872" w:rsidP="00D23752">
      <w:pPr>
        <w:spacing w:line="480" w:lineRule="auto"/>
        <w:jc w:val="both"/>
        <w:rPr>
          <w:rFonts w:ascii="Arial" w:hAnsi="Arial" w:cs="Arial"/>
        </w:rPr>
      </w:pPr>
      <w:hyperlink r:id="rId5" w:history="1">
        <w:r w:rsidRPr="008006A0">
          <w:rPr>
            <w:rStyle w:val="Hyperlink"/>
            <w:rFonts w:ascii="Arial" w:hAnsi="Arial" w:cs="Arial"/>
          </w:rPr>
          <w:t>https://journals.sagepub.com/doi/10.1177/08997640231191794</w:t>
        </w:r>
      </w:hyperlink>
    </w:p>
    <w:p w14:paraId="3B51A1EE" w14:textId="4D0016FC" w:rsidR="00D23752" w:rsidRDefault="00D23752" w:rsidP="00D23752">
      <w:pPr>
        <w:spacing w:line="480" w:lineRule="auto"/>
        <w:jc w:val="both"/>
        <w:rPr>
          <w:rFonts w:ascii="Arial" w:hAnsi="Arial" w:cs="Arial"/>
        </w:rPr>
      </w:pPr>
      <w:hyperlink r:id="rId6" w:history="1">
        <w:r w:rsidRPr="008006A0">
          <w:rPr>
            <w:rStyle w:val="Hyperlink"/>
            <w:rFonts w:ascii="Arial" w:hAnsi="Arial" w:cs="Arial"/>
          </w:rPr>
          <w:t>https://www.socialenterprise.org.uk/social-enterprise-knowledge-centre/the-state-of-social-enterprise/</w:t>
        </w:r>
      </w:hyperlink>
    </w:p>
    <w:p w14:paraId="74BA9B6E" w14:textId="7D2CB836" w:rsidR="00D23752" w:rsidRDefault="00D23752" w:rsidP="00D23752">
      <w:pPr>
        <w:spacing w:line="480" w:lineRule="auto"/>
        <w:jc w:val="both"/>
        <w:rPr>
          <w:rFonts w:ascii="Arial" w:hAnsi="Arial" w:cs="Arial"/>
        </w:rPr>
      </w:pPr>
      <w:hyperlink r:id="rId7" w:history="1">
        <w:r w:rsidRPr="008006A0">
          <w:rPr>
            <w:rStyle w:val="Hyperlink"/>
            <w:rFonts w:ascii="Arial" w:hAnsi="Arial" w:cs="Arial"/>
          </w:rPr>
          <w:t>https://www.weforum.org/publications/the-state-of-social-enterprise-a-review-of-global-data-2013-2023/</w:t>
        </w:r>
      </w:hyperlink>
    </w:p>
    <w:p w14:paraId="070B7D8D" w14:textId="77777777" w:rsidR="00D23752" w:rsidRPr="00D23752" w:rsidRDefault="00D23752" w:rsidP="00D23752">
      <w:pPr>
        <w:spacing w:line="480" w:lineRule="auto"/>
        <w:jc w:val="both"/>
        <w:rPr>
          <w:rFonts w:ascii="Arial" w:hAnsi="Arial" w:cs="Arial"/>
        </w:rPr>
      </w:pPr>
    </w:p>
    <w:p w14:paraId="5EA563B6" w14:textId="77777777" w:rsidR="00A35A63" w:rsidRPr="00B502D5" w:rsidRDefault="00A35A63" w:rsidP="00B502D5">
      <w:pPr>
        <w:spacing w:line="480" w:lineRule="auto"/>
        <w:jc w:val="both"/>
        <w:rPr>
          <w:rFonts w:ascii="Arial" w:hAnsi="Arial" w:cs="Arial"/>
        </w:rPr>
      </w:pPr>
    </w:p>
    <w:p w14:paraId="620462E6" w14:textId="77777777" w:rsidR="00B502D5" w:rsidRPr="00B502D5" w:rsidRDefault="00B502D5" w:rsidP="00B502D5">
      <w:pPr>
        <w:spacing w:line="480" w:lineRule="auto"/>
        <w:jc w:val="both"/>
        <w:rPr>
          <w:rFonts w:ascii="Arial" w:hAnsi="Arial" w:cs="Arial"/>
        </w:rPr>
      </w:pPr>
    </w:p>
    <w:sectPr w:rsidR="00B502D5" w:rsidRPr="00B502D5" w:rsidSect="00A35A6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2D5"/>
    <w:rsid w:val="00320703"/>
    <w:rsid w:val="00672872"/>
    <w:rsid w:val="00930CF1"/>
    <w:rsid w:val="00A35A63"/>
    <w:rsid w:val="00B502D5"/>
    <w:rsid w:val="00D23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87413"/>
  <w15:chartTrackingRefBased/>
  <w15:docId w15:val="{B8CCA39B-2CB0-4C7F-97C2-CBD1EB736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02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02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02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02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02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02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02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02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02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2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02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02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02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02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02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02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02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02D5"/>
    <w:rPr>
      <w:rFonts w:eastAsiaTheme="majorEastAsia" w:cstheme="majorBidi"/>
      <w:color w:val="272727" w:themeColor="text1" w:themeTint="D8"/>
    </w:rPr>
  </w:style>
  <w:style w:type="paragraph" w:styleId="Title">
    <w:name w:val="Title"/>
    <w:basedOn w:val="Normal"/>
    <w:next w:val="Normal"/>
    <w:link w:val="TitleChar"/>
    <w:uiPriority w:val="10"/>
    <w:qFormat/>
    <w:rsid w:val="00B502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02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02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02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02D5"/>
    <w:pPr>
      <w:spacing w:before="160"/>
      <w:jc w:val="center"/>
    </w:pPr>
    <w:rPr>
      <w:i/>
      <w:iCs/>
      <w:color w:val="404040" w:themeColor="text1" w:themeTint="BF"/>
    </w:rPr>
  </w:style>
  <w:style w:type="character" w:customStyle="1" w:styleId="QuoteChar">
    <w:name w:val="Quote Char"/>
    <w:basedOn w:val="DefaultParagraphFont"/>
    <w:link w:val="Quote"/>
    <w:uiPriority w:val="29"/>
    <w:rsid w:val="00B502D5"/>
    <w:rPr>
      <w:i/>
      <w:iCs/>
      <w:color w:val="404040" w:themeColor="text1" w:themeTint="BF"/>
    </w:rPr>
  </w:style>
  <w:style w:type="paragraph" w:styleId="ListParagraph">
    <w:name w:val="List Paragraph"/>
    <w:basedOn w:val="Normal"/>
    <w:uiPriority w:val="34"/>
    <w:qFormat/>
    <w:rsid w:val="00B502D5"/>
    <w:pPr>
      <w:ind w:left="720"/>
      <w:contextualSpacing/>
    </w:pPr>
  </w:style>
  <w:style w:type="character" w:styleId="IntenseEmphasis">
    <w:name w:val="Intense Emphasis"/>
    <w:basedOn w:val="DefaultParagraphFont"/>
    <w:uiPriority w:val="21"/>
    <w:qFormat/>
    <w:rsid w:val="00B502D5"/>
    <w:rPr>
      <w:i/>
      <w:iCs/>
      <w:color w:val="0F4761" w:themeColor="accent1" w:themeShade="BF"/>
    </w:rPr>
  </w:style>
  <w:style w:type="paragraph" w:styleId="IntenseQuote">
    <w:name w:val="Intense Quote"/>
    <w:basedOn w:val="Normal"/>
    <w:next w:val="Normal"/>
    <w:link w:val="IntenseQuoteChar"/>
    <w:uiPriority w:val="30"/>
    <w:qFormat/>
    <w:rsid w:val="00B502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02D5"/>
    <w:rPr>
      <w:i/>
      <w:iCs/>
      <w:color w:val="0F4761" w:themeColor="accent1" w:themeShade="BF"/>
    </w:rPr>
  </w:style>
  <w:style w:type="character" w:styleId="IntenseReference">
    <w:name w:val="Intense Reference"/>
    <w:basedOn w:val="DefaultParagraphFont"/>
    <w:uiPriority w:val="32"/>
    <w:qFormat/>
    <w:rsid w:val="00B502D5"/>
    <w:rPr>
      <w:b/>
      <w:bCs/>
      <w:smallCaps/>
      <w:color w:val="0F4761" w:themeColor="accent1" w:themeShade="BF"/>
      <w:spacing w:val="5"/>
    </w:rPr>
  </w:style>
  <w:style w:type="paragraph" w:styleId="NoSpacing">
    <w:name w:val="No Spacing"/>
    <w:link w:val="NoSpacingChar"/>
    <w:uiPriority w:val="1"/>
    <w:qFormat/>
    <w:rsid w:val="00A35A6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35A63"/>
    <w:rPr>
      <w:rFonts w:eastAsiaTheme="minorEastAsia"/>
      <w:kern w:val="0"/>
      <w:sz w:val="22"/>
      <w:szCs w:val="22"/>
      <w:lang w:val="en-US"/>
      <w14:ligatures w14:val="none"/>
    </w:rPr>
  </w:style>
  <w:style w:type="character" w:styleId="Hyperlink">
    <w:name w:val="Hyperlink"/>
    <w:basedOn w:val="DefaultParagraphFont"/>
    <w:uiPriority w:val="99"/>
    <w:unhideWhenUsed/>
    <w:rsid w:val="00D23752"/>
    <w:rPr>
      <w:color w:val="467886" w:themeColor="hyperlink"/>
      <w:u w:val="single"/>
    </w:rPr>
  </w:style>
  <w:style w:type="character" w:styleId="UnresolvedMention">
    <w:name w:val="Unresolved Mention"/>
    <w:basedOn w:val="DefaultParagraphFont"/>
    <w:uiPriority w:val="99"/>
    <w:semiHidden/>
    <w:unhideWhenUsed/>
    <w:rsid w:val="00D237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8172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eforum.org/publications/the-state-of-social-enterprise-a-review-of-global-data-2013-202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ocialenterprise.org.uk/social-enterprise-knowledge-centre/the-state-of-social-enterprise/" TargetMode="External"/><Relationship Id="rId5" Type="http://schemas.openxmlformats.org/officeDocument/2006/relationships/hyperlink" Target="https://journals.sagepub.com/doi/10.1177/0899764023119179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1681</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Neculai Balaceanu (2414598)</dc:creator>
  <cp:keywords/>
  <dc:description/>
  <cp:lastModifiedBy>Mirabela Voican (1907947)</cp:lastModifiedBy>
  <cp:revision>2</cp:revision>
  <dcterms:created xsi:type="dcterms:W3CDTF">2024-11-05T14:32:00Z</dcterms:created>
  <dcterms:modified xsi:type="dcterms:W3CDTF">2024-11-05T14:32:00Z</dcterms:modified>
</cp:coreProperties>
</file>