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231120684"/>
        <w:docPartObj>
          <w:docPartGallery w:val="Cover Pages"/>
          <w:docPartUnique/>
        </w:docPartObj>
      </w:sdtPr>
      <w:sdtEndPr>
        <w:rPr>
          <w:color w:val="auto"/>
        </w:rPr>
      </w:sdtEndPr>
      <w:sdtContent>
        <w:p w14:paraId="25119640" w14:textId="3F2FB7F5" w:rsidR="003C1019" w:rsidRDefault="003C1019">
          <w:pPr>
            <w:pStyle w:val="NoSpacing"/>
            <w:spacing w:before="1540" w:after="240"/>
            <w:jc w:val="center"/>
            <w:rPr>
              <w:color w:val="156082" w:themeColor="accent1"/>
            </w:rPr>
          </w:pPr>
          <w:r>
            <w:rPr>
              <w:noProof/>
              <w:color w:val="156082" w:themeColor="accent1"/>
            </w:rPr>
            <w:drawing>
              <wp:inline distT="0" distB="0" distL="0" distR="0" wp14:anchorId="07AE249F" wp14:editId="3EBF8B0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80"/>
              <w:szCs w:val="80"/>
            </w:rPr>
            <w:alias w:val="Title"/>
            <w:tag w:val=""/>
            <w:id w:val="1735040861"/>
            <w:placeholder>
              <w:docPart w:val="A0B079E660D24698A0BAEF67B61EA5F5"/>
            </w:placeholder>
            <w:dataBinding w:prefixMappings="xmlns:ns0='http://purl.org/dc/elements/1.1/' xmlns:ns1='http://schemas.openxmlformats.org/package/2006/metadata/core-properties' " w:xpath="/ns1:coreProperties[1]/ns0:title[1]" w:storeItemID="{6C3C8BC8-F283-45AE-878A-BAB7291924A1}"/>
            <w:text/>
          </w:sdtPr>
          <w:sdtContent>
            <w:p w14:paraId="428810B5" w14:textId="36B3D123" w:rsidR="003C1019" w:rsidRPr="004F5035" w:rsidRDefault="00335CC8" w:rsidP="004F503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4F5035">
                <w:rPr>
                  <w:rFonts w:asciiTheme="majorHAnsi" w:eastAsiaTheme="majorEastAsia" w:hAnsiTheme="majorHAnsi" w:cstheme="majorBidi"/>
                  <w:caps/>
                  <w:color w:val="156082" w:themeColor="accent1"/>
                  <w:sz w:val="80"/>
                  <w:szCs w:val="80"/>
                </w:rPr>
                <w:t>PORTFOLIO 2 TASK</w:t>
              </w:r>
            </w:p>
          </w:sdtContent>
        </w:sdt>
        <w:p w14:paraId="78F5C5B2" w14:textId="2B1DB135" w:rsidR="003C1019" w:rsidRDefault="003C1019">
          <w:pPr>
            <w:pStyle w:val="NoSpacing"/>
            <w:spacing w:before="480"/>
            <w:jc w:val="center"/>
            <w:rPr>
              <w:color w:val="156082" w:themeColor="accent1"/>
            </w:rPr>
          </w:pPr>
          <w:r>
            <w:rPr>
              <w:noProof/>
              <w:color w:val="156082" w:themeColor="accent1"/>
            </w:rPr>
            <w:drawing>
              <wp:inline distT="0" distB="0" distL="0" distR="0" wp14:anchorId="48163FFE" wp14:editId="2D24120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21D1F5" w14:textId="77777777" w:rsidR="001040B3" w:rsidRDefault="00513829" w:rsidP="00AE3900">
          <w:pPr>
            <w:spacing w:line="360" w:lineRule="auto"/>
          </w:pPr>
          <w:proofErr w:type="gramStart"/>
          <w:r>
            <w:t>Document</w:t>
          </w:r>
          <w:r w:rsidR="0033479B">
            <w:t xml:space="preserve"> :</w:t>
          </w:r>
          <w:proofErr w:type="gramEnd"/>
          <w:r w:rsidR="0033479B">
            <w:t xml:space="preserve"> Portfolio</w:t>
          </w:r>
          <w:r w:rsidR="001040B3">
            <w:t xml:space="preserve"> </w:t>
          </w:r>
          <w:proofErr w:type="gramStart"/>
          <w:r w:rsidR="001040B3">
            <w:t xml:space="preserve">2 </w:t>
          </w:r>
          <w:r w:rsidR="0033479B">
            <w:t xml:space="preserve"> Task</w:t>
          </w:r>
          <w:proofErr w:type="gramEnd"/>
          <w:r w:rsidR="0033479B">
            <w:t xml:space="preserve"> </w:t>
          </w:r>
        </w:p>
        <w:p w14:paraId="01859E10" w14:textId="77777777" w:rsidR="008973FD" w:rsidRDefault="008973FD" w:rsidP="00AE3900">
          <w:pPr>
            <w:spacing w:line="360" w:lineRule="auto"/>
          </w:pPr>
          <w:r>
            <w:t>Module: Introduction to Health and Social Care</w:t>
          </w:r>
        </w:p>
        <w:p w14:paraId="194D36CA" w14:textId="77777777" w:rsidR="001C2121" w:rsidRDefault="001C2121" w:rsidP="00AE3900">
          <w:pPr>
            <w:spacing w:line="360" w:lineRule="auto"/>
          </w:pPr>
          <w:r>
            <w:t>Student Name: Zoe Porter</w:t>
          </w:r>
        </w:p>
        <w:p w14:paraId="4BF102ED" w14:textId="77777777" w:rsidR="0044606D" w:rsidRDefault="00992DC2" w:rsidP="00AE3900">
          <w:pPr>
            <w:spacing w:line="360" w:lineRule="auto"/>
          </w:pPr>
          <w:r>
            <w:t>Student</w:t>
          </w:r>
          <w:r w:rsidR="00335CC8">
            <w:t>:</w:t>
          </w:r>
          <w:r w:rsidR="0044606D">
            <w:t>2528253</w:t>
          </w:r>
        </w:p>
        <w:p w14:paraId="521BC15E" w14:textId="77777777" w:rsidR="00F97B56" w:rsidRDefault="0044606D" w:rsidP="00AE3900">
          <w:pPr>
            <w:spacing w:line="360" w:lineRule="auto"/>
          </w:pPr>
          <w:proofErr w:type="gramStart"/>
          <w:r>
            <w:t>Lecturer :Daniel</w:t>
          </w:r>
          <w:proofErr w:type="gramEnd"/>
          <w:r w:rsidR="00F97B56">
            <w:t xml:space="preserve"> Haruna</w:t>
          </w:r>
        </w:p>
        <w:p w14:paraId="7B5BFCA3" w14:textId="1D999BD3" w:rsidR="006837C5" w:rsidRDefault="00F97B56" w:rsidP="00AE3900">
          <w:pPr>
            <w:spacing w:line="360" w:lineRule="auto"/>
            <w:sectPr w:rsidR="006837C5" w:rsidSect="003C1019">
              <w:pgSz w:w="11906" w:h="16838"/>
              <w:pgMar w:top="1440" w:right="1440" w:bottom="1440" w:left="1440" w:header="708" w:footer="708" w:gutter="0"/>
              <w:pgNumType w:start="0"/>
              <w:cols w:space="708"/>
              <w:titlePg/>
              <w:docGrid w:linePitch="360"/>
            </w:sectPr>
          </w:pPr>
          <w:r>
            <w:t>Date:</w:t>
          </w:r>
          <w:r w:rsidR="00394524">
            <w:t>15</w:t>
          </w:r>
          <w:r w:rsidR="00394524" w:rsidRPr="00394524">
            <w:rPr>
              <w:vertAlign w:val="superscript"/>
            </w:rPr>
            <w:t>th</w:t>
          </w:r>
          <w:r w:rsidR="00394524">
            <w:t xml:space="preserve"> June 2026</w:t>
          </w:r>
          <w:r w:rsidR="00992DC2">
            <w:t xml:space="preserve"> </w:t>
          </w:r>
          <w:r w:rsidR="003C1019">
            <w:br w:type="page"/>
          </w:r>
        </w:p>
        <w:p w14:paraId="284C2C68" w14:textId="3A1F769A" w:rsidR="00154372" w:rsidRDefault="00B84DAE" w:rsidP="00154372">
          <w:pPr>
            <w:spacing w:line="360" w:lineRule="auto"/>
            <w:rPr>
              <w:rFonts w:ascii="Arial" w:hAnsi="Arial" w:cs="Arial"/>
              <w:sz w:val="22"/>
              <w:szCs w:val="22"/>
            </w:rPr>
          </w:pPr>
          <w:r w:rsidRPr="008761D3">
            <w:rPr>
              <w:rFonts w:ascii="Arial" w:hAnsi="Arial" w:cs="Arial"/>
              <w:noProof/>
              <w:sz w:val="22"/>
              <w:szCs w:val="22"/>
            </w:rPr>
            <w:lastRenderedPageBreak/>
            <mc:AlternateContent>
              <mc:Choice Requires="wps">
                <w:drawing>
                  <wp:anchor distT="45720" distB="45720" distL="114300" distR="114300" simplePos="0" relativeHeight="251586048" behindDoc="0" locked="0" layoutInCell="1" allowOverlap="1" wp14:anchorId="5AD03077" wp14:editId="34208538">
                    <wp:simplePos x="0" y="0"/>
                    <wp:positionH relativeFrom="page">
                      <wp:posOffset>6409562</wp:posOffset>
                    </wp:positionH>
                    <wp:positionV relativeFrom="paragraph">
                      <wp:posOffset>11755</wp:posOffset>
                    </wp:positionV>
                    <wp:extent cx="4079875" cy="3408680"/>
                    <wp:effectExtent l="0" t="0" r="0" b="1270"/>
                    <wp:wrapSquare wrapText="bothSides"/>
                    <wp:docPr id="21326790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875" cy="3408680"/>
                            </a:xfrm>
                            <a:prstGeom prst="rect">
                              <a:avLst/>
                            </a:prstGeom>
                            <a:noFill/>
                            <a:ln w="9525">
                              <a:noFill/>
                              <a:miter lim="800000"/>
                              <a:headEnd/>
                              <a:tailEnd/>
                            </a:ln>
                          </wps:spPr>
                          <wps:txbx>
                            <w:txbxContent>
                              <w:p w14:paraId="02218739" w14:textId="115F3A74" w:rsidR="00777045" w:rsidRPr="005D2238" w:rsidRDefault="00777045" w:rsidP="00777045">
                                <w:pPr>
                                  <w:spacing w:after="0" w:line="240" w:lineRule="auto"/>
                                  <w:rPr>
                                    <w:rFonts w:ascii="Arial" w:hAnsi="Arial" w:cs="Arial"/>
                                    <w:b/>
                                    <w:bCs/>
                                    <w:sz w:val="16"/>
                                    <w:szCs w:val="16"/>
                                  </w:rPr>
                                </w:pPr>
                                <w:r w:rsidRPr="005D2238">
                                  <w:rPr>
                                    <w:rFonts w:ascii="Arial" w:hAnsi="Arial" w:cs="Arial"/>
                                    <w:b/>
                                    <w:bCs/>
                                    <w:sz w:val="16"/>
                                    <w:szCs w:val="16"/>
                                    <w:highlight w:val="yellow"/>
                                  </w:rPr>
                                  <w:t xml:space="preserve">Challenge </w:t>
                                </w:r>
                                <w:r w:rsidR="000C7928">
                                  <w:rPr>
                                    <w:rFonts w:ascii="Arial" w:hAnsi="Arial" w:cs="Arial"/>
                                    <w:b/>
                                    <w:bCs/>
                                    <w:sz w:val="16"/>
                                    <w:szCs w:val="16"/>
                                    <w:highlight w:val="yellow"/>
                                  </w:rPr>
                                  <w:t>1</w:t>
                                </w:r>
                                <w:r w:rsidRPr="005D2238">
                                  <w:rPr>
                                    <w:rFonts w:ascii="Arial" w:hAnsi="Arial" w:cs="Arial"/>
                                    <w:b/>
                                    <w:bCs/>
                                    <w:sz w:val="16"/>
                                    <w:szCs w:val="16"/>
                                    <w:highlight w:val="yellow"/>
                                  </w:rPr>
                                  <w:t>: Access to NHS dentistry</w:t>
                                </w:r>
                              </w:p>
                              <w:p w14:paraId="5B4D53F9"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Access to NHS dentistry is a major problem in England, with an estimated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(about 28% of the adult population) having an unmet need for NHS dental care. </w:t>
                                </w:r>
                                <w:proofErr w:type="gramStart"/>
                                <w:r w:rsidRPr="00777045">
                                  <w:rPr>
                                    <w:rFonts w:ascii="Arial" w:hAnsi="Arial" w:cs="Arial"/>
                                    <w:sz w:val="16"/>
                                    <w:szCs w:val="16"/>
                                  </w:rPr>
                                  <w:t>Many</w:t>
                                </w:r>
                                <w:proofErr w:type="gramEnd"/>
                                <w:r w:rsidRPr="00777045">
                                  <w:rPr>
                                    <w:rFonts w:ascii="Arial" w:hAnsi="Arial" w:cs="Arial"/>
                                    <w:sz w:val="16"/>
                                    <w:szCs w:val="16"/>
                                  </w:rPr>
                                  <w:t xml:space="preserve"> people either try and fail to get an NHS appointment or do not even try because they believe they will not be seen, and national bodies now describe this as an “access crisis” in NHS dentistry (British Dental Association, 2024).</w:t>
                                </w:r>
                              </w:p>
                              <w:p w14:paraId="409B4F20" w14:textId="77777777" w:rsidR="00777045" w:rsidRPr="00777045" w:rsidRDefault="00777045" w:rsidP="00777045">
                                <w:pPr>
                                  <w:spacing w:after="0" w:line="240" w:lineRule="auto"/>
                                  <w:rPr>
                                    <w:sz w:val="16"/>
                                    <w:szCs w:val="16"/>
                                  </w:rPr>
                                </w:pPr>
                              </w:p>
                              <w:p w14:paraId="21375D09" w14:textId="77777777" w:rsidR="00777045" w:rsidRPr="00777045" w:rsidRDefault="00777045" w:rsidP="00777045">
                                <w:pPr>
                                  <w:spacing w:after="0" w:line="240" w:lineRule="auto"/>
                                  <w:rPr>
                                    <w:sz w:val="16"/>
                                    <w:szCs w:val="16"/>
                                  </w:rPr>
                                </w:pPr>
                                <w:r w:rsidRPr="00777045">
                                  <w:rPr>
                                    <w:noProof/>
                                    <w:sz w:val="16"/>
                                    <w:szCs w:val="16"/>
                                  </w:rPr>
                                  <w:drawing>
                                    <wp:inline distT="0" distB="0" distL="0" distR="0" wp14:anchorId="612918A3" wp14:editId="6C52C977">
                                      <wp:extent cx="3097530" cy="1965649"/>
                                      <wp:effectExtent l="0" t="0" r="7620" b="15875"/>
                                      <wp:docPr id="175471454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F8F703"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Unmet need for NHS dentistry is estimated at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in England (about 28% of the adult population) (British Dental Association,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D03077" id="_x0000_t202" coordsize="21600,21600" o:spt="202" path="m,l,21600r21600,l21600,xe">
                    <v:stroke joinstyle="miter"/>
                    <v:path gradientshapeok="t" o:connecttype="rect"/>
                  </v:shapetype>
                  <v:shape id="Text Box 2" o:spid="_x0000_s1026" type="#_x0000_t202" style="position:absolute;margin-left:504.7pt;margin-top:.95pt;width:321.25pt;height:268.4pt;z-index:2515860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" filled="f" stroked="f">
                    <v:textbox>
                      <w:txbxContent>
                        <w:p w14:paraId="02218739" w14:textId="115F3A74" w:rsidR="00777045" w:rsidRPr="005D2238" w:rsidRDefault="00777045" w:rsidP="00777045">
                          <w:pPr>
                            <w:spacing w:after="0" w:line="240" w:lineRule="auto"/>
                            <w:rPr>
                              <w:rFonts w:ascii="Arial" w:hAnsi="Arial" w:cs="Arial"/>
                              <w:b/>
                              <w:bCs/>
                              <w:sz w:val="16"/>
                              <w:szCs w:val="16"/>
                            </w:rPr>
                          </w:pPr>
                          <w:r w:rsidRPr="005D2238">
                            <w:rPr>
                              <w:rFonts w:ascii="Arial" w:hAnsi="Arial" w:cs="Arial"/>
                              <w:b/>
                              <w:bCs/>
                              <w:sz w:val="16"/>
                              <w:szCs w:val="16"/>
                              <w:highlight w:val="yellow"/>
                            </w:rPr>
                            <w:t xml:space="preserve">Challenge </w:t>
                          </w:r>
                          <w:r w:rsidR="000C7928">
                            <w:rPr>
                              <w:rFonts w:ascii="Arial" w:hAnsi="Arial" w:cs="Arial"/>
                              <w:b/>
                              <w:bCs/>
                              <w:sz w:val="16"/>
                              <w:szCs w:val="16"/>
                              <w:highlight w:val="yellow"/>
                            </w:rPr>
                            <w:t>1</w:t>
                          </w:r>
                          <w:r w:rsidRPr="005D2238">
                            <w:rPr>
                              <w:rFonts w:ascii="Arial" w:hAnsi="Arial" w:cs="Arial"/>
                              <w:b/>
                              <w:bCs/>
                              <w:sz w:val="16"/>
                              <w:szCs w:val="16"/>
                              <w:highlight w:val="yellow"/>
                            </w:rPr>
                            <w:t>: Access to NHS dentistry</w:t>
                          </w:r>
                        </w:p>
                        <w:p w14:paraId="5B4D53F9"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Access to NHS dentistry is a major problem in England, with an estimated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(about 28% of the adult population) having an unmet need for NHS dental care. </w:t>
                          </w:r>
                          <w:proofErr w:type="gramStart"/>
                          <w:r w:rsidRPr="00777045">
                            <w:rPr>
                              <w:rFonts w:ascii="Arial" w:hAnsi="Arial" w:cs="Arial"/>
                              <w:sz w:val="16"/>
                              <w:szCs w:val="16"/>
                            </w:rPr>
                            <w:t>Many</w:t>
                          </w:r>
                          <w:proofErr w:type="gramEnd"/>
                          <w:r w:rsidRPr="00777045">
                            <w:rPr>
                              <w:rFonts w:ascii="Arial" w:hAnsi="Arial" w:cs="Arial"/>
                              <w:sz w:val="16"/>
                              <w:szCs w:val="16"/>
                            </w:rPr>
                            <w:t xml:space="preserve"> people either try and fail to get an NHS appointment or do not even try because they believe they will not be seen, and national bodies now describe this as an “access crisis” in NHS dentistry (British Dental Association, 2024).</w:t>
                          </w:r>
                        </w:p>
                        <w:p w14:paraId="409B4F20" w14:textId="77777777" w:rsidR="00777045" w:rsidRPr="00777045" w:rsidRDefault="00777045" w:rsidP="00777045">
                          <w:pPr>
                            <w:spacing w:after="0" w:line="240" w:lineRule="auto"/>
                            <w:rPr>
                              <w:sz w:val="16"/>
                              <w:szCs w:val="16"/>
                            </w:rPr>
                          </w:pPr>
                        </w:p>
                        <w:p w14:paraId="21375D09" w14:textId="77777777" w:rsidR="00777045" w:rsidRPr="00777045" w:rsidRDefault="00777045" w:rsidP="00777045">
                          <w:pPr>
                            <w:spacing w:after="0" w:line="240" w:lineRule="auto"/>
                            <w:rPr>
                              <w:sz w:val="16"/>
                              <w:szCs w:val="16"/>
                            </w:rPr>
                          </w:pPr>
                          <w:r w:rsidRPr="00777045">
                            <w:rPr>
                              <w:noProof/>
                              <w:sz w:val="16"/>
                              <w:szCs w:val="16"/>
                            </w:rPr>
                            <w:drawing>
                              <wp:inline distT="0" distB="0" distL="0" distR="0" wp14:anchorId="612918A3" wp14:editId="6C52C977">
                                <wp:extent cx="3097530" cy="1965649"/>
                                <wp:effectExtent l="0" t="0" r="7620" b="15875"/>
                                <wp:docPr id="175471454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F8F703"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Unmet need for NHS dentistry is estimated at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in England (about 28% of the adult population) (British Dental Association, 2024).</w:t>
                          </w:r>
                        </w:p>
                      </w:txbxContent>
                    </v:textbox>
                    <w10:wrap type="square" anchorx="page"/>
                  </v:shape>
                </w:pict>
              </mc:Fallback>
            </mc:AlternateContent>
          </w:r>
          <w:r w:rsidR="00AF106B">
            <w:rPr>
              <w:noProof/>
            </w:rPr>
            <w:drawing>
              <wp:anchor distT="0" distB="0" distL="114300" distR="114300" simplePos="0" relativeHeight="251933184" behindDoc="1" locked="0" layoutInCell="1" allowOverlap="1" wp14:anchorId="205A7684" wp14:editId="213E4096">
                <wp:simplePos x="0" y="0"/>
                <wp:positionH relativeFrom="margin">
                  <wp:posOffset>1978793</wp:posOffset>
                </wp:positionH>
                <wp:positionV relativeFrom="paragraph">
                  <wp:posOffset>199</wp:posOffset>
                </wp:positionV>
                <wp:extent cx="1057275" cy="900430"/>
                <wp:effectExtent l="0" t="0" r="9525" b="0"/>
                <wp:wrapTight wrapText="bothSides">
                  <wp:wrapPolygon edited="0">
                    <wp:start x="0" y="0"/>
                    <wp:lineTo x="0" y="21021"/>
                    <wp:lineTo x="21405" y="21021"/>
                    <wp:lineTo x="21405" y="0"/>
                    <wp:lineTo x="0" y="0"/>
                  </wp:wrapPolygon>
                </wp:wrapTight>
                <wp:docPr id="144558259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57275" cy="900430"/>
                        </a:xfrm>
                        <a:prstGeom prst="rect">
                          <a:avLst/>
                        </a:prstGeom>
                        <a:noFill/>
                      </pic:spPr>
                    </pic:pic>
                  </a:graphicData>
                </a:graphic>
                <wp14:sizeRelH relativeFrom="page">
                  <wp14:pctWidth>0</wp14:pctWidth>
                </wp14:sizeRelH>
                <wp14:sizeRelV relativeFrom="page">
                  <wp14:pctHeight>0</wp14:pctHeight>
                </wp14:sizeRelV>
              </wp:anchor>
            </w:drawing>
          </w:r>
          <w:r w:rsidR="00AF106B" w:rsidRPr="0056370B">
            <w:rPr>
              <w:rFonts w:ascii="Arial" w:hAnsi="Arial" w:cs="Arial"/>
              <w:noProof/>
              <w:sz w:val="22"/>
              <w:szCs w:val="22"/>
            </w:rPr>
            <mc:AlternateContent>
              <mc:Choice Requires="wps">
                <w:drawing>
                  <wp:anchor distT="45720" distB="45720" distL="114300" distR="114300" simplePos="0" relativeHeight="251442688" behindDoc="1" locked="0" layoutInCell="1" allowOverlap="1" wp14:anchorId="40019426" wp14:editId="5245DC68">
                    <wp:simplePos x="0" y="0"/>
                    <wp:positionH relativeFrom="column">
                      <wp:posOffset>-343213</wp:posOffset>
                    </wp:positionH>
                    <wp:positionV relativeFrom="paragraph">
                      <wp:posOffset>238058</wp:posOffset>
                    </wp:positionV>
                    <wp:extent cx="2360930" cy="1958975"/>
                    <wp:effectExtent l="0" t="0" r="0" b="3175"/>
                    <wp:wrapThrough wrapText="bothSides">
                      <wp:wrapPolygon edited="0">
                        <wp:start x="348" y="0"/>
                        <wp:lineTo x="348" y="21425"/>
                        <wp:lineTo x="21240" y="21425"/>
                        <wp:lineTo x="21240" y="0"/>
                        <wp:lineTo x="348" y="0"/>
                      </wp:wrapPolygon>
                    </wp:wrapThrough>
                    <wp:docPr id="17717315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958975"/>
                            </a:xfrm>
                            <a:prstGeom prst="rect">
                              <a:avLst/>
                            </a:prstGeom>
                            <a:noFill/>
                            <a:ln w="9525">
                              <a:noFill/>
                              <a:miter lim="800000"/>
                              <a:headEnd/>
                              <a:tailEnd/>
                            </a:ln>
                          </wps:spPr>
                          <wps:txbx>
                            <w:txbxContent>
                              <w:p w14:paraId="3E750835" w14:textId="77777777" w:rsidR="00154372" w:rsidRPr="00301E64" w:rsidRDefault="00154372" w:rsidP="00A077D0">
                                <w:pPr>
                                  <w:spacing w:after="0" w:line="240" w:lineRule="auto"/>
                                  <w:rPr>
                                    <w:rFonts w:ascii="Arial" w:hAnsi="Arial" w:cs="Arial"/>
                                    <w:sz w:val="16"/>
                                    <w:szCs w:val="16"/>
                                  </w:rPr>
                                </w:pPr>
                                <w:r w:rsidRPr="00301E64">
                                  <w:rPr>
                                    <w:rFonts w:ascii="Arial" w:hAnsi="Arial" w:cs="Arial"/>
                                    <w:b/>
                                    <w:bCs/>
                                    <w:sz w:val="16"/>
                                    <w:szCs w:val="16"/>
                                  </w:rPr>
                                  <w:t>What is NHS Dentistry</w:t>
                                </w:r>
                                <w:r w:rsidRPr="00301E64">
                                  <w:rPr>
                                    <w:rFonts w:ascii="Arial" w:hAnsi="Arial" w:cs="Arial"/>
                                    <w:sz w:val="16"/>
                                    <w:szCs w:val="16"/>
                                  </w:rPr>
                                  <w:t>?</w:t>
                                </w:r>
                              </w:p>
                              <w:p w14:paraId="092A382E"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NHS dentistry provides essential, </w:t>
                                </w:r>
                                <w:proofErr w:type="gramStart"/>
                                <w:r w:rsidRPr="00301E64">
                                  <w:rPr>
                                    <w:rFonts w:ascii="Arial" w:hAnsi="Arial" w:cs="Arial"/>
                                    <w:sz w:val="16"/>
                                    <w:szCs w:val="16"/>
                                  </w:rPr>
                                  <w:t>clinically</w:t>
                                </w:r>
                                <w:proofErr w:type="gramEnd"/>
                                <w:r w:rsidRPr="00301E64">
                                  <w:rPr>
                                    <w:rFonts w:ascii="Arial" w:hAnsi="Arial" w:cs="Arial"/>
                                    <w:sz w:val="16"/>
                                    <w:szCs w:val="16"/>
                                  </w:rPr>
                                  <w:t xml:space="preserve"> </w:t>
                                </w:r>
                              </w:p>
                              <w:p w14:paraId="6AEF654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necessary treatment to keep your teeth, gums,</w:t>
                                </w:r>
                              </w:p>
                              <w:p w14:paraId="178AA5A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 and mouth healthy and free from pain </w:t>
                                </w:r>
                              </w:p>
                              <w:p w14:paraId="1E1C5014"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(NHS, 2020). It usually covers routine check</w:t>
                                </w:r>
                                <w:r w:rsidRPr="00301E64">
                                  <w:rPr>
                                    <w:rFonts w:ascii="Cambria Math" w:hAnsi="Cambria Math" w:cs="Cambria Math"/>
                                    <w:sz w:val="16"/>
                                    <w:szCs w:val="16"/>
                                  </w:rPr>
                                  <w:t>‑</w:t>
                                </w:r>
                                <w:proofErr w:type="gramStart"/>
                                <w:r w:rsidRPr="00301E64">
                                  <w:rPr>
                                    <w:rFonts w:ascii="Arial" w:hAnsi="Arial" w:cs="Arial"/>
                                    <w:sz w:val="16"/>
                                    <w:szCs w:val="16"/>
                                  </w:rPr>
                                  <w:t>ups</w:t>
                                </w:r>
                                <w:proofErr w:type="gramEnd"/>
                              </w:p>
                              <w:p w14:paraId="687AE933"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w:t>
                                </w:r>
                                <w:r w:rsidRPr="00301E64">
                                  <w:rPr>
                                    <w:rFonts w:ascii="Cambria Math" w:hAnsi="Cambria Math" w:cs="Cambria Math"/>
                                    <w:sz w:val="16"/>
                                    <w:szCs w:val="16"/>
                                  </w:rPr>
                                  <w:t>‑</w:t>
                                </w:r>
                                <w:r w:rsidRPr="00301E64">
                                  <w:rPr>
                                    <w:rFonts w:ascii="Arial" w:hAnsi="Arial" w:cs="Arial"/>
                                    <w:sz w:val="16"/>
                                    <w:szCs w:val="16"/>
                                  </w:rPr>
                                  <w:t xml:space="preserve">rays, fillings, and extractions, but not </w:t>
                                </w:r>
                              </w:p>
                              <w:p w14:paraId="2AC8B6D7" w14:textId="1B4CB2FA" w:rsidR="00154372" w:rsidRP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cosmetic treatments like tooth whitening. </w:t>
                                </w:r>
                              </w:p>
                              <w:tbl>
                                <w:tblPr>
                                  <w:tblStyle w:val="GridTable4-Accent2"/>
                                  <w:tblW w:w="0" w:type="auto"/>
                                  <w:tblLook w:val="04A0" w:firstRow="1" w:lastRow="0" w:firstColumn="1" w:lastColumn="0" w:noHBand="0" w:noVBand="1"/>
                                </w:tblPr>
                                <w:tblGrid>
                                  <w:gridCol w:w="959"/>
                                  <w:gridCol w:w="1377"/>
                                  <w:gridCol w:w="1085"/>
                                </w:tblGrid>
                                <w:tr w:rsidR="00154372" w:rsidRPr="00301E64" w14:paraId="48AA1D9D" w14:textId="77777777" w:rsidTr="00D77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711B2AEC"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1</w:t>
                                      </w:r>
                                      <w:proofErr w:type="gramEnd"/>
                                    </w:p>
                                  </w:tc>
                                  <w:tc>
                                    <w:tcPr>
                                      <w:tcW w:w="1762" w:type="dxa"/>
                                    </w:tcPr>
                                    <w:p w14:paraId="3A4A9140"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Examination, Xray, scale &amp; polish</w:t>
                                      </w:r>
                                    </w:p>
                                  </w:tc>
                                  <w:tc>
                                    <w:tcPr>
                                      <w:tcW w:w="1762" w:type="dxa"/>
                                    </w:tcPr>
                                    <w:p w14:paraId="59B32548"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£27.40</w:t>
                                      </w:r>
                                    </w:p>
                                  </w:tc>
                                </w:tr>
                                <w:tr w:rsidR="00154372" w:rsidRPr="00301E64" w14:paraId="6342CB50" w14:textId="77777777" w:rsidTr="00D77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413EDD70"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2</w:t>
                                      </w:r>
                                      <w:proofErr w:type="gramEnd"/>
                                      <w:r w:rsidRPr="00301E64">
                                        <w:rPr>
                                          <w:rFonts w:ascii="Arial" w:hAnsi="Arial" w:cs="Arial"/>
                                          <w:sz w:val="16"/>
                                          <w:szCs w:val="16"/>
                                        </w:rPr>
                                        <w:t xml:space="preserve"> </w:t>
                                      </w:r>
                                    </w:p>
                                  </w:tc>
                                  <w:tc>
                                    <w:tcPr>
                                      <w:tcW w:w="1762" w:type="dxa"/>
                                    </w:tcPr>
                                    <w:p w14:paraId="23C1DD84"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1 + Fillings, root canal, extraction</w:t>
                                      </w:r>
                                    </w:p>
                                  </w:tc>
                                  <w:tc>
                                    <w:tcPr>
                                      <w:tcW w:w="1762" w:type="dxa"/>
                                    </w:tcPr>
                                    <w:p w14:paraId="5F5BE3E6"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£75.30</w:t>
                                      </w:r>
                                    </w:p>
                                  </w:tc>
                                </w:tr>
                                <w:tr w:rsidR="00154372" w:rsidRPr="00301E64" w14:paraId="421B5B8C" w14:textId="77777777" w:rsidTr="00D77D5D">
                                  <w:tc>
                                    <w:tcPr>
                                      <w:cnfStyle w:val="001000000000" w:firstRow="0" w:lastRow="0" w:firstColumn="1" w:lastColumn="0" w:oddVBand="0" w:evenVBand="0" w:oddHBand="0" w:evenHBand="0" w:firstRowFirstColumn="0" w:firstRowLastColumn="0" w:lastRowFirstColumn="0" w:lastRowLastColumn="0"/>
                                      <w:tcW w:w="1762" w:type="dxa"/>
                                    </w:tcPr>
                                    <w:p w14:paraId="147EB753"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3</w:t>
                                      </w:r>
                                      <w:proofErr w:type="gramEnd"/>
                                    </w:p>
                                  </w:tc>
                                  <w:tc>
                                    <w:tcPr>
                                      <w:tcW w:w="1762" w:type="dxa"/>
                                    </w:tcPr>
                                    <w:p w14:paraId="5C4B96E9"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2 + Crowns, dentures, bridges</w:t>
                                      </w:r>
                                    </w:p>
                                  </w:tc>
                                  <w:tc>
                                    <w:tcPr>
                                      <w:tcW w:w="1762" w:type="dxa"/>
                                    </w:tcPr>
                                    <w:p w14:paraId="5AE9457B"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£326.70</w:t>
                                      </w:r>
                                    </w:p>
                                  </w:tc>
                                </w:tr>
                              </w:tbl>
                              <w:p w14:paraId="2E93D7DC" w14:textId="77777777" w:rsidR="00154372" w:rsidRPr="007935C3" w:rsidRDefault="00154372" w:rsidP="00A077D0">
                                <w:pPr>
                                  <w:spacing w:after="0" w:line="240" w:lineRule="auto"/>
                                  <w:rPr>
                                    <w:sz w:val="18"/>
                                    <w:szCs w:val="18"/>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0019426" id="_x0000_s1027" type="#_x0000_t202" style="position:absolute;margin-left:-27pt;margin-top:18.75pt;width:185.9pt;height:154.25pt;z-index:-25187379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" filled="f" stroked="f">
                    <v:textbox>
                      <w:txbxContent>
                        <w:p w14:paraId="3E750835" w14:textId="77777777" w:rsidR="00154372" w:rsidRPr="00301E64" w:rsidRDefault="00154372" w:rsidP="00A077D0">
                          <w:pPr>
                            <w:spacing w:after="0" w:line="240" w:lineRule="auto"/>
                            <w:rPr>
                              <w:rFonts w:ascii="Arial" w:hAnsi="Arial" w:cs="Arial"/>
                              <w:sz w:val="16"/>
                              <w:szCs w:val="16"/>
                            </w:rPr>
                          </w:pPr>
                          <w:r w:rsidRPr="00301E64">
                            <w:rPr>
                              <w:rFonts w:ascii="Arial" w:hAnsi="Arial" w:cs="Arial"/>
                              <w:b/>
                              <w:bCs/>
                              <w:sz w:val="16"/>
                              <w:szCs w:val="16"/>
                            </w:rPr>
                            <w:t>What is NHS Dentistry</w:t>
                          </w:r>
                          <w:r w:rsidRPr="00301E64">
                            <w:rPr>
                              <w:rFonts w:ascii="Arial" w:hAnsi="Arial" w:cs="Arial"/>
                              <w:sz w:val="16"/>
                              <w:szCs w:val="16"/>
                            </w:rPr>
                            <w:t>?</w:t>
                          </w:r>
                        </w:p>
                        <w:p w14:paraId="092A382E"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NHS dentistry provides essential, </w:t>
                          </w:r>
                          <w:proofErr w:type="gramStart"/>
                          <w:r w:rsidRPr="00301E64">
                            <w:rPr>
                              <w:rFonts w:ascii="Arial" w:hAnsi="Arial" w:cs="Arial"/>
                              <w:sz w:val="16"/>
                              <w:szCs w:val="16"/>
                            </w:rPr>
                            <w:t>clinically</w:t>
                          </w:r>
                          <w:proofErr w:type="gramEnd"/>
                          <w:r w:rsidRPr="00301E64">
                            <w:rPr>
                              <w:rFonts w:ascii="Arial" w:hAnsi="Arial" w:cs="Arial"/>
                              <w:sz w:val="16"/>
                              <w:szCs w:val="16"/>
                            </w:rPr>
                            <w:t xml:space="preserve"> </w:t>
                          </w:r>
                        </w:p>
                        <w:p w14:paraId="6AEF654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necessary treatment to keep your teeth, gums,</w:t>
                          </w:r>
                        </w:p>
                        <w:p w14:paraId="178AA5A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 and mouth healthy and free from pain </w:t>
                          </w:r>
                        </w:p>
                        <w:p w14:paraId="1E1C5014"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(NHS, 2020). It usually covers routine check</w:t>
                          </w:r>
                          <w:r w:rsidRPr="00301E64">
                            <w:rPr>
                              <w:rFonts w:ascii="Cambria Math" w:hAnsi="Cambria Math" w:cs="Cambria Math"/>
                              <w:sz w:val="16"/>
                              <w:szCs w:val="16"/>
                            </w:rPr>
                            <w:t>‑</w:t>
                          </w:r>
                          <w:proofErr w:type="gramStart"/>
                          <w:r w:rsidRPr="00301E64">
                            <w:rPr>
                              <w:rFonts w:ascii="Arial" w:hAnsi="Arial" w:cs="Arial"/>
                              <w:sz w:val="16"/>
                              <w:szCs w:val="16"/>
                            </w:rPr>
                            <w:t>ups</w:t>
                          </w:r>
                          <w:proofErr w:type="gramEnd"/>
                        </w:p>
                        <w:p w14:paraId="687AE933"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w:t>
                          </w:r>
                          <w:r w:rsidRPr="00301E64">
                            <w:rPr>
                              <w:rFonts w:ascii="Cambria Math" w:hAnsi="Cambria Math" w:cs="Cambria Math"/>
                              <w:sz w:val="16"/>
                              <w:szCs w:val="16"/>
                            </w:rPr>
                            <w:t>‑</w:t>
                          </w:r>
                          <w:r w:rsidRPr="00301E64">
                            <w:rPr>
                              <w:rFonts w:ascii="Arial" w:hAnsi="Arial" w:cs="Arial"/>
                              <w:sz w:val="16"/>
                              <w:szCs w:val="16"/>
                            </w:rPr>
                            <w:t xml:space="preserve">rays, fillings, and extractions, but not </w:t>
                          </w:r>
                        </w:p>
                        <w:p w14:paraId="2AC8B6D7" w14:textId="1B4CB2FA" w:rsidR="00154372" w:rsidRP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cosmetic treatments like tooth whitening. </w:t>
                          </w:r>
                        </w:p>
                        <w:tbl>
                          <w:tblPr>
                            <w:tblStyle w:val="GridTable4-Accent2"/>
                            <w:tblW w:w="0" w:type="auto"/>
                            <w:tblLook w:val="04A0" w:firstRow="1" w:lastRow="0" w:firstColumn="1" w:lastColumn="0" w:noHBand="0" w:noVBand="1"/>
                          </w:tblPr>
                          <w:tblGrid>
                            <w:gridCol w:w="959"/>
                            <w:gridCol w:w="1377"/>
                            <w:gridCol w:w="1085"/>
                          </w:tblGrid>
                          <w:tr w:rsidR="00154372" w:rsidRPr="00301E64" w14:paraId="48AA1D9D" w14:textId="77777777" w:rsidTr="00D77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711B2AEC"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1</w:t>
                                </w:r>
                                <w:proofErr w:type="gramEnd"/>
                              </w:p>
                            </w:tc>
                            <w:tc>
                              <w:tcPr>
                                <w:tcW w:w="1762" w:type="dxa"/>
                              </w:tcPr>
                              <w:p w14:paraId="3A4A9140"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Examination, Xray, scale &amp; polish</w:t>
                                </w:r>
                              </w:p>
                            </w:tc>
                            <w:tc>
                              <w:tcPr>
                                <w:tcW w:w="1762" w:type="dxa"/>
                              </w:tcPr>
                              <w:p w14:paraId="59B32548"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£27.40</w:t>
                                </w:r>
                              </w:p>
                            </w:tc>
                          </w:tr>
                          <w:tr w:rsidR="00154372" w:rsidRPr="00301E64" w14:paraId="6342CB50" w14:textId="77777777" w:rsidTr="00D77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413EDD70"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2</w:t>
                                </w:r>
                                <w:proofErr w:type="gramEnd"/>
                                <w:r w:rsidRPr="00301E64">
                                  <w:rPr>
                                    <w:rFonts w:ascii="Arial" w:hAnsi="Arial" w:cs="Arial"/>
                                    <w:sz w:val="16"/>
                                    <w:szCs w:val="16"/>
                                  </w:rPr>
                                  <w:t xml:space="preserve"> </w:t>
                                </w:r>
                              </w:p>
                            </w:tc>
                            <w:tc>
                              <w:tcPr>
                                <w:tcW w:w="1762" w:type="dxa"/>
                              </w:tcPr>
                              <w:p w14:paraId="23C1DD84"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1 + Fillings, root canal, extraction</w:t>
                                </w:r>
                              </w:p>
                            </w:tc>
                            <w:tc>
                              <w:tcPr>
                                <w:tcW w:w="1762" w:type="dxa"/>
                              </w:tcPr>
                              <w:p w14:paraId="5F5BE3E6"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£75.30</w:t>
                                </w:r>
                              </w:p>
                            </w:tc>
                          </w:tr>
                          <w:tr w:rsidR="00154372" w:rsidRPr="00301E64" w14:paraId="421B5B8C" w14:textId="77777777" w:rsidTr="00D77D5D">
                            <w:tc>
                              <w:tcPr>
                                <w:cnfStyle w:val="001000000000" w:firstRow="0" w:lastRow="0" w:firstColumn="1" w:lastColumn="0" w:oddVBand="0" w:evenVBand="0" w:oddHBand="0" w:evenHBand="0" w:firstRowFirstColumn="0" w:firstRowLastColumn="0" w:lastRowFirstColumn="0" w:lastRowLastColumn="0"/>
                                <w:tcW w:w="1762" w:type="dxa"/>
                              </w:tcPr>
                              <w:p w14:paraId="147EB753"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3</w:t>
                                </w:r>
                                <w:proofErr w:type="gramEnd"/>
                              </w:p>
                            </w:tc>
                            <w:tc>
                              <w:tcPr>
                                <w:tcW w:w="1762" w:type="dxa"/>
                              </w:tcPr>
                              <w:p w14:paraId="5C4B96E9"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2 + Crowns, dentures, bridges</w:t>
                                </w:r>
                              </w:p>
                            </w:tc>
                            <w:tc>
                              <w:tcPr>
                                <w:tcW w:w="1762" w:type="dxa"/>
                              </w:tcPr>
                              <w:p w14:paraId="5AE9457B"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£326.70</w:t>
                                </w:r>
                              </w:p>
                            </w:tc>
                          </w:tr>
                        </w:tbl>
                        <w:p w14:paraId="2E93D7DC" w14:textId="77777777" w:rsidR="00154372" w:rsidRPr="007935C3" w:rsidRDefault="00154372" w:rsidP="00A077D0">
                          <w:pPr>
                            <w:spacing w:after="0" w:line="240" w:lineRule="auto"/>
                            <w:rPr>
                              <w:sz w:val="18"/>
                              <w:szCs w:val="18"/>
                            </w:rPr>
                          </w:pPr>
                        </w:p>
                      </w:txbxContent>
                    </v:textbox>
                    <w10:wrap type="through"/>
                  </v:shape>
                </w:pict>
              </mc:Fallback>
            </mc:AlternateContent>
          </w:r>
          <w:r w:rsidR="004F63A1" w:rsidRPr="00BE7311">
            <w:rPr>
              <w:rFonts w:ascii="Arial" w:hAnsi="Arial" w:cs="Arial"/>
              <w:noProof/>
              <w:sz w:val="22"/>
              <w:szCs w:val="22"/>
            </w:rPr>
            <mc:AlternateContent>
              <mc:Choice Requires="wps">
                <w:drawing>
                  <wp:anchor distT="45720" distB="45720" distL="114300" distR="114300" simplePos="0" relativeHeight="251395584" behindDoc="0" locked="0" layoutInCell="1" allowOverlap="1" wp14:anchorId="7EE4581D" wp14:editId="4D0248C0">
                    <wp:simplePos x="0" y="0"/>
                    <wp:positionH relativeFrom="margin">
                      <wp:posOffset>3319521</wp:posOffset>
                    </wp:positionH>
                    <wp:positionV relativeFrom="paragraph">
                      <wp:posOffset>52</wp:posOffset>
                    </wp:positionV>
                    <wp:extent cx="31642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205" cy="1404620"/>
                            </a:xfrm>
                            <a:prstGeom prst="rect">
                              <a:avLst/>
                            </a:prstGeom>
                            <a:noFill/>
                            <a:ln w="9525">
                              <a:noFill/>
                              <a:miter lim="800000"/>
                              <a:headEnd/>
                              <a:tailEnd/>
                            </a:ln>
                          </wps:spPr>
                          <wps:txbx>
                            <w:txbxContent>
                              <w:p w14:paraId="7F7D41C2" w14:textId="1DA54DD1" w:rsidR="00154372" w:rsidRPr="00205042" w:rsidRDefault="00154372" w:rsidP="00154372">
                                <w:pPr>
                                  <w:rPr>
                                    <w:b/>
                                    <w:bCs/>
                                    <w:sz w:val="36"/>
                                    <w:szCs w:val="36"/>
                                  </w:rPr>
                                </w:pPr>
                                <w:r w:rsidRPr="00205042">
                                  <w:rPr>
                                    <w:b/>
                                    <w:bCs/>
                                    <w:sz w:val="36"/>
                                    <w:szCs w:val="36"/>
                                  </w:rPr>
                                  <w:t>NHS Dentistry Services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E4581D" id="_x0000_s1028" type="#_x0000_t202" style="position:absolute;margin-left:261.4pt;margin-top:0;width:249.15pt;height:110.6pt;z-index:2513955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" filled="f" stroked="f">
                    <v:textbox style="mso-fit-shape-to-text:t">
                      <w:txbxContent>
                        <w:p w14:paraId="7F7D41C2" w14:textId="1DA54DD1" w:rsidR="00154372" w:rsidRPr="00205042" w:rsidRDefault="00154372" w:rsidP="00154372">
                          <w:pPr>
                            <w:rPr>
                              <w:b/>
                              <w:bCs/>
                              <w:sz w:val="36"/>
                              <w:szCs w:val="36"/>
                            </w:rPr>
                          </w:pPr>
                          <w:r w:rsidRPr="00205042">
                            <w:rPr>
                              <w:b/>
                              <w:bCs/>
                              <w:sz w:val="36"/>
                              <w:szCs w:val="36"/>
                            </w:rPr>
                            <w:t>NHS Dentistry Services</w:t>
                          </w:r>
                        </w:p>
                      </w:txbxContent>
                    </v:textbox>
                    <w10:wrap type="square" anchorx="margin"/>
                  </v:shape>
                </w:pict>
              </mc:Fallback>
            </mc:AlternateContent>
          </w:r>
        </w:p>
        <w:p w14:paraId="5C1654A4" w14:textId="4B8B3C8C" w:rsidR="003C1019" w:rsidRDefault="007A6DF6">
          <w:r>
            <w:rPr>
              <w:noProof/>
            </w:rPr>
            <mc:AlternateContent>
              <mc:Choice Requires="wps">
                <w:drawing>
                  <wp:anchor distT="0" distB="0" distL="114300" distR="114300" simplePos="0" relativeHeight="251964928" behindDoc="0" locked="0" layoutInCell="1" allowOverlap="1" wp14:anchorId="670E159A" wp14:editId="7FDF7154">
                    <wp:simplePos x="0" y="0"/>
                    <wp:positionH relativeFrom="column">
                      <wp:posOffset>1961318</wp:posOffset>
                    </wp:positionH>
                    <wp:positionV relativeFrom="paragraph">
                      <wp:posOffset>382606</wp:posOffset>
                    </wp:positionV>
                    <wp:extent cx="1241946" cy="341194"/>
                    <wp:effectExtent l="0" t="0" r="0" b="1905"/>
                    <wp:wrapNone/>
                    <wp:docPr id="900625116" name="Text Box 20"/>
                    <wp:cNvGraphicFramePr/>
                    <a:graphic xmlns:a="http://schemas.openxmlformats.org/drawingml/2006/main">
                      <a:graphicData uri="http://schemas.microsoft.com/office/word/2010/wordprocessingShape">
                        <wps:wsp>
                          <wps:cNvSpPr txBox="1"/>
                          <wps:spPr>
                            <a:xfrm>
                              <a:off x="0" y="0"/>
                              <a:ext cx="1241946" cy="341194"/>
                            </a:xfrm>
                            <a:prstGeom prst="rect">
                              <a:avLst/>
                            </a:prstGeom>
                            <a:noFill/>
                            <a:ln w="6350">
                              <a:noFill/>
                            </a:ln>
                          </wps:spPr>
                          <wps:txbx>
                            <w:txbxContent>
                              <w:p w14:paraId="1C8DD5C4" w14:textId="0181F863" w:rsidR="002354EE" w:rsidRPr="00AF106B" w:rsidRDefault="002354EE">
                                <w:pPr>
                                  <w:rPr>
                                    <w:sz w:val="18"/>
                                    <w:szCs w:val="18"/>
                                  </w:rPr>
                                </w:pPr>
                                <w:r w:rsidRPr="00AF106B">
                                  <w:rPr>
                                    <w:rFonts w:ascii="Arial" w:hAnsi="Arial" w:cs="Arial"/>
                                    <w:sz w:val="16"/>
                                    <w:szCs w:val="16"/>
                                  </w:rPr>
                                  <w:t>Tunbridge Wells Dental Care (no</w:t>
                                </w:r>
                                <w:r w:rsidRPr="00AF106B">
                                  <w:rPr>
                                    <w:sz w:val="16"/>
                                    <w:szCs w:val="16"/>
                                  </w:rPr>
                                  <w:t xml:space="preserve"> </w:t>
                                </w:r>
                                <w:r w:rsidRPr="00AF106B">
                                  <w:rPr>
                                    <w:sz w:val="18"/>
                                    <w:szCs w:val="18"/>
                                  </w:rPr>
                                  <w:t>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E159A" id="Text Box 20" o:spid="_x0000_s1029" type="#_x0000_t202" style="position:absolute;margin-left:154.45pt;margin-top:30.15pt;width:97.8pt;height:26.85pt;z-index:25196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" filled="f" stroked="f" strokeweight=".5pt">
                    <v:textbox>
                      <w:txbxContent>
                        <w:p w14:paraId="1C8DD5C4" w14:textId="0181F863" w:rsidR="002354EE" w:rsidRPr="00AF106B" w:rsidRDefault="002354EE">
                          <w:pPr>
                            <w:rPr>
                              <w:sz w:val="18"/>
                              <w:szCs w:val="18"/>
                            </w:rPr>
                          </w:pPr>
                          <w:r w:rsidRPr="00AF106B">
                            <w:rPr>
                              <w:rFonts w:ascii="Arial" w:hAnsi="Arial" w:cs="Arial"/>
                              <w:sz w:val="16"/>
                              <w:szCs w:val="16"/>
                            </w:rPr>
                            <w:t>Tunbridge Wells Dental Care (no</w:t>
                          </w:r>
                          <w:r w:rsidRPr="00AF106B">
                            <w:rPr>
                              <w:sz w:val="16"/>
                              <w:szCs w:val="16"/>
                            </w:rPr>
                            <w:t xml:space="preserve"> </w:t>
                          </w:r>
                          <w:r w:rsidRPr="00AF106B">
                            <w:rPr>
                              <w:sz w:val="18"/>
                              <w:szCs w:val="18"/>
                            </w:rPr>
                            <w:t>date)</w:t>
                          </w:r>
                        </w:p>
                      </w:txbxContent>
                    </v:textbox>
                  </v:shape>
                </w:pict>
              </mc:Fallback>
            </mc:AlternateContent>
          </w:r>
          <w:r w:rsidR="004F63A1">
            <w:rPr>
              <w:rFonts w:ascii="Arial" w:hAnsi="Arial" w:cs="Arial"/>
              <w:noProof/>
              <w:sz w:val="22"/>
              <w:szCs w:val="22"/>
            </w:rPr>
            <mc:AlternateContent>
              <mc:Choice Requires="wps">
                <w:drawing>
                  <wp:anchor distT="0" distB="0" distL="114300" distR="114300" simplePos="0" relativeHeight="251550208" behindDoc="0" locked="0" layoutInCell="1" allowOverlap="1" wp14:anchorId="62990AE4" wp14:editId="28FCFB34">
                    <wp:simplePos x="0" y="0"/>
                    <wp:positionH relativeFrom="margin">
                      <wp:posOffset>3430270</wp:posOffset>
                    </wp:positionH>
                    <wp:positionV relativeFrom="paragraph">
                      <wp:posOffset>238669</wp:posOffset>
                    </wp:positionV>
                    <wp:extent cx="2413518" cy="311021"/>
                    <wp:effectExtent l="0" t="0" r="0" b="0"/>
                    <wp:wrapNone/>
                    <wp:docPr id="1662278325" name="Text Box 8"/>
                    <wp:cNvGraphicFramePr/>
                    <a:graphic xmlns:a="http://schemas.openxmlformats.org/drawingml/2006/main">
                      <a:graphicData uri="http://schemas.microsoft.com/office/word/2010/wordprocessingShape">
                        <wps:wsp>
                          <wps:cNvSpPr txBox="1"/>
                          <wps:spPr>
                            <a:xfrm>
                              <a:off x="0" y="0"/>
                              <a:ext cx="2413518" cy="311021"/>
                            </a:xfrm>
                            <a:prstGeom prst="rect">
                              <a:avLst/>
                            </a:prstGeom>
                            <a:noFill/>
                            <a:ln w="6350">
                              <a:noFill/>
                            </a:ln>
                          </wps:spPr>
                          <wps:txbx>
                            <w:txbxContent>
                              <w:p w14:paraId="0350B647" w14:textId="77777777" w:rsidR="00154372" w:rsidRPr="00957551" w:rsidRDefault="00154372" w:rsidP="00154372">
                                <w:pPr>
                                  <w:rPr>
                                    <w:rFonts w:ascii="Arial" w:hAnsi="Arial" w:cs="Arial"/>
                                    <w:b/>
                                    <w:bCs/>
                                    <w:sz w:val="22"/>
                                    <w:szCs w:val="22"/>
                                  </w:rPr>
                                </w:pPr>
                                <w:r w:rsidRPr="00957551">
                                  <w:rPr>
                                    <w:rFonts w:ascii="Arial" w:hAnsi="Arial" w:cs="Arial"/>
                                    <w:b/>
                                    <w:bCs/>
                                    <w:sz w:val="22"/>
                                    <w:szCs w:val="22"/>
                                  </w:rPr>
                                  <w:t>How NHS Dentistry Works Today</w:t>
                                </w:r>
                              </w:p>
                              <w:p w14:paraId="4A6D6C94" w14:textId="76E47C11" w:rsidR="00154372" w:rsidRDefault="00154372" w:rsidP="00317E5C">
                                <w:pPr>
                                  <w:spacing w:after="0" w:line="240" w:lineRule="auto"/>
                                </w:pPr>
                              </w:p>
                              <w:p w14:paraId="62EB38BE" w14:textId="77777777" w:rsidR="00154372" w:rsidRDefault="00154372" w:rsidP="00154372"/>
                              <w:p w14:paraId="74ECACBC" w14:textId="77777777" w:rsidR="00154372" w:rsidRPr="002D019B" w:rsidRDefault="00154372" w:rsidP="00154372">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990AE4" id="Text Box 8" o:spid="_x0000_s1030" type="#_x0000_t202" style="position:absolute;margin-left:270.1pt;margin-top:18.8pt;width:190.05pt;height:24.5pt;z-index:251550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" filled="f" stroked="f" strokeweight=".5pt">
                    <v:textbox>
                      <w:txbxContent>
                        <w:p w14:paraId="0350B647" w14:textId="77777777" w:rsidR="00154372" w:rsidRPr="00957551" w:rsidRDefault="00154372" w:rsidP="00154372">
                          <w:pPr>
                            <w:rPr>
                              <w:rFonts w:ascii="Arial" w:hAnsi="Arial" w:cs="Arial"/>
                              <w:b/>
                              <w:bCs/>
                              <w:sz w:val="22"/>
                              <w:szCs w:val="22"/>
                            </w:rPr>
                          </w:pPr>
                          <w:r w:rsidRPr="00957551">
                            <w:rPr>
                              <w:rFonts w:ascii="Arial" w:hAnsi="Arial" w:cs="Arial"/>
                              <w:b/>
                              <w:bCs/>
                              <w:sz w:val="22"/>
                              <w:szCs w:val="22"/>
                            </w:rPr>
                            <w:t>How NHS Dentistry Works Today</w:t>
                          </w:r>
                        </w:p>
                        <w:p w14:paraId="4A6D6C94" w14:textId="76E47C11" w:rsidR="00154372" w:rsidRDefault="00154372" w:rsidP="00317E5C">
                          <w:pPr>
                            <w:spacing w:after="0" w:line="240" w:lineRule="auto"/>
                          </w:pPr>
                        </w:p>
                        <w:p w14:paraId="62EB38BE" w14:textId="77777777" w:rsidR="00154372" w:rsidRDefault="00154372" w:rsidP="00154372"/>
                        <w:p w14:paraId="74ECACBC" w14:textId="77777777" w:rsidR="00154372" w:rsidRPr="002D019B" w:rsidRDefault="00154372" w:rsidP="00154372">
                          <w:pPr>
                            <w:rPr>
                              <w:b/>
                              <w:bCs/>
                            </w:rPr>
                          </w:pPr>
                        </w:p>
                      </w:txbxContent>
                    </v:textbox>
                    <w10:wrap anchorx="margin"/>
                  </v:shape>
                </w:pict>
              </mc:Fallback>
            </mc:AlternateContent>
          </w:r>
        </w:p>
      </w:sdtContent>
    </w:sdt>
    <w:p w14:paraId="116FDC20" w14:textId="294EB53A" w:rsidR="0054337B" w:rsidRDefault="0054337B" w:rsidP="00552A79"/>
    <w:p w14:paraId="769652CF" w14:textId="78450FAB" w:rsidR="0054337B" w:rsidRDefault="00B84DAE" w:rsidP="00552A79">
      <w:r>
        <w:rPr>
          <w:rFonts w:ascii="Arial" w:hAnsi="Arial" w:cs="Arial"/>
          <w:noProof/>
          <w:sz w:val="22"/>
          <w:szCs w:val="22"/>
        </w:rPr>
        <mc:AlternateContent>
          <mc:Choice Requires="wps">
            <w:drawing>
              <wp:anchor distT="0" distB="0" distL="114300" distR="114300" simplePos="0" relativeHeight="251476480" behindDoc="0" locked="0" layoutInCell="1" allowOverlap="1" wp14:anchorId="53355618" wp14:editId="4BCF22DF">
                <wp:simplePos x="0" y="0"/>
                <wp:positionH relativeFrom="column">
                  <wp:posOffset>-338839</wp:posOffset>
                </wp:positionH>
                <wp:positionV relativeFrom="paragraph">
                  <wp:posOffset>984746</wp:posOffset>
                </wp:positionV>
                <wp:extent cx="3417881" cy="1681596"/>
                <wp:effectExtent l="19050" t="0" r="30480" b="280670"/>
                <wp:wrapNone/>
                <wp:docPr id="754026355" name="Thought Bubble: Cloud 6"/>
                <wp:cNvGraphicFramePr/>
                <a:graphic xmlns:a="http://schemas.openxmlformats.org/drawingml/2006/main">
                  <a:graphicData uri="http://schemas.microsoft.com/office/word/2010/wordprocessingShape">
                    <wps:wsp>
                      <wps:cNvSpPr/>
                      <wps:spPr>
                        <a:xfrm>
                          <a:off x="0" y="0"/>
                          <a:ext cx="3417881" cy="1681596"/>
                        </a:xfrm>
                        <a:prstGeom prst="cloudCallou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6E6EEDC" w14:textId="77777777" w:rsidR="00154372" w:rsidRDefault="00154372" w:rsidP="00154372">
                            <w:pPr>
                              <w:jc w:val="center"/>
                            </w:pPr>
                            <w:r>
                              <w:t>22.1 million</w:t>
                            </w:r>
                          </w:p>
                          <w:p w14:paraId="64662A63" w14:textId="77777777" w:rsidR="00154372" w:rsidRDefault="00154372" w:rsidP="00154372">
                            <w:pPr>
                              <w:jc w:val="center"/>
                            </w:pPr>
                            <w:r>
                              <w:t>NHS dental patient contacts in England (2022–23)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355618"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6" o:spid="_x0000_s1031" type="#_x0000_t106" style="position:absolute;margin-left:-26.7pt;margin-top:77.55pt;width:269.1pt;height:132.4pt;z-index:25147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" adj="6300,24300" fillcolor="#e97132 [3205]" strokecolor="#030e13 [484]" strokeweight="1.5pt">
                <v:stroke joinstyle="miter"/>
                <v:textbox>
                  <w:txbxContent>
                    <w:p w14:paraId="06E6EEDC" w14:textId="77777777" w:rsidR="00154372" w:rsidRDefault="00154372" w:rsidP="00154372">
                      <w:pPr>
                        <w:jc w:val="center"/>
                      </w:pPr>
                      <w:r>
                        <w:t>22.1 million</w:t>
                      </w:r>
                    </w:p>
                    <w:p w14:paraId="64662A63" w14:textId="77777777" w:rsidR="00154372" w:rsidRDefault="00154372" w:rsidP="00154372">
                      <w:pPr>
                        <w:jc w:val="center"/>
                      </w:pPr>
                      <w:r>
                        <w:t>NHS dental patient contacts in England (2022–23)</w:t>
                      </w:r>
                    </w:p>
                  </w:txbxContent>
                </v:textbox>
              </v:shape>
            </w:pict>
          </mc:Fallback>
        </mc:AlternateContent>
      </w:r>
      <w:r w:rsidR="00916FFD">
        <w:rPr>
          <w:noProof/>
        </w:rPr>
        <w:drawing>
          <wp:anchor distT="0" distB="0" distL="114300" distR="114300" simplePos="0" relativeHeight="251755008" behindDoc="0" locked="0" layoutInCell="1" allowOverlap="1" wp14:anchorId="1D0E5BDF" wp14:editId="72C52996">
            <wp:simplePos x="0" y="0"/>
            <wp:positionH relativeFrom="column">
              <wp:posOffset>3393739</wp:posOffset>
            </wp:positionH>
            <wp:positionV relativeFrom="paragraph">
              <wp:posOffset>84312</wp:posOffset>
            </wp:positionV>
            <wp:extent cx="2182495" cy="2823210"/>
            <wp:effectExtent l="19050" t="19050" r="46355" b="34290"/>
            <wp:wrapSquare wrapText="bothSides"/>
            <wp:docPr id="34859507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37DB4130" w14:textId="3D69057A" w:rsidR="0054337B" w:rsidRDefault="0054337B" w:rsidP="002354EE"/>
    <w:p w14:paraId="20D7637D" w14:textId="780BD05A" w:rsidR="0054337B" w:rsidRDefault="0054337B" w:rsidP="00552A79"/>
    <w:p w14:paraId="4D68E15F" w14:textId="77D65590" w:rsidR="0054337B" w:rsidRDefault="00B84DAE" w:rsidP="00552A79">
      <w:r>
        <w:rPr>
          <w:noProof/>
        </w:rPr>
        <mc:AlternateContent>
          <mc:Choice Requires="wps">
            <w:drawing>
              <wp:anchor distT="0" distB="0" distL="114300" distR="114300" simplePos="0" relativeHeight="251634176" behindDoc="0" locked="0" layoutInCell="1" allowOverlap="1" wp14:anchorId="75A90089" wp14:editId="0BF2CD7D">
                <wp:simplePos x="0" y="0"/>
                <wp:positionH relativeFrom="column">
                  <wp:posOffset>5513294</wp:posOffset>
                </wp:positionH>
                <wp:positionV relativeFrom="paragraph">
                  <wp:posOffset>8576</wp:posOffset>
                </wp:positionV>
                <wp:extent cx="2412450" cy="2766252"/>
                <wp:effectExtent l="0" t="0" r="0" b="0"/>
                <wp:wrapNone/>
                <wp:docPr id="454433119" name="Text Box 16"/>
                <wp:cNvGraphicFramePr/>
                <a:graphic xmlns:a="http://schemas.openxmlformats.org/drawingml/2006/main">
                  <a:graphicData uri="http://schemas.microsoft.com/office/word/2010/wordprocessingShape">
                    <wps:wsp>
                      <wps:cNvSpPr txBox="1"/>
                      <wps:spPr>
                        <a:xfrm>
                          <a:off x="0" y="0"/>
                          <a:ext cx="2412450" cy="2766252"/>
                        </a:xfrm>
                        <a:prstGeom prst="rect">
                          <a:avLst/>
                        </a:prstGeom>
                        <a:noFill/>
                        <a:ln w="6350">
                          <a:noFill/>
                        </a:ln>
                      </wps:spPr>
                      <wps:txbx>
                        <w:txbxContent>
                          <w:p w14:paraId="04F397F9" w14:textId="24424483" w:rsidR="00597CF1" w:rsidRPr="005D2238" w:rsidRDefault="00597CF1" w:rsidP="00597CF1">
                            <w:pPr>
                              <w:spacing w:after="0" w:line="240" w:lineRule="auto"/>
                              <w:ind w:left="720" w:hanging="360"/>
                              <w:rPr>
                                <w:rFonts w:ascii="Arial" w:hAnsi="Arial" w:cs="Arial"/>
                                <w:b/>
                                <w:bCs/>
                                <w:sz w:val="16"/>
                                <w:szCs w:val="16"/>
                              </w:rPr>
                            </w:pPr>
                            <w:r w:rsidRPr="00CA3B13">
                              <w:rPr>
                                <w:rFonts w:ascii="Arial" w:hAnsi="Arial" w:cs="Arial"/>
                                <w:b/>
                                <w:bCs/>
                                <w:sz w:val="16"/>
                                <w:szCs w:val="16"/>
                                <w:highlight w:val="yellow"/>
                              </w:rPr>
                              <w:t xml:space="preserve">Challenge </w:t>
                            </w:r>
                            <w:r w:rsidR="000C7928">
                              <w:rPr>
                                <w:rFonts w:ascii="Arial" w:hAnsi="Arial" w:cs="Arial"/>
                                <w:b/>
                                <w:bCs/>
                                <w:sz w:val="16"/>
                                <w:szCs w:val="16"/>
                                <w:highlight w:val="yellow"/>
                              </w:rPr>
                              <w:t>2</w:t>
                            </w:r>
                            <w:r w:rsidRPr="00CA3B13">
                              <w:rPr>
                                <w:rFonts w:ascii="Arial" w:hAnsi="Arial" w:cs="Arial"/>
                                <w:b/>
                                <w:bCs/>
                                <w:sz w:val="16"/>
                                <w:szCs w:val="16"/>
                                <w:highlight w:val="yellow"/>
                              </w:rPr>
                              <w:t>: Oral health inequalities</w:t>
                            </w:r>
                          </w:p>
                          <w:p w14:paraId="51B657E0" w14:textId="7C4BB7CD" w:rsidR="00DA7437" w:rsidRPr="00DA7437" w:rsidRDefault="002E49E8"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Tooth decay is much more common in people who live in the poorest parts of England than in people living in the most advantaged areas.</w:t>
                            </w:r>
                          </w:p>
                          <w:p w14:paraId="73D40B3C" w14:textId="77777777" w:rsidR="002E49E8" w:rsidRPr="00DA7437" w:rsidRDefault="002E49E8" w:rsidP="002E49E8">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Children from low</w:t>
                            </w:r>
                            <w:r w:rsidRPr="00DA7437">
                              <w:rPr>
                                <w:rFonts w:ascii="Cambria Math" w:hAnsi="Cambria Math" w:cs="Cambria Math"/>
                                <w:sz w:val="16"/>
                                <w:szCs w:val="16"/>
                              </w:rPr>
                              <w:t>‑</w:t>
                            </w:r>
                            <w:r w:rsidRPr="00DA7437">
                              <w:rPr>
                                <w:rFonts w:ascii="Arial" w:hAnsi="Arial" w:cs="Arial"/>
                                <w:sz w:val="16"/>
                                <w:szCs w:val="16"/>
                              </w:rPr>
                              <w:t>income communities are more than twice as likely to have had dental decay as children from better</w:t>
                            </w:r>
                            <w:r w:rsidRPr="00DA7437">
                              <w:rPr>
                                <w:rFonts w:ascii="Cambria Math" w:hAnsi="Cambria Math" w:cs="Cambria Math"/>
                                <w:sz w:val="16"/>
                                <w:szCs w:val="16"/>
                              </w:rPr>
                              <w:t>‑</w:t>
                            </w:r>
                            <w:r w:rsidRPr="00DA7437">
                              <w:rPr>
                                <w:rFonts w:ascii="Arial" w:hAnsi="Arial" w:cs="Arial"/>
                                <w:sz w:val="16"/>
                                <w:szCs w:val="16"/>
                              </w:rPr>
                              <w:t>off communities.</w:t>
                            </w:r>
                          </w:p>
                          <w:p w14:paraId="6D7B62D7" w14:textId="480C8FB8" w:rsidR="002E49E8" w:rsidRPr="00DA7437" w:rsidRDefault="00DA7437"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Adults living in poorer areas are more likely to have serious dental problems and toothache. Their oral health has a bigger impact on everyday activities, and they are less likely to attend routine dental appointments than adults in better</w:t>
                            </w:r>
                            <w:r w:rsidRPr="00DA7437">
                              <w:rPr>
                                <w:rFonts w:ascii="Cambria Math" w:hAnsi="Cambria Math" w:cs="Cambria Math"/>
                                <w:sz w:val="16"/>
                                <w:szCs w:val="16"/>
                              </w:rPr>
                              <w:t>‑</w:t>
                            </w:r>
                            <w:r w:rsidRPr="00DA7437">
                              <w:rPr>
                                <w:rFonts w:ascii="Arial" w:hAnsi="Arial" w:cs="Arial"/>
                                <w:sz w:val="16"/>
                                <w:szCs w:val="16"/>
                              </w:rPr>
                              <w:t>off areas.</w:t>
                            </w:r>
                          </w:p>
                          <w:p w14:paraId="4D556EA3" w14:textId="5C0957D5" w:rsidR="00597CF1" w:rsidRPr="00DA7437" w:rsidRDefault="00597CF1" w:rsidP="00597CF1">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 xml:space="preserve">These patterns show that poor oral health and limited access to dental care are </w:t>
                            </w:r>
                            <w:proofErr w:type="gramStart"/>
                            <w:r w:rsidRPr="00DA7437">
                              <w:rPr>
                                <w:rFonts w:ascii="Arial" w:hAnsi="Arial" w:cs="Arial"/>
                                <w:sz w:val="16"/>
                                <w:szCs w:val="16"/>
                              </w:rPr>
                              <w:t>closely linked</w:t>
                            </w:r>
                            <w:proofErr w:type="gramEnd"/>
                            <w:r w:rsidRPr="00DA7437">
                              <w:rPr>
                                <w:rFonts w:ascii="Arial" w:hAnsi="Arial" w:cs="Arial"/>
                                <w:sz w:val="16"/>
                                <w:szCs w:val="16"/>
                              </w:rPr>
                              <w:t xml:space="preserve"> to poverty and disadvantage (Office for Health Improvement and Disparities, 2021).</w:t>
                            </w:r>
                          </w:p>
                          <w:p w14:paraId="18689E34" w14:textId="26B49EB6" w:rsidR="00597CF1" w:rsidRPr="00DA7437" w:rsidRDefault="00597CF1" w:rsidP="00B84DAE">
                            <w:pPr>
                              <w:pStyle w:val="ListParagraph"/>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90089" id="Text Box 16" o:spid="_x0000_s1032" type="#_x0000_t202" style="position:absolute;margin-left:434.1pt;margin-top:.7pt;width:189.95pt;height:217.8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" filled="f" stroked="f" strokeweight=".5pt">
                <v:textbox>
                  <w:txbxContent>
                    <w:p w14:paraId="04F397F9" w14:textId="24424483" w:rsidR="00597CF1" w:rsidRPr="005D2238" w:rsidRDefault="00597CF1" w:rsidP="00597CF1">
                      <w:pPr>
                        <w:spacing w:after="0" w:line="240" w:lineRule="auto"/>
                        <w:ind w:left="720" w:hanging="360"/>
                        <w:rPr>
                          <w:rFonts w:ascii="Arial" w:hAnsi="Arial" w:cs="Arial"/>
                          <w:b/>
                          <w:bCs/>
                          <w:sz w:val="16"/>
                          <w:szCs w:val="16"/>
                        </w:rPr>
                      </w:pPr>
                      <w:r w:rsidRPr="00CA3B13">
                        <w:rPr>
                          <w:rFonts w:ascii="Arial" w:hAnsi="Arial" w:cs="Arial"/>
                          <w:b/>
                          <w:bCs/>
                          <w:sz w:val="16"/>
                          <w:szCs w:val="16"/>
                          <w:highlight w:val="yellow"/>
                        </w:rPr>
                        <w:t xml:space="preserve">Challenge </w:t>
                      </w:r>
                      <w:r w:rsidR="000C7928">
                        <w:rPr>
                          <w:rFonts w:ascii="Arial" w:hAnsi="Arial" w:cs="Arial"/>
                          <w:b/>
                          <w:bCs/>
                          <w:sz w:val="16"/>
                          <w:szCs w:val="16"/>
                          <w:highlight w:val="yellow"/>
                        </w:rPr>
                        <w:t>2</w:t>
                      </w:r>
                      <w:r w:rsidRPr="00CA3B13">
                        <w:rPr>
                          <w:rFonts w:ascii="Arial" w:hAnsi="Arial" w:cs="Arial"/>
                          <w:b/>
                          <w:bCs/>
                          <w:sz w:val="16"/>
                          <w:szCs w:val="16"/>
                          <w:highlight w:val="yellow"/>
                        </w:rPr>
                        <w:t>: Oral health inequalities</w:t>
                      </w:r>
                    </w:p>
                    <w:p w14:paraId="51B657E0" w14:textId="7C4BB7CD" w:rsidR="00DA7437" w:rsidRPr="00DA7437" w:rsidRDefault="002E49E8"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Tooth decay is much more common in people who live in the poorest parts of England than in people living in the most advantaged areas.</w:t>
                      </w:r>
                    </w:p>
                    <w:p w14:paraId="73D40B3C" w14:textId="77777777" w:rsidR="002E49E8" w:rsidRPr="00DA7437" w:rsidRDefault="002E49E8" w:rsidP="002E49E8">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Children from low</w:t>
                      </w:r>
                      <w:r w:rsidRPr="00DA7437">
                        <w:rPr>
                          <w:rFonts w:ascii="Cambria Math" w:hAnsi="Cambria Math" w:cs="Cambria Math"/>
                          <w:sz w:val="16"/>
                          <w:szCs w:val="16"/>
                        </w:rPr>
                        <w:t>‑</w:t>
                      </w:r>
                      <w:r w:rsidRPr="00DA7437">
                        <w:rPr>
                          <w:rFonts w:ascii="Arial" w:hAnsi="Arial" w:cs="Arial"/>
                          <w:sz w:val="16"/>
                          <w:szCs w:val="16"/>
                        </w:rPr>
                        <w:t>income communities are more than twice as likely to have had dental decay as children from better</w:t>
                      </w:r>
                      <w:r w:rsidRPr="00DA7437">
                        <w:rPr>
                          <w:rFonts w:ascii="Cambria Math" w:hAnsi="Cambria Math" w:cs="Cambria Math"/>
                          <w:sz w:val="16"/>
                          <w:szCs w:val="16"/>
                        </w:rPr>
                        <w:t>‑</w:t>
                      </w:r>
                      <w:r w:rsidRPr="00DA7437">
                        <w:rPr>
                          <w:rFonts w:ascii="Arial" w:hAnsi="Arial" w:cs="Arial"/>
                          <w:sz w:val="16"/>
                          <w:szCs w:val="16"/>
                        </w:rPr>
                        <w:t>off communities.</w:t>
                      </w:r>
                    </w:p>
                    <w:p w14:paraId="6D7B62D7" w14:textId="480C8FB8" w:rsidR="002E49E8" w:rsidRPr="00DA7437" w:rsidRDefault="00DA7437"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Adults living in poorer areas are more likely to have serious dental problems and toothache. Their oral health has a bigger impact on everyday activities, and they are less likely to attend routine dental appointments than adults in better</w:t>
                      </w:r>
                      <w:r w:rsidRPr="00DA7437">
                        <w:rPr>
                          <w:rFonts w:ascii="Cambria Math" w:hAnsi="Cambria Math" w:cs="Cambria Math"/>
                          <w:sz w:val="16"/>
                          <w:szCs w:val="16"/>
                        </w:rPr>
                        <w:t>‑</w:t>
                      </w:r>
                      <w:r w:rsidRPr="00DA7437">
                        <w:rPr>
                          <w:rFonts w:ascii="Arial" w:hAnsi="Arial" w:cs="Arial"/>
                          <w:sz w:val="16"/>
                          <w:szCs w:val="16"/>
                        </w:rPr>
                        <w:t>off areas.</w:t>
                      </w:r>
                    </w:p>
                    <w:p w14:paraId="4D556EA3" w14:textId="5C0957D5" w:rsidR="00597CF1" w:rsidRPr="00DA7437" w:rsidRDefault="00597CF1" w:rsidP="00597CF1">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 xml:space="preserve">These patterns show that poor oral health and limited access to dental care are </w:t>
                      </w:r>
                      <w:proofErr w:type="gramStart"/>
                      <w:r w:rsidRPr="00DA7437">
                        <w:rPr>
                          <w:rFonts w:ascii="Arial" w:hAnsi="Arial" w:cs="Arial"/>
                          <w:sz w:val="16"/>
                          <w:szCs w:val="16"/>
                        </w:rPr>
                        <w:t>closely linked</w:t>
                      </w:r>
                      <w:proofErr w:type="gramEnd"/>
                      <w:r w:rsidRPr="00DA7437">
                        <w:rPr>
                          <w:rFonts w:ascii="Arial" w:hAnsi="Arial" w:cs="Arial"/>
                          <w:sz w:val="16"/>
                          <w:szCs w:val="16"/>
                        </w:rPr>
                        <w:t xml:space="preserve"> to poverty and disadvantage (Office for Health Improvement and Disparities, 2021).</w:t>
                      </w:r>
                    </w:p>
                    <w:p w14:paraId="18689E34" w14:textId="26B49EB6" w:rsidR="00597CF1" w:rsidRPr="00DA7437" w:rsidRDefault="00597CF1" w:rsidP="00B84DAE">
                      <w:pPr>
                        <w:pStyle w:val="ListParagraph"/>
                        <w:rPr>
                          <w:rFonts w:ascii="Arial" w:hAnsi="Arial" w:cs="Arial"/>
                          <w:sz w:val="16"/>
                          <w:szCs w:val="16"/>
                        </w:rPr>
                      </w:pPr>
                    </w:p>
                  </w:txbxContent>
                </v:textbox>
              </v:shape>
            </w:pict>
          </mc:Fallback>
        </mc:AlternateContent>
      </w:r>
      <w:r>
        <w:rPr>
          <w:noProof/>
        </w:rPr>
        <w:drawing>
          <wp:anchor distT="0" distB="0" distL="114300" distR="114300" simplePos="0" relativeHeight="251695616" behindDoc="0" locked="0" layoutInCell="1" allowOverlap="1" wp14:anchorId="468326B4" wp14:editId="2874B707">
            <wp:simplePos x="0" y="0"/>
            <wp:positionH relativeFrom="margin">
              <wp:posOffset>7874950</wp:posOffset>
            </wp:positionH>
            <wp:positionV relativeFrom="paragraph">
              <wp:posOffset>254635</wp:posOffset>
            </wp:positionV>
            <wp:extent cx="2170430" cy="1791335"/>
            <wp:effectExtent l="0" t="0" r="1270" b="18415"/>
            <wp:wrapThrough wrapText="bothSides">
              <wp:wrapPolygon edited="0">
                <wp:start x="0" y="0"/>
                <wp:lineTo x="0" y="21592"/>
                <wp:lineTo x="21423" y="21592"/>
                <wp:lineTo x="21423" y="0"/>
                <wp:lineTo x="0" y="0"/>
              </wp:wrapPolygon>
            </wp:wrapThrough>
            <wp:docPr id="951371358"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113D233F" w14:textId="69B9AEB5" w:rsidR="0054337B" w:rsidRDefault="0054337B" w:rsidP="00552A79"/>
    <w:p w14:paraId="07BC4946" w14:textId="0FDC33C3" w:rsidR="0054337B" w:rsidRDefault="0054337B" w:rsidP="00552A79"/>
    <w:p w14:paraId="71FFF9B9" w14:textId="66D8C96F" w:rsidR="0054337B" w:rsidRDefault="00B84DAE" w:rsidP="00552A79">
      <w:r>
        <w:rPr>
          <w:noProof/>
        </w:rPr>
        <w:drawing>
          <wp:anchor distT="0" distB="0" distL="114300" distR="114300" simplePos="0" relativeHeight="251894272" behindDoc="0" locked="0" layoutInCell="1" allowOverlap="1" wp14:anchorId="4FCCE8E3" wp14:editId="5505F97A">
            <wp:simplePos x="0" y="0"/>
            <wp:positionH relativeFrom="margin">
              <wp:posOffset>4083813</wp:posOffset>
            </wp:positionH>
            <wp:positionV relativeFrom="paragraph">
              <wp:posOffset>86803</wp:posOffset>
            </wp:positionV>
            <wp:extent cx="1221740" cy="1127760"/>
            <wp:effectExtent l="0" t="0" r="0" b="0"/>
            <wp:wrapSquare wrapText="bothSides"/>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1221740" cy="11277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rPr>
        <mc:AlternateContent>
          <mc:Choice Requires="wps">
            <w:drawing>
              <wp:anchor distT="0" distB="0" distL="114300" distR="114300" simplePos="0" relativeHeight="251518464" behindDoc="0" locked="0" layoutInCell="1" allowOverlap="1" wp14:anchorId="06CA359D" wp14:editId="511CE071">
                <wp:simplePos x="0" y="0"/>
                <wp:positionH relativeFrom="column">
                  <wp:posOffset>-371699</wp:posOffset>
                </wp:positionH>
                <wp:positionV relativeFrom="paragraph">
                  <wp:posOffset>323765</wp:posOffset>
                </wp:positionV>
                <wp:extent cx="3268980" cy="2413350"/>
                <wp:effectExtent l="0" t="0" r="0" b="6350"/>
                <wp:wrapNone/>
                <wp:docPr id="982013643" name="Text Box 7"/>
                <wp:cNvGraphicFramePr/>
                <a:graphic xmlns:a="http://schemas.openxmlformats.org/drawingml/2006/main">
                  <a:graphicData uri="http://schemas.microsoft.com/office/word/2010/wordprocessingShape">
                    <wps:wsp>
                      <wps:cNvSpPr txBox="1"/>
                      <wps:spPr>
                        <a:xfrm>
                          <a:off x="0" y="0"/>
                          <a:ext cx="3268980" cy="2413350"/>
                        </a:xfrm>
                        <a:prstGeom prst="rect">
                          <a:avLst/>
                        </a:prstGeom>
                        <a:noFill/>
                        <a:ln w="6350">
                          <a:noFill/>
                        </a:ln>
                      </wps:spPr>
                      <wps:txbx>
                        <w:txbxContent>
                          <w:p w14:paraId="1D5A28A2" w14:textId="77777777" w:rsidR="00154372" w:rsidRPr="0008557B" w:rsidRDefault="00154372" w:rsidP="00154372">
                            <w:pPr>
                              <w:jc w:val="center"/>
                              <w:rPr>
                                <w:rFonts w:ascii="Arial" w:hAnsi="Arial" w:cs="Arial"/>
                                <w:b/>
                                <w:bCs/>
                                <w:sz w:val="18"/>
                                <w:szCs w:val="18"/>
                              </w:rPr>
                            </w:pPr>
                            <w:r w:rsidRPr="0008557B">
                              <w:rPr>
                                <w:rFonts w:ascii="Arial" w:hAnsi="Arial" w:cs="Arial"/>
                                <w:b/>
                                <w:bCs/>
                                <w:sz w:val="18"/>
                                <w:szCs w:val="18"/>
                              </w:rPr>
                              <w:t>History</w:t>
                            </w:r>
                          </w:p>
                          <w:p w14:paraId="26D59476"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1948 </w:t>
                            </w:r>
                            <w:r w:rsidRPr="0008557B">
                              <w:rPr>
                                <w:rFonts w:ascii="Arial" w:hAnsi="Arial" w:cs="Arial"/>
                                <w:sz w:val="18"/>
                                <w:szCs w:val="18"/>
                              </w:rPr>
                              <w:t>– NHS starts and dental care is free for everyone.</w:t>
                            </w:r>
                          </w:p>
                          <w:p w14:paraId="6AAD42E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1951 </w:t>
                            </w:r>
                            <w:r w:rsidRPr="0008557B">
                              <w:rPr>
                                <w:rFonts w:ascii="Arial" w:hAnsi="Arial" w:cs="Arial"/>
                                <w:sz w:val="18"/>
                                <w:szCs w:val="18"/>
                              </w:rPr>
                              <w:t xml:space="preserve">– Patient charges are brought in for </w:t>
                            </w:r>
                            <w:proofErr w:type="gramStart"/>
                            <w:r w:rsidRPr="0008557B">
                              <w:rPr>
                                <w:rFonts w:ascii="Arial" w:hAnsi="Arial" w:cs="Arial"/>
                                <w:sz w:val="18"/>
                                <w:szCs w:val="18"/>
                              </w:rPr>
                              <w:t>some</w:t>
                            </w:r>
                            <w:proofErr w:type="gramEnd"/>
                            <w:r w:rsidRPr="0008557B">
                              <w:rPr>
                                <w:rFonts w:ascii="Arial" w:hAnsi="Arial" w:cs="Arial"/>
                                <w:sz w:val="18"/>
                                <w:szCs w:val="18"/>
                              </w:rPr>
                              <w:t xml:space="preserve"> dental treatments.</w:t>
                            </w:r>
                          </w:p>
                          <w:p w14:paraId="13EBFE5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1956 </w:t>
                            </w:r>
                            <w:r w:rsidRPr="0008557B">
                              <w:rPr>
                                <w:rFonts w:ascii="Arial" w:hAnsi="Arial" w:cs="Arial"/>
                                <w:sz w:val="18"/>
                                <w:szCs w:val="18"/>
                              </w:rPr>
                              <w:t>– The General Dental Council (GDC) is created to regulate dentists and protect patients.</w:t>
                            </w:r>
                          </w:p>
                          <w:p w14:paraId="5F8A384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1948–1990</w:t>
                            </w:r>
                            <w:r w:rsidRPr="0008557B">
                              <w:rPr>
                                <w:rFonts w:ascii="Arial" w:hAnsi="Arial" w:cs="Arial"/>
                                <w:sz w:val="18"/>
                                <w:szCs w:val="18"/>
                              </w:rPr>
                              <w:t xml:space="preserve"> – Dentists are paid per item of treatment, which is criticised as a “treadmill” system.</w:t>
                            </w:r>
                          </w:p>
                          <w:p w14:paraId="549F1892"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1990</w:t>
                            </w:r>
                            <w:r w:rsidRPr="0008557B">
                              <w:rPr>
                                <w:rFonts w:ascii="Arial" w:hAnsi="Arial" w:cs="Arial"/>
                                <w:sz w:val="18"/>
                                <w:szCs w:val="18"/>
                              </w:rPr>
                              <w:t xml:space="preserve"> – Contract changes place more focus on prevention and patient registration.</w:t>
                            </w:r>
                          </w:p>
                          <w:p w14:paraId="767E8C20"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2006</w:t>
                            </w:r>
                            <w:r w:rsidRPr="0008557B">
                              <w:rPr>
                                <w:rFonts w:ascii="Arial" w:hAnsi="Arial" w:cs="Arial"/>
                                <w:sz w:val="18"/>
                                <w:szCs w:val="18"/>
                              </w:rPr>
                              <w:t xml:space="preserve"> – A new contract in England introduces Units of Dental Activity (UDAs) and three charge bands.</w:t>
                            </w:r>
                          </w:p>
                          <w:p w14:paraId="6FD2A7D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2020s </w:t>
                            </w:r>
                            <w:r w:rsidRPr="0008557B">
                              <w:rPr>
                                <w:rFonts w:ascii="Arial" w:hAnsi="Arial" w:cs="Arial"/>
                                <w:sz w:val="18"/>
                                <w:szCs w:val="18"/>
                              </w:rPr>
                              <w:t>– Further reforms aim to improve access to NHS dentists and the quality of care (NCBI,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A359D" id="Text Box 7" o:spid="_x0000_s1033" type="#_x0000_t202" style="position:absolute;margin-left:-29.25pt;margin-top:25.5pt;width:257.4pt;height:190.05pt;z-index:25151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" filled="f" stroked="f" strokeweight=".5pt">
                <v:textbox>
                  <w:txbxContent>
                    <w:p w14:paraId="1D5A28A2" w14:textId="77777777" w:rsidR="00154372" w:rsidRPr="0008557B" w:rsidRDefault="00154372" w:rsidP="00154372">
                      <w:pPr>
                        <w:jc w:val="center"/>
                        <w:rPr>
                          <w:rFonts w:ascii="Arial" w:hAnsi="Arial" w:cs="Arial"/>
                          <w:b/>
                          <w:bCs/>
                          <w:sz w:val="18"/>
                          <w:szCs w:val="18"/>
                        </w:rPr>
                      </w:pPr>
                      <w:r w:rsidRPr="0008557B">
                        <w:rPr>
                          <w:rFonts w:ascii="Arial" w:hAnsi="Arial" w:cs="Arial"/>
                          <w:b/>
                          <w:bCs/>
                          <w:sz w:val="18"/>
                          <w:szCs w:val="18"/>
                        </w:rPr>
                        <w:t>History</w:t>
                      </w:r>
                    </w:p>
                    <w:p w14:paraId="26D59476"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1948 </w:t>
                      </w:r>
                      <w:r w:rsidRPr="0008557B">
                        <w:rPr>
                          <w:rFonts w:ascii="Arial" w:hAnsi="Arial" w:cs="Arial"/>
                          <w:sz w:val="18"/>
                          <w:szCs w:val="18"/>
                        </w:rPr>
                        <w:t>– NHS starts and dental care is free for everyone.</w:t>
                      </w:r>
                    </w:p>
                    <w:p w14:paraId="6AAD42E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1951 </w:t>
                      </w:r>
                      <w:r w:rsidRPr="0008557B">
                        <w:rPr>
                          <w:rFonts w:ascii="Arial" w:hAnsi="Arial" w:cs="Arial"/>
                          <w:sz w:val="18"/>
                          <w:szCs w:val="18"/>
                        </w:rPr>
                        <w:t xml:space="preserve">– Patient charges are brought in for </w:t>
                      </w:r>
                      <w:proofErr w:type="gramStart"/>
                      <w:r w:rsidRPr="0008557B">
                        <w:rPr>
                          <w:rFonts w:ascii="Arial" w:hAnsi="Arial" w:cs="Arial"/>
                          <w:sz w:val="18"/>
                          <w:szCs w:val="18"/>
                        </w:rPr>
                        <w:t>some</w:t>
                      </w:r>
                      <w:proofErr w:type="gramEnd"/>
                      <w:r w:rsidRPr="0008557B">
                        <w:rPr>
                          <w:rFonts w:ascii="Arial" w:hAnsi="Arial" w:cs="Arial"/>
                          <w:sz w:val="18"/>
                          <w:szCs w:val="18"/>
                        </w:rPr>
                        <w:t xml:space="preserve"> dental treatments.</w:t>
                      </w:r>
                    </w:p>
                    <w:p w14:paraId="13EBFE5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1956 </w:t>
                      </w:r>
                      <w:r w:rsidRPr="0008557B">
                        <w:rPr>
                          <w:rFonts w:ascii="Arial" w:hAnsi="Arial" w:cs="Arial"/>
                          <w:sz w:val="18"/>
                          <w:szCs w:val="18"/>
                        </w:rPr>
                        <w:t>– The General Dental Council (GDC) is created to regulate dentists and protect patients.</w:t>
                      </w:r>
                    </w:p>
                    <w:p w14:paraId="5F8A384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1948–1990</w:t>
                      </w:r>
                      <w:r w:rsidRPr="0008557B">
                        <w:rPr>
                          <w:rFonts w:ascii="Arial" w:hAnsi="Arial" w:cs="Arial"/>
                          <w:sz w:val="18"/>
                          <w:szCs w:val="18"/>
                        </w:rPr>
                        <w:t xml:space="preserve"> – Dentists are paid per item of treatment, which is criticised as a “treadmill” system.</w:t>
                      </w:r>
                    </w:p>
                    <w:p w14:paraId="549F1892"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1990</w:t>
                      </w:r>
                      <w:r w:rsidRPr="0008557B">
                        <w:rPr>
                          <w:rFonts w:ascii="Arial" w:hAnsi="Arial" w:cs="Arial"/>
                          <w:sz w:val="18"/>
                          <w:szCs w:val="18"/>
                        </w:rPr>
                        <w:t xml:space="preserve"> – Contract changes place more focus on prevention and patient registration.</w:t>
                      </w:r>
                    </w:p>
                    <w:p w14:paraId="767E8C20"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2006</w:t>
                      </w:r>
                      <w:r w:rsidRPr="0008557B">
                        <w:rPr>
                          <w:rFonts w:ascii="Arial" w:hAnsi="Arial" w:cs="Arial"/>
                          <w:sz w:val="18"/>
                          <w:szCs w:val="18"/>
                        </w:rPr>
                        <w:t xml:space="preserve"> – A new contract in England introduces Units of Dental Activity (UDAs) and three charge bands.</w:t>
                      </w:r>
                    </w:p>
                    <w:p w14:paraId="6FD2A7D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2020s </w:t>
                      </w:r>
                      <w:r w:rsidRPr="0008557B">
                        <w:rPr>
                          <w:rFonts w:ascii="Arial" w:hAnsi="Arial" w:cs="Arial"/>
                          <w:sz w:val="18"/>
                          <w:szCs w:val="18"/>
                        </w:rPr>
                        <w:t>– Further reforms aim to improve access to NHS dentists and the quality of care (NCBI, 2016).</w:t>
                      </w:r>
                    </w:p>
                  </w:txbxContent>
                </v:textbox>
              </v:shape>
            </w:pict>
          </mc:Fallback>
        </mc:AlternateContent>
      </w:r>
    </w:p>
    <w:p w14:paraId="4683D708" w14:textId="30FE9F52" w:rsidR="0054337B" w:rsidRDefault="00B84DAE" w:rsidP="00552A79">
      <w:r w:rsidRPr="00B8512A">
        <w:rPr>
          <w:rFonts w:ascii="Arial" w:hAnsi="Arial" w:cs="Arial"/>
          <w:noProof/>
          <w:sz w:val="22"/>
          <w:szCs w:val="22"/>
        </w:rPr>
        <mc:AlternateContent>
          <mc:Choice Requires="wps">
            <w:drawing>
              <wp:anchor distT="45720" distB="45720" distL="114300" distR="114300" simplePos="0" relativeHeight="251956736" behindDoc="0" locked="0" layoutInCell="1" allowOverlap="1" wp14:anchorId="3B4A5BF9" wp14:editId="5735E071">
                <wp:simplePos x="0" y="0"/>
                <wp:positionH relativeFrom="margin">
                  <wp:posOffset>2977515</wp:posOffset>
                </wp:positionH>
                <wp:positionV relativeFrom="paragraph">
                  <wp:posOffset>8255</wp:posOffset>
                </wp:positionV>
                <wp:extent cx="1044575" cy="408940"/>
                <wp:effectExtent l="0" t="0" r="0" b="0"/>
                <wp:wrapSquare wrapText="bothSides"/>
                <wp:docPr id="1615452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408940"/>
                        </a:xfrm>
                        <a:prstGeom prst="rect">
                          <a:avLst/>
                        </a:prstGeom>
                        <a:noFill/>
                        <a:ln w="9525">
                          <a:noFill/>
                          <a:miter lim="800000"/>
                          <a:headEnd/>
                          <a:tailEnd/>
                        </a:ln>
                      </wps:spPr>
                      <wps:txbx>
                        <w:txbxContent>
                          <w:p w14:paraId="3FA3516C" w14:textId="33553476" w:rsidR="00B8512A" w:rsidRPr="002354EE" w:rsidRDefault="00B8512A">
                            <w:pPr>
                              <w:rPr>
                                <w:sz w:val="18"/>
                                <w:szCs w:val="18"/>
                              </w:rPr>
                            </w:pPr>
                            <w:r w:rsidRPr="002354EE">
                              <w:rPr>
                                <w:sz w:val="18"/>
                                <w:szCs w:val="18"/>
                              </w:rPr>
                              <w:t>Tunbridge Wells Dental Care (no date)</w:t>
                            </w:r>
                          </w:p>
                          <w:p w14:paraId="6E31A13E" w14:textId="77777777" w:rsidR="002354EE" w:rsidRDefault="002354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A5BF9" id="_x0000_s1034" type="#_x0000_t202" style="position:absolute;margin-left:234.45pt;margin-top:.65pt;width:82.25pt;height:32.2pt;z-index:251956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" filled="f" stroked="f">
                <v:textbox>
                  <w:txbxContent>
                    <w:p w14:paraId="3FA3516C" w14:textId="33553476" w:rsidR="00B8512A" w:rsidRPr="002354EE" w:rsidRDefault="00B8512A">
                      <w:pPr>
                        <w:rPr>
                          <w:sz w:val="18"/>
                          <w:szCs w:val="18"/>
                        </w:rPr>
                      </w:pPr>
                      <w:r w:rsidRPr="002354EE">
                        <w:rPr>
                          <w:sz w:val="18"/>
                          <w:szCs w:val="18"/>
                        </w:rPr>
                        <w:t>Tunbridge Wells Dental Care (no date)</w:t>
                      </w:r>
                    </w:p>
                    <w:p w14:paraId="6E31A13E" w14:textId="77777777" w:rsidR="002354EE" w:rsidRDefault="002354EE"/>
                  </w:txbxContent>
                </v:textbox>
                <w10:wrap type="square" anchorx="margin"/>
              </v:shape>
            </w:pict>
          </mc:Fallback>
        </mc:AlternateContent>
      </w:r>
    </w:p>
    <w:p w14:paraId="21AF3789" w14:textId="4AB756B4" w:rsidR="0054337B" w:rsidRDefault="007A6DF6" w:rsidP="008E1D90">
      <w:pPr>
        <w:tabs>
          <w:tab w:val="left" w:pos="4163"/>
        </w:tabs>
      </w:pPr>
      <w:r w:rsidRPr="008D2BEB">
        <w:rPr>
          <w:rFonts w:ascii="Arial" w:hAnsi="Arial" w:cs="Arial"/>
          <w:noProof/>
          <w:sz w:val="22"/>
          <w:szCs w:val="22"/>
        </w:rPr>
        <mc:AlternateContent>
          <mc:Choice Requires="wps">
            <w:drawing>
              <wp:anchor distT="45720" distB="45720" distL="114300" distR="114300" simplePos="0" relativeHeight="251812352" behindDoc="0" locked="0" layoutInCell="1" allowOverlap="1" wp14:anchorId="45839950" wp14:editId="41EDBD44">
                <wp:simplePos x="0" y="0"/>
                <wp:positionH relativeFrom="margin">
                  <wp:align>right</wp:align>
                </wp:positionH>
                <wp:positionV relativeFrom="paragraph">
                  <wp:posOffset>1012190</wp:posOffset>
                </wp:positionV>
                <wp:extent cx="3849370" cy="814705"/>
                <wp:effectExtent l="0" t="0" r="0" b="0"/>
                <wp:wrapSquare wrapText="bothSides"/>
                <wp:docPr id="9232361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9370" cy="814705"/>
                        </a:xfrm>
                        <a:prstGeom prst="rect">
                          <a:avLst/>
                        </a:prstGeom>
                        <a:noFill/>
                        <a:ln w="19050" cap="flat" cmpd="sng" algn="ctr">
                          <a:noFill/>
                          <a:prstDash val="solid"/>
                          <a:miter lim="800000"/>
                          <a:headEnd/>
                          <a:tailEnd/>
                        </a:ln>
                        <a:effectLst/>
                      </wps:spPr>
                      <wps:txbx>
                        <w:txbxContent>
                          <w:p w14:paraId="1E4E33B6" w14:textId="77777777" w:rsidR="002311E5" w:rsidRPr="002311E5" w:rsidRDefault="002311E5" w:rsidP="002311E5">
                            <w:pPr>
                              <w:rPr>
                                <w:rFonts w:ascii="Arial" w:hAnsi="Arial" w:cs="Arial"/>
                                <w:sz w:val="18"/>
                                <w:szCs w:val="18"/>
                              </w:rPr>
                            </w:pPr>
                            <w:r w:rsidRPr="002311E5">
                              <w:rPr>
                                <w:rFonts w:ascii="Arial" w:hAnsi="Arial" w:cs="Arial"/>
                                <w:b/>
                                <w:bCs/>
                                <w:sz w:val="18"/>
                                <w:szCs w:val="18"/>
                                <w:highlight w:val="yellow"/>
                              </w:rPr>
                              <w:t>5.6 million</w:t>
                            </w:r>
                            <w:r w:rsidRPr="002311E5">
                              <w:rPr>
                                <w:rFonts w:ascii="Arial" w:hAnsi="Arial" w:cs="Arial"/>
                                <w:sz w:val="18"/>
                                <w:szCs w:val="18"/>
                              </w:rPr>
                              <w:t xml:space="preserve"> adults tried but could not get an NHS dental appointment in the last two years.</w:t>
                            </w:r>
                          </w:p>
                          <w:p w14:paraId="39227FD8" w14:textId="77777777" w:rsidR="002311E5" w:rsidRPr="002311E5" w:rsidRDefault="002311E5" w:rsidP="002311E5">
                            <w:pPr>
                              <w:rPr>
                                <w:sz w:val="18"/>
                                <w:szCs w:val="18"/>
                              </w:rPr>
                            </w:pPr>
                            <w:r w:rsidRPr="002311E5">
                              <w:rPr>
                                <w:rFonts w:ascii="Arial" w:hAnsi="Arial" w:cs="Arial"/>
                                <w:sz w:val="18"/>
                                <w:szCs w:val="18"/>
                              </w:rPr>
                              <w:t xml:space="preserve">Around </w:t>
                            </w:r>
                            <w:r w:rsidRPr="002311E5">
                              <w:rPr>
                                <w:rFonts w:ascii="Arial" w:hAnsi="Arial" w:cs="Arial"/>
                                <w:b/>
                                <w:bCs/>
                                <w:sz w:val="18"/>
                                <w:szCs w:val="18"/>
                                <w:highlight w:val="yellow"/>
                              </w:rPr>
                              <w:t>22–27%</w:t>
                            </w:r>
                            <w:r w:rsidRPr="002311E5">
                              <w:rPr>
                                <w:rFonts w:ascii="Arial" w:hAnsi="Arial" w:cs="Arial"/>
                                <w:sz w:val="18"/>
                                <w:szCs w:val="18"/>
                              </w:rPr>
                              <w:t xml:space="preserve"> of </w:t>
                            </w:r>
                            <w:proofErr w:type="gramStart"/>
                            <w:r w:rsidRPr="002311E5">
                              <w:rPr>
                                <w:rFonts w:ascii="Arial" w:hAnsi="Arial" w:cs="Arial"/>
                                <w:sz w:val="18"/>
                                <w:szCs w:val="18"/>
                              </w:rPr>
                              <w:t>5</w:t>
                            </w:r>
                            <w:proofErr w:type="gramEnd"/>
                            <w:r w:rsidRPr="002311E5">
                              <w:rPr>
                                <w:rFonts w:ascii="Cambria Math" w:hAnsi="Cambria Math" w:cs="Cambria Math"/>
                                <w:sz w:val="18"/>
                                <w:szCs w:val="18"/>
                              </w:rPr>
                              <w:t>‑</w:t>
                            </w:r>
                            <w:r w:rsidRPr="002311E5">
                              <w:rPr>
                                <w:rFonts w:ascii="Arial" w:hAnsi="Arial" w:cs="Arial"/>
                                <w:sz w:val="18"/>
                                <w:szCs w:val="18"/>
                              </w:rPr>
                              <w:t>year</w:t>
                            </w:r>
                            <w:r w:rsidRPr="002311E5">
                              <w:rPr>
                                <w:rFonts w:ascii="Cambria Math" w:hAnsi="Cambria Math" w:cs="Cambria Math"/>
                                <w:sz w:val="18"/>
                                <w:szCs w:val="18"/>
                              </w:rPr>
                              <w:t>‑</w:t>
                            </w:r>
                            <w:r w:rsidRPr="002311E5">
                              <w:rPr>
                                <w:rFonts w:ascii="Arial" w:hAnsi="Arial" w:cs="Arial"/>
                                <w:sz w:val="18"/>
                                <w:szCs w:val="18"/>
                              </w:rPr>
                              <w:t>olds in England have tooth decay in at least one tooth</w:t>
                            </w:r>
                            <w:r w:rsidRPr="002311E5">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39950" id="_x0000_s1035" type="#_x0000_t202" style="position:absolute;margin-left:251.9pt;margin-top:79.7pt;width:303.1pt;height:64.15pt;z-index:2518123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" filled="f" stroked="f" strokeweight="1.5pt">
                <v:textbox>
                  <w:txbxContent>
                    <w:p w14:paraId="1E4E33B6" w14:textId="77777777" w:rsidR="002311E5" w:rsidRPr="002311E5" w:rsidRDefault="002311E5" w:rsidP="002311E5">
                      <w:pPr>
                        <w:rPr>
                          <w:rFonts w:ascii="Arial" w:hAnsi="Arial" w:cs="Arial"/>
                          <w:sz w:val="18"/>
                          <w:szCs w:val="18"/>
                        </w:rPr>
                      </w:pPr>
                      <w:r w:rsidRPr="002311E5">
                        <w:rPr>
                          <w:rFonts w:ascii="Arial" w:hAnsi="Arial" w:cs="Arial"/>
                          <w:b/>
                          <w:bCs/>
                          <w:sz w:val="18"/>
                          <w:szCs w:val="18"/>
                          <w:highlight w:val="yellow"/>
                        </w:rPr>
                        <w:t>5.6 million</w:t>
                      </w:r>
                      <w:r w:rsidRPr="002311E5">
                        <w:rPr>
                          <w:rFonts w:ascii="Arial" w:hAnsi="Arial" w:cs="Arial"/>
                          <w:sz w:val="18"/>
                          <w:szCs w:val="18"/>
                        </w:rPr>
                        <w:t xml:space="preserve"> adults tried but could not get an NHS dental appointment in the last two years.</w:t>
                      </w:r>
                    </w:p>
                    <w:p w14:paraId="39227FD8" w14:textId="77777777" w:rsidR="002311E5" w:rsidRPr="002311E5" w:rsidRDefault="002311E5" w:rsidP="002311E5">
                      <w:pPr>
                        <w:rPr>
                          <w:sz w:val="18"/>
                          <w:szCs w:val="18"/>
                        </w:rPr>
                      </w:pPr>
                      <w:r w:rsidRPr="002311E5">
                        <w:rPr>
                          <w:rFonts w:ascii="Arial" w:hAnsi="Arial" w:cs="Arial"/>
                          <w:sz w:val="18"/>
                          <w:szCs w:val="18"/>
                        </w:rPr>
                        <w:t xml:space="preserve">Around </w:t>
                      </w:r>
                      <w:r w:rsidRPr="002311E5">
                        <w:rPr>
                          <w:rFonts w:ascii="Arial" w:hAnsi="Arial" w:cs="Arial"/>
                          <w:b/>
                          <w:bCs/>
                          <w:sz w:val="18"/>
                          <w:szCs w:val="18"/>
                          <w:highlight w:val="yellow"/>
                        </w:rPr>
                        <w:t>22–27%</w:t>
                      </w:r>
                      <w:r w:rsidRPr="002311E5">
                        <w:rPr>
                          <w:rFonts w:ascii="Arial" w:hAnsi="Arial" w:cs="Arial"/>
                          <w:sz w:val="18"/>
                          <w:szCs w:val="18"/>
                        </w:rPr>
                        <w:t xml:space="preserve"> of </w:t>
                      </w:r>
                      <w:proofErr w:type="gramStart"/>
                      <w:r w:rsidRPr="002311E5">
                        <w:rPr>
                          <w:rFonts w:ascii="Arial" w:hAnsi="Arial" w:cs="Arial"/>
                          <w:sz w:val="18"/>
                          <w:szCs w:val="18"/>
                        </w:rPr>
                        <w:t>5</w:t>
                      </w:r>
                      <w:proofErr w:type="gramEnd"/>
                      <w:r w:rsidRPr="002311E5">
                        <w:rPr>
                          <w:rFonts w:ascii="Cambria Math" w:hAnsi="Cambria Math" w:cs="Cambria Math"/>
                          <w:sz w:val="18"/>
                          <w:szCs w:val="18"/>
                        </w:rPr>
                        <w:t>‑</w:t>
                      </w:r>
                      <w:r w:rsidRPr="002311E5">
                        <w:rPr>
                          <w:rFonts w:ascii="Arial" w:hAnsi="Arial" w:cs="Arial"/>
                          <w:sz w:val="18"/>
                          <w:szCs w:val="18"/>
                        </w:rPr>
                        <w:t>year</w:t>
                      </w:r>
                      <w:r w:rsidRPr="002311E5">
                        <w:rPr>
                          <w:rFonts w:ascii="Cambria Math" w:hAnsi="Cambria Math" w:cs="Cambria Math"/>
                          <w:sz w:val="18"/>
                          <w:szCs w:val="18"/>
                        </w:rPr>
                        <w:t>‑</w:t>
                      </w:r>
                      <w:r w:rsidRPr="002311E5">
                        <w:rPr>
                          <w:rFonts w:ascii="Arial" w:hAnsi="Arial" w:cs="Arial"/>
                          <w:sz w:val="18"/>
                          <w:szCs w:val="18"/>
                        </w:rPr>
                        <w:t>olds in England have tooth decay in at least one tooth</w:t>
                      </w:r>
                      <w:r w:rsidRPr="002311E5">
                        <w:rPr>
                          <w:sz w:val="18"/>
                          <w:szCs w:val="18"/>
                        </w:rPr>
                        <w:t>.</w:t>
                      </w:r>
                    </w:p>
                  </w:txbxContent>
                </v:textbox>
                <w10:wrap type="square" anchorx="margin"/>
              </v:shape>
            </w:pict>
          </mc:Fallback>
        </mc:AlternateContent>
      </w:r>
      <w:r w:rsidR="009D1CB2">
        <w:rPr>
          <w:rFonts w:ascii="Arial" w:hAnsi="Arial" w:cs="Arial"/>
          <w:noProof/>
          <w:sz w:val="22"/>
          <w:szCs w:val="22"/>
        </w:rPr>
        <mc:AlternateContent>
          <mc:Choice Requires="wps">
            <w:drawing>
              <wp:anchor distT="0" distB="0" distL="114300" distR="114300" simplePos="0" relativeHeight="251971072" behindDoc="1" locked="0" layoutInCell="1" allowOverlap="1" wp14:anchorId="76E70FD3" wp14:editId="170B3B06">
                <wp:simplePos x="0" y="0"/>
                <wp:positionH relativeFrom="column">
                  <wp:posOffset>5774167</wp:posOffset>
                </wp:positionH>
                <wp:positionV relativeFrom="paragraph">
                  <wp:posOffset>819769</wp:posOffset>
                </wp:positionV>
                <wp:extent cx="4133637" cy="1029660"/>
                <wp:effectExtent l="0" t="0" r="19685" b="18415"/>
                <wp:wrapNone/>
                <wp:docPr id="170921486" name="Flowchart: Punched Tape 23"/>
                <wp:cNvGraphicFramePr/>
                <a:graphic xmlns:a="http://schemas.openxmlformats.org/drawingml/2006/main">
                  <a:graphicData uri="http://schemas.microsoft.com/office/word/2010/wordprocessingShape">
                    <wps:wsp>
                      <wps:cNvSpPr/>
                      <wps:spPr>
                        <a:xfrm>
                          <a:off x="0" y="0"/>
                          <a:ext cx="4133637" cy="1029660"/>
                        </a:xfrm>
                        <a:prstGeom prst="flowChartPunchedTape">
                          <a:avLst/>
                        </a:prstGeom>
                        <a:ln>
                          <a:solidFill>
                            <a:schemeClr val="accent2"/>
                          </a:solidFill>
                        </a:ln>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755525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23" o:spid="_x0000_s1026" type="#_x0000_t122" style="position:absolute;margin-left:454.65pt;margin-top:64.55pt;width:325.5pt;height:81.1pt;z-index:-25134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" fillcolor="#e97132 [3205]" strokecolor="#e97132 [3205]" strokeweight="1.5pt"/>
            </w:pict>
          </mc:Fallback>
        </mc:AlternateContent>
      </w:r>
      <w:r w:rsidR="00B84DAE" w:rsidRPr="00704B1B">
        <w:rPr>
          <w:rFonts w:ascii="Arial" w:hAnsi="Arial" w:cs="Arial"/>
          <w:noProof/>
          <w:sz w:val="22"/>
          <w:szCs w:val="22"/>
        </w:rPr>
        <mc:AlternateContent>
          <mc:Choice Requires="wps">
            <w:drawing>
              <wp:anchor distT="45720" distB="45720" distL="114300" distR="114300" simplePos="0" relativeHeight="251740672" behindDoc="0" locked="0" layoutInCell="1" allowOverlap="1" wp14:anchorId="1DDB039B" wp14:editId="47F2DC6A">
                <wp:simplePos x="0" y="0"/>
                <wp:positionH relativeFrom="margin">
                  <wp:posOffset>2932286</wp:posOffset>
                </wp:positionH>
                <wp:positionV relativeFrom="paragraph">
                  <wp:posOffset>335552</wp:posOffset>
                </wp:positionV>
                <wp:extent cx="2292350" cy="1491615"/>
                <wp:effectExtent l="0" t="0" r="0" b="0"/>
                <wp:wrapThrough wrapText="bothSides">
                  <wp:wrapPolygon edited="0">
                    <wp:start x="539" y="0"/>
                    <wp:lineTo x="539" y="21241"/>
                    <wp:lineTo x="21002" y="21241"/>
                    <wp:lineTo x="21002" y="0"/>
                    <wp:lineTo x="539" y="0"/>
                  </wp:wrapPolygon>
                </wp:wrapThrough>
                <wp:docPr id="7469067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1491615"/>
                        </a:xfrm>
                        <a:prstGeom prst="rect">
                          <a:avLst/>
                        </a:prstGeom>
                        <a:noFill/>
                        <a:ln w="9525">
                          <a:noFill/>
                          <a:miter lim="800000"/>
                          <a:headEnd/>
                          <a:tailEnd/>
                        </a:ln>
                      </wps:spPr>
                      <wps:txbx>
                        <w:txbxContent>
                          <w:p w14:paraId="5F120913" w14:textId="77777777" w:rsidR="006A0BD8" w:rsidRDefault="006A0BD8" w:rsidP="0057591F">
                            <w:pPr>
                              <w:spacing w:after="0" w:line="240" w:lineRule="auto"/>
                              <w:rPr>
                                <w:rFonts w:ascii="Arial" w:hAnsi="Arial" w:cs="Arial"/>
                                <w:b/>
                                <w:bCs/>
                                <w:sz w:val="16"/>
                                <w:szCs w:val="16"/>
                              </w:rPr>
                            </w:pPr>
                            <w:r w:rsidRPr="005D2238">
                              <w:rPr>
                                <w:rFonts w:ascii="Arial" w:hAnsi="Arial" w:cs="Arial"/>
                                <w:b/>
                                <w:bCs/>
                                <w:sz w:val="16"/>
                                <w:szCs w:val="16"/>
                                <w:highlight w:val="yellow"/>
                              </w:rPr>
                              <w:t>Conclusion</w:t>
                            </w:r>
                          </w:p>
                          <w:p w14:paraId="28A3E93E" w14:textId="77777777" w:rsidR="005D2238" w:rsidRPr="005D2238" w:rsidRDefault="005D2238" w:rsidP="0057591F">
                            <w:pPr>
                              <w:spacing w:after="0" w:line="240" w:lineRule="auto"/>
                              <w:rPr>
                                <w:rFonts w:ascii="Arial" w:hAnsi="Arial" w:cs="Arial"/>
                                <w:b/>
                                <w:bCs/>
                                <w:sz w:val="16"/>
                                <w:szCs w:val="16"/>
                              </w:rPr>
                            </w:pPr>
                          </w:p>
                          <w:p w14:paraId="51F319D6" w14:textId="77777777" w:rsidR="006A0BD8" w:rsidRPr="001B6FDB" w:rsidRDefault="006A0BD8" w:rsidP="0057591F">
                            <w:pPr>
                              <w:spacing w:after="0" w:line="240" w:lineRule="auto"/>
                              <w:rPr>
                                <w:rFonts w:ascii="Arial" w:hAnsi="Arial" w:cs="Arial"/>
                                <w:color w:val="FFFFFF" w:themeColor="background1"/>
                                <w:sz w:val="16"/>
                                <w:szCs w:val="16"/>
                              </w:rPr>
                            </w:pPr>
                            <w:r w:rsidRPr="00B52A97">
                              <w:rPr>
                                <w:rFonts w:ascii="Arial" w:hAnsi="Arial" w:cs="Arial"/>
                                <w:sz w:val="16"/>
                                <w:szCs w:val="16"/>
                              </w:rPr>
                              <w:t xml:space="preserve">NHS dentistry provides essential treatment but is under serious strain. Access is poor for </w:t>
                            </w:r>
                            <w:proofErr w:type="gramStart"/>
                            <w:r w:rsidRPr="00B52A97">
                              <w:rPr>
                                <w:rFonts w:ascii="Arial" w:hAnsi="Arial" w:cs="Arial"/>
                                <w:sz w:val="16"/>
                                <w:szCs w:val="16"/>
                              </w:rPr>
                              <w:t>many</w:t>
                            </w:r>
                            <w:proofErr w:type="gramEnd"/>
                            <w:r w:rsidRPr="00B52A97">
                              <w:rPr>
                                <w:rFonts w:ascii="Arial" w:hAnsi="Arial" w:cs="Arial"/>
                                <w:sz w:val="16"/>
                                <w:szCs w:val="16"/>
                              </w:rPr>
                              <w:t xml:space="preserve"> adults, and children in deprived areas still have </w:t>
                            </w:r>
                            <w:proofErr w:type="gramStart"/>
                            <w:r w:rsidRPr="00B52A97">
                              <w:rPr>
                                <w:rFonts w:ascii="Arial" w:hAnsi="Arial" w:cs="Arial"/>
                                <w:sz w:val="16"/>
                                <w:szCs w:val="16"/>
                              </w:rPr>
                              <w:t>much</w:t>
                            </w:r>
                            <w:proofErr w:type="gramEnd"/>
                            <w:r w:rsidRPr="00B52A97">
                              <w:rPr>
                                <w:rFonts w:ascii="Arial" w:hAnsi="Arial" w:cs="Arial"/>
                                <w:sz w:val="16"/>
                                <w:szCs w:val="16"/>
                              </w:rPr>
                              <w:t xml:space="preserve"> worse oral health than those in better</w:t>
                            </w:r>
                            <w:r w:rsidRPr="00B52A97">
                              <w:rPr>
                                <w:rFonts w:ascii="Cambria Math" w:hAnsi="Cambria Math" w:cs="Cambria Math"/>
                                <w:sz w:val="16"/>
                                <w:szCs w:val="16"/>
                              </w:rPr>
                              <w:t>‑</w:t>
                            </w:r>
                            <w:r w:rsidRPr="00B52A97">
                              <w:rPr>
                                <w:rFonts w:ascii="Arial" w:hAnsi="Arial" w:cs="Arial"/>
                                <w:sz w:val="16"/>
                                <w:szCs w:val="16"/>
                              </w:rPr>
                              <w:t xml:space="preserve">off areas, so there is a clear need for better access, more prevention, and fairer </w:t>
                            </w:r>
                            <w:r w:rsidRPr="001B6FDB">
                              <w:rPr>
                                <w:rFonts w:ascii="Arial" w:hAnsi="Arial" w:cs="Arial"/>
                                <w:color w:val="FFFFFF" w:themeColor="background1"/>
                                <w:sz w:val="16"/>
                                <w:szCs w:val="16"/>
                              </w:rPr>
                              <w:t>services (British Dental Association,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B039B" id="_x0000_s1036" type="#_x0000_t202" style="position:absolute;margin-left:230.9pt;margin-top:26.4pt;width:180.5pt;height:117.45pt;z-index:251740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" filled="f" stroked="f">
                <v:textbox>
                  <w:txbxContent>
                    <w:p w14:paraId="5F120913" w14:textId="77777777" w:rsidR="006A0BD8" w:rsidRDefault="006A0BD8" w:rsidP="0057591F">
                      <w:pPr>
                        <w:spacing w:after="0" w:line="240" w:lineRule="auto"/>
                        <w:rPr>
                          <w:rFonts w:ascii="Arial" w:hAnsi="Arial" w:cs="Arial"/>
                          <w:b/>
                          <w:bCs/>
                          <w:sz w:val="16"/>
                          <w:szCs w:val="16"/>
                        </w:rPr>
                      </w:pPr>
                      <w:r w:rsidRPr="005D2238">
                        <w:rPr>
                          <w:rFonts w:ascii="Arial" w:hAnsi="Arial" w:cs="Arial"/>
                          <w:b/>
                          <w:bCs/>
                          <w:sz w:val="16"/>
                          <w:szCs w:val="16"/>
                          <w:highlight w:val="yellow"/>
                        </w:rPr>
                        <w:t>Conclusion</w:t>
                      </w:r>
                    </w:p>
                    <w:p w14:paraId="28A3E93E" w14:textId="77777777" w:rsidR="005D2238" w:rsidRPr="005D2238" w:rsidRDefault="005D2238" w:rsidP="0057591F">
                      <w:pPr>
                        <w:spacing w:after="0" w:line="240" w:lineRule="auto"/>
                        <w:rPr>
                          <w:rFonts w:ascii="Arial" w:hAnsi="Arial" w:cs="Arial"/>
                          <w:b/>
                          <w:bCs/>
                          <w:sz w:val="16"/>
                          <w:szCs w:val="16"/>
                        </w:rPr>
                      </w:pPr>
                    </w:p>
                    <w:p w14:paraId="51F319D6" w14:textId="77777777" w:rsidR="006A0BD8" w:rsidRPr="001B6FDB" w:rsidRDefault="006A0BD8" w:rsidP="0057591F">
                      <w:pPr>
                        <w:spacing w:after="0" w:line="240" w:lineRule="auto"/>
                        <w:rPr>
                          <w:rFonts w:ascii="Arial" w:hAnsi="Arial" w:cs="Arial"/>
                          <w:color w:val="FFFFFF" w:themeColor="background1"/>
                          <w:sz w:val="16"/>
                          <w:szCs w:val="16"/>
                        </w:rPr>
                      </w:pPr>
                      <w:r w:rsidRPr="00B52A97">
                        <w:rPr>
                          <w:rFonts w:ascii="Arial" w:hAnsi="Arial" w:cs="Arial"/>
                          <w:sz w:val="16"/>
                          <w:szCs w:val="16"/>
                        </w:rPr>
                        <w:t xml:space="preserve">NHS dentistry provides essential treatment but is under serious strain. Access is poor for </w:t>
                      </w:r>
                      <w:proofErr w:type="gramStart"/>
                      <w:r w:rsidRPr="00B52A97">
                        <w:rPr>
                          <w:rFonts w:ascii="Arial" w:hAnsi="Arial" w:cs="Arial"/>
                          <w:sz w:val="16"/>
                          <w:szCs w:val="16"/>
                        </w:rPr>
                        <w:t>many</w:t>
                      </w:r>
                      <w:proofErr w:type="gramEnd"/>
                      <w:r w:rsidRPr="00B52A97">
                        <w:rPr>
                          <w:rFonts w:ascii="Arial" w:hAnsi="Arial" w:cs="Arial"/>
                          <w:sz w:val="16"/>
                          <w:szCs w:val="16"/>
                        </w:rPr>
                        <w:t xml:space="preserve"> adults, and children in deprived areas still have </w:t>
                      </w:r>
                      <w:proofErr w:type="gramStart"/>
                      <w:r w:rsidRPr="00B52A97">
                        <w:rPr>
                          <w:rFonts w:ascii="Arial" w:hAnsi="Arial" w:cs="Arial"/>
                          <w:sz w:val="16"/>
                          <w:szCs w:val="16"/>
                        </w:rPr>
                        <w:t>much</w:t>
                      </w:r>
                      <w:proofErr w:type="gramEnd"/>
                      <w:r w:rsidRPr="00B52A97">
                        <w:rPr>
                          <w:rFonts w:ascii="Arial" w:hAnsi="Arial" w:cs="Arial"/>
                          <w:sz w:val="16"/>
                          <w:szCs w:val="16"/>
                        </w:rPr>
                        <w:t xml:space="preserve"> worse oral health than those in better</w:t>
                      </w:r>
                      <w:r w:rsidRPr="00B52A97">
                        <w:rPr>
                          <w:rFonts w:ascii="Cambria Math" w:hAnsi="Cambria Math" w:cs="Cambria Math"/>
                          <w:sz w:val="16"/>
                          <w:szCs w:val="16"/>
                        </w:rPr>
                        <w:t>‑</w:t>
                      </w:r>
                      <w:r w:rsidRPr="00B52A97">
                        <w:rPr>
                          <w:rFonts w:ascii="Arial" w:hAnsi="Arial" w:cs="Arial"/>
                          <w:sz w:val="16"/>
                          <w:szCs w:val="16"/>
                        </w:rPr>
                        <w:t xml:space="preserve">off areas, so there is a clear need for better access, more prevention, and fairer </w:t>
                      </w:r>
                      <w:r w:rsidRPr="001B6FDB">
                        <w:rPr>
                          <w:rFonts w:ascii="Arial" w:hAnsi="Arial" w:cs="Arial"/>
                          <w:color w:val="FFFFFF" w:themeColor="background1"/>
                          <w:sz w:val="16"/>
                          <w:szCs w:val="16"/>
                        </w:rPr>
                        <w:t>services (British Dental Association, 2024)</w:t>
                      </w:r>
                    </w:p>
                  </w:txbxContent>
                </v:textbox>
                <w10:wrap type="through" anchorx="margin"/>
              </v:shape>
            </w:pict>
          </mc:Fallback>
        </mc:AlternateContent>
      </w:r>
      <w:r w:rsidR="008E1D90">
        <w:tab/>
      </w:r>
    </w:p>
    <w:p w14:paraId="46534AD6" w14:textId="5AE197CD" w:rsidR="006837C5" w:rsidRDefault="006837C5" w:rsidP="00B52A97">
      <w:pPr>
        <w:tabs>
          <w:tab w:val="left" w:pos="4284"/>
        </w:tabs>
        <w:sectPr w:rsidR="006837C5" w:rsidSect="00FB31E8">
          <w:pgSz w:w="16838" w:h="11906" w:orient="landscape"/>
          <w:pgMar w:top="720" w:right="720" w:bottom="720" w:left="720" w:header="708" w:footer="708" w:gutter="0"/>
          <w:pgNumType w:start="0"/>
          <w:cols w:space="708"/>
          <w:titlePg/>
          <w:docGrid w:linePitch="360"/>
        </w:sectPr>
      </w:pPr>
    </w:p>
    <w:p w14:paraId="4B42CFF2" w14:textId="5F943BB2" w:rsidR="00BE49DC" w:rsidRDefault="00C30BEC" w:rsidP="006837C5">
      <w:pPr>
        <w:rPr>
          <w:rFonts w:ascii="Arial" w:hAnsi="Arial" w:cs="Arial"/>
          <w:sz w:val="22"/>
          <w:szCs w:val="22"/>
        </w:rPr>
      </w:pPr>
      <w:r>
        <w:rPr>
          <w:rFonts w:ascii="Arial" w:hAnsi="Arial" w:cs="Arial"/>
          <w:sz w:val="22"/>
          <w:szCs w:val="22"/>
        </w:rPr>
        <w:lastRenderedPageBreak/>
        <w:t>C</w:t>
      </w:r>
      <w:r w:rsidR="00BE49DC">
        <w:rPr>
          <w:rFonts w:ascii="Arial" w:hAnsi="Arial" w:cs="Arial"/>
          <w:sz w:val="22"/>
          <w:szCs w:val="22"/>
        </w:rPr>
        <w:t>0MMUNITY DISABILITY SERVICES</w:t>
      </w:r>
    </w:p>
    <w:p w14:paraId="60BD0087" w14:textId="77777777" w:rsidR="00890224" w:rsidRDefault="00890224" w:rsidP="00C31C3F">
      <w:pPr>
        <w:spacing w:line="360" w:lineRule="auto"/>
      </w:pPr>
      <w:r w:rsidRPr="0054337B">
        <w:rPr>
          <w:rFonts w:ascii="Arial" w:hAnsi="Arial" w:cs="Arial"/>
          <w:sz w:val="22"/>
          <w:szCs w:val="22"/>
        </w:rPr>
        <w:t xml:space="preserve">Community disability services in the United Kingdom have developed from long-stay institutional care to person-centred support in ordinary community settings. This </w:t>
      </w:r>
      <w:r>
        <w:rPr>
          <w:rFonts w:ascii="Arial" w:hAnsi="Arial" w:cs="Arial"/>
          <w:sz w:val="22"/>
          <w:szCs w:val="22"/>
        </w:rPr>
        <w:t>change</w:t>
      </w:r>
      <w:r w:rsidRPr="0054337B">
        <w:rPr>
          <w:rFonts w:ascii="Arial" w:hAnsi="Arial" w:cs="Arial"/>
          <w:sz w:val="22"/>
          <w:szCs w:val="22"/>
        </w:rPr>
        <w:t xml:space="preserve"> reflects </w:t>
      </w:r>
      <w:r>
        <w:rPr>
          <w:rFonts w:ascii="Arial" w:hAnsi="Arial" w:cs="Arial"/>
          <w:sz w:val="22"/>
          <w:szCs w:val="22"/>
        </w:rPr>
        <w:t xml:space="preserve">a broader shift </w:t>
      </w:r>
      <w:r w:rsidRPr="0054337B">
        <w:rPr>
          <w:rFonts w:ascii="Arial" w:hAnsi="Arial" w:cs="Arial"/>
          <w:sz w:val="22"/>
          <w:szCs w:val="22"/>
        </w:rPr>
        <w:t>in health and social care</w:t>
      </w:r>
      <w:r>
        <w:rPr>
          <w:rFonts w:ascii="Arial" w:hAnsi="Arial" w:cs="Arial"/>
          <w:sz w:val="22"/>
          <w:szCs w:val="22"/>
        </w:rPr>
        <w:t xml:space="preserve"> thinking, shaped by</w:t>
      </w:r>
      <w:r w:rsidRPr="0054337B">
        <w:rPr>
          <w:rFonts w:ascii="Arial" w:hAnsi="Arial" w:cs="Arial"/>
          <w:sz w:val="22"/>
          <w:szCs w:val="22"/>
        </w:rPr>
        <w:t xml:space="preserve"> the social model of disability and the independent living movement. Rather than viewing disabled people as passive recipients of care, these approaches argue that services should promote choice, control, and participation in everyday life (Glasby, 20</w:t>
      </w:r>
      <w:r>
        <w:rPr>
          <w:rFonts w:ascii="Arial" w:hAnsi="Arial" w:cs="Arial"/>
          <w:sz w:val="22"/>
          <w:szCs w:val="22"/>
        </w:rPr>
        <w:t>2</w:t>
      </w:r>
      <w:r w:rsidRPr="0054337B">
        <w:rPr>
          <w:rFonts w:ascii="Arial" w:hAnsi="Arial" w:cs="Arial"/>
          <w:sz w:val="22"/>
          <w:szCs w:val="22"/>
        </w:rPr>
        <w:t>6, pp. 95–99).</w:t>
      </w:r>
    </w:p>
    <w:p w14:paraId="2C860C53" w14:textId="7417B220" w:rsidR="0017199F" w:rsidRDefault="00F60191">
      <w:pPr>
        <w:spacing w:line="360" w:lineRule="auto"/>
      </w:pPr>
      <w:r>
        <w:rPr>
          <w:rFonts w:ascii="Arial" w:hAnsi="Arial" w:cs="Arial"/>
          <w:sz w:val="22"/>
          <w:szCs w:val="22"/>
        </w:rPr>
        <w:t xml:space="preserve">During </w:t>
      </w:r>
      <w:r w:rsidR="0017199F" w:rsidRPr="0054337B">
        <w:rPr>
          <w:rFonts w:ascii="Arial" w:hAnsi="Arial" w:cs="Arial"/>
          <w:sz w:val="22"/>
          <w:szCs w:val="22"/>
        </w:rPr>
        <w:t xml:space="preserve">the twentieth century, </w:t>
      </w:r>
      <w:r w:rsidR="00731B51">
        <w:rPr>
          <w:rFonts w:ascii="Arial" w:hAnsi="Arial" w:cs="Arial"/>
          <w:sz w:val="22"/>
          <w:szCs w:val="22"/>
        </w:rPr>
        <w:t xml:space="preserve">individuals </w:t>
      </w:r>
      <w:r w:rsidR="0017199F" w:rsidRPr="0054337B">
        <w:rPr>
          <w:rFonts w:ascii="Arial" w:hAnsi="Arial" w:cs="Arial"/>
          <w:sz w:val="22"/>
          <w:szCs w:val="22"/>
        </w:rPr>
        <w:t xml:space="preserve">with learning disabilities were </w:t>
      </w:r>
      <w:r w:rsidR="0017199F">
        <w:rPr>
          <w:rFonts w:ascii="Arial" w:hAnsi="Arial" w:cs="Arial"/>
          <w:sz w:val="22"/>
          <w:szCs w:val="22"/>
        </w:rPr>
        <w:t xml:space="preserve">cared for </w:t>
      </w:r>
      <w:r w:rsidR="0017199F" w:rsidRPr="0054337B">
        <w:rPr>
          <w:rFonts w:ascii="Arial" w:hAnsi="Arial" w:cs="Arial"/>
          <w:sz w:val="22"/>
          <w:szCs w:val="22"/>
        </w:rPr>
        <w:t xml:space="preserve">in large hospitals and segregated settings under a medical and custodial </w:t>
      </w:r>
      <w:r w:rsidR="0017199F">
        <w:rPr>
          <w:rFonts w:ascii="Arial" w:hAnsi="Arial" w:cs="Arial"/>
          <w:sz w:val="22"/>
          <w:szCs w:val="22"/>
        </w:rPr>
        <w:t>approach.</w:t>
      </w:r>
      <w:r w:rsidR="0017199F" w:rsidRPr="0054337B">
        <w:rPr>
          <w:rFonts w:ascii="Arial" w:hAnsi="Arial" w:cs="Arial"/>
          <w:sz w:val="22"/>
          <w:szCs w:val="22"/>
        </w:rPr>
        <w:t xml:space="preserve"> This meant that </w:t>
      </w:r>
      <w:proofErr w:type="gramStart"/>
      <w:r w:rsidR="0017199F" w:rsidRPr="0054337B">
        <w:rPr>
          <w:rFonts w:ascii="Arial" w:hAnsi="Arial" w:cs="Arial"/>
          <w:sz w:val="22"/>
          <w:szCs w:val="22"/>
        </w:rPr>
        <w:t>many</w:t>
      </w:r>
      <w:proofErr w:type="gramEnd"/>
      <w:r w:rsidR="0017199F" w:rsidRPr="0054337B">
        <w:rPr>
          <w:rFonts w:ascii="Arial" w:hAnsi="Arial" w:cs="Arial"/>
          <w:sz w:val="22"/>
          <w:szCs w:val="22"/>
        </w:rPr>
        <w:t xml:space="preserve"> people were separated from family life, local communities, and opportunities for independence. From the 1970s onwards, this model was increasingly criticised, and there was a gradual movement towards normalisation and community living. </w:t>
      </w:r>
      <w:r w:rsidR="0017199F">
        <w:rPr>
          <w:rFonts w:ascii="Arial" w:hAnsi="Arial" w:cs="Arial"/>
          <w:sz w:val="22"/>
          <w:szCs w:val="22"/>
        </w:rPr>
        <w:t>The</w:t>
      </w:r>
      <w:r w:rsidR="0017199F" w:rsidRPr="0054337B">
        <w:rPr>
          <w:rFonts w:ascii="Arial" w:hAnsi="Arial" w:cs="Arial"/>
          <w:sz w:val="22"/>
          <w:szCs w:val="22"/>
        </w:rPr>
        <w:t xml:space="preserve"> NHS and Community Care Act 1990</w:t>
      </w:r>
      <w:r w:rsidR="0017199F">
        <w:rPr>
          <w:rFonts w:ascii="Arial" w:hAnsi="Arial" w:cs="Arial"/>
          <w:sz w:val="22"/>
          <w:szCs w:val="22"/>
        </w:rPr>
        <w:t xml:space="preserve"> supported this shift by promoting</w:t>
      </w:r>
      <w:r w:rsidR="0017199F" w:rsidRPr="0054337B">
        <w:rPr>
          <w:rFonts w:ascii="Arial" w:hAnsi="Arial" w:cs="Arial"/>
          <w:sz w:val="22"/>
          <w:szCs w:val="22"/>
        </w:rPr>
        <w:t xml:space="preserve"> local services, care </w:t>
      </w:r>
      <w:proofErr w:type="gramStart"/>
      <w:r w:rsidR="0017199F" w:rsidRPr="0054337B">
        <w:rPr>
          <w:rFonts w:ascii="Arial" w:hAnsi="Arial" w:cs="Arial"/>
          <w:sz w:val="22"/>
          <w:szCs w:val="22"/>
        </w:rPr>
        <w:t>management</w:t>
      </w:r>
      <w:proofErr w:type="gramEnd"/>
      <w:r w:rsidR="0017199F" w:rsidRPr="0054337B">
        <w:rPr>
          <w:rFonts w:ascii="Arial" w:hAnsi="Arial" w:cs="Arial"/>
          <w:sz w:val="22"/>
          <w:szCs w:val="22"/>
        </w:rPr>
        <w:t xml:space="preserve"> and more </w:t>
      </w:r>
      <w:r w:rsidR="0017199F">
        <w:rPr>
          <w:rFonts w:ascii="Arial" w:hAnsi="Arial" w:cs="Arial"/>
          <w:sz w:val="22"/>
          <w:szCs w:val="22"/>
        </w:rPr>
        <w:t>personalised support</w:t>
      </w:r>
      <w:r w:rsidR="0017199F" w:rsidRPr="0054337B">
        <w:rPr>
          <w:rFonts w:ascii="Arial" w:hAnsi="Arial" w:cs="Arial"/>
          <w:sz w:val="22"/>
          <w:szCs w:val="22"/>
        </w:rPr>
        <w:t xml:space="preserve"> packages</w:t>
      </w:r>
      <w:r w:rsidR="0017199F">
        <w:rPr>
          <w:rFonts w:ascii="Arial" w:hAnsi="Arial" w:cs="Arial"/>
          <w:sz w:val="22"/>
          <w:szCs w:val="22"/>
        </w:rPr>
        <w:t>.</w:t>
      </w:r>
      <w:r w:rsidR="0017199F" w:rsidRPr="0054337B">
        <w:rPr>
          <w:rFonts w:ascii="Arial" w:hAnsi="Arial" w:cs="Arial"/>
          <w:sz w:val="22"/>
          <w:szCs w:val="22"/>
        </w:rPr>
        <w:t xml:space="preserve"> These changes helped create the basis for community learning disability teams, supported housing and more flexible forms of care (Department of Health, 2001; Glasby, 20</w:t>
      </w:r>
      <w:r w:rsidR="0017199F">
        <w:rPr>
          <w:rFonts w:ascii="Arial" w:hAnsi="Arial" w:cs="Arial"/>
          <w:sz w:val="22"/>
          <w:szCs w:val="22"/>
        </w:rPr>
        <w:t>2</w:t>
      </w:r>
      <w:r w:rsidR="0017199F" w:rsidRPr="0054337B">
        <w:rPr>
          <w:rFonts w:ascii="Arial" w:hAnsi="Arial" w:cs="Arial"/>
          <w:sz w:val="22"/>
          <w:szCs w:val="22"/>
        </w:rPr>
        <w:t>6).</w:t>
      </w:r>
    </w:p>
    <w:p w14:paraId="06C3D9CF" w14:textId="77777777" w:rsidR="0054337B" w:rsidRPr="0054337B" w:rsidRDefault="0054337B" w:rsidP="0054337B">
      <w:pPr>
        <w:spacing w:line="360" w:lineRule="auto"/>
        <w:rPr>
          <w:rFonts w:ascii="Arial" w:hAnsi="Arial" w:cs="Arial"/>
          <w:sz w:val="22"/>
          <w:szCs w:val="22"/>
        </w:rPr>
      </w:pPr>
    </w:p>
    <w:p w14:paraId="447B6138" w14:textId="52F2C446" w:rsidR="0054337B" w:rsidRPr="0054337B" w:rsidRDefault="0054337B" w:rsidP="0054337B">
      <w:pPr>
        <w:spacing w:line="360" w:lineRule="auto"/>
        <w:rPr>
          <w:rFonts w:ascii="Arial" w:hAnsi="Arial" w:cs="Arial"/>
          <w:sz w:val="22"/>
          <w:szCs w:val="22"/>
        </w:rPr>
      </w:pPr>
      <w:r w:rsidRPr="0054337B">
        <w:rPr>
          <w:rFonts w:ascii="Arial" w:hAnsi="Arial" w:cs="Arial"/>
          <w:sz w:val="22"/>
          <w:szCs w:val="22"/>
        </w:rPr>
        <w:t xml:space="preserve">Later policy developments strengthened this direction. Valuing People and Valuing People Now placed greater emphasis on rights, independence, </w:t>
      </w:r>
      <w:r w:rsidR="008673A8" w:rsidRPr="0054337B">
        <w:rPr>
          <w:rFonts w:ascii="Arial" w:hAnsi="Arial" w:cs="Arial"/>
          <w:sz w:val="22"/>
          <w:szCs w:val="22"/>
        </w:rPr>
        <w:t>choice,</w:t>
      </w:r>
      <w:r w:rsidRPr="0054337B">
        <w:rPr>
          <w:rFonts w:ascii="Arial" w:hAnsi="Arial" w:cs="Arial"/>
          <w:sz w:val="22"/>
          <w:szCs w:val="22"/>
        </w:rPr>
        <w:t xml:space="preserve"> and inclusion for people with learning disabilities (Department of Health, 2001; Department of Health, 2009). Glasby argues that this policy shift reflects the social model of disability because it focuses on removing barriers and supporting independent living rather than assuming that disabled people are naturally dependent on services (Glasby, 20</w:t>
      </w:r>
      <w:r>
        <w:rPr>
          <w:rFonts w:ascii="Arial" w:hAnsi="Arial" w:cs="Arial"/>
          <w:sz w:val="22"/>
          <w:szCs w:val="22"/>
        </w:rPr>
        <w:t>2</w:t>
      </w:r>
      <w:r w:rsidRPr="0054337B">
        <w:rPr>
          <w:rFonts w:ascii="Arial" w:hAnsi="Arial" w:cs="Arial"/>
          <w:sz w:val="22"/>
          <w:szCs w:val="22"/>
        </w:rPr>
        <w:t>6, pp. 95–99). This is important because it explains why community disability services were developed not only to replace institutions, but also to improve equality and social participation.</w:t>
      </w:r>
    </w:p>
    <w:p w14:paraId="0A1F8982" w14:textId="3D70AD61" w:rsidR="0054337B" w:rsidRPr="0054337B" w:rsidRDefault="0054337B" w:rsidP="0054337B">
      <w:pPr>
        <w:spacing w:line="360" w:lineRule="auto"/>
        <w:rPr>
          <w:rFonts w:ascii="Arial" w:hAnsi="Arial" w:cs="Arial"/>
          <w:sz w:val="22"/>
          <w:szCs w:val="22"/>
        </w:rPr>
      </w:pPr>
      <w:r w:rsidRPr="0054337B">
        <w:rPr>
          <w:rFonts w:ascii="Arial" w:hAnsi="Arial" w:cs="Arial"/>
          <w:sz w:val="22"/>
          <w:szCs w:val="22"/>
        </w:rPr>
        <w:t xml:space="preserve">Today, community disability services for adults with learning disabilities are usually delivered through integrated health and social care arrangements. Support is commonly provided in people’s own homes, supported living schemes and other local settings rather than institutions. In practice, this often involves multidisciplinary teams made up of social workers, community nurses, occupational therapists, </w:t>
      </w:r>
      <w:r w:rsidR="008673A8" w:rsidRPr="0054337B">
        <w:rPr>
          <w:rFonts w:ascii="Arial" w:hAnsi="Arial" w:cs="Arial"/>
          <w:sz w:val="22"/>
          <w:szCs w:val="22"/>
        </w:rPr>
        <w:t>psychologists,</w:t>
      </w:r>
      <w:r w:rsidRPr="0054337B">
        <w:rPr>
          <w:rFonts w:ascii="Arial" w:hAnsi="Arial" w:cs="Arial"/>
          <w:sz w:val="22"/>
          <w:szCs w:val="22"/>
        </w:rPr>
        <w:t xml:space="preserve"> and voluntary-sector providers. Their role is to address health needs, practical support, daily living </w:t>
      </w:r>
      <w:r w:rsidR="008673A8" w:rsidRPr="0054337B">
        <w:rPr>
          <w:rFonts w:ascii="Arial" w:hAnsi="Arial" w:cs="Arial"/>
          <w:sz w:val="22"/>
          <w:szCs w:val="22"/>
        </w:rPr>
        <w:t>skills,</w:t>
      </w:r>
      <w:r w:rsidRPr="0054337B">
        <w:rPr>
          <w:rFonts w:ascii="Arial" w:hAnsi="Arial" w:cs="Arial"/>
          <w:sz w:val="22"/>
          <w:szCs w:val="22"/>
        </w:rPr>
        <w:t xml:space="preserve"> and wider social wellbeing (Glasby, 20</w:t>
      </w:r>
      <w:r>
        <w:rPr>
          <w:rFonts w:ascii="Arial" w:hAnsi="Arial" w:cs="Arial"/>
          <w:sz w:val="22"/>
          <w:szCs w:val="22"/>
        </w:rPr>
        <w:t>2</w:t>
      </w:r>
      <w:r w:rsidRPr="0054337B">
        <w:rPr>
          <w:rFonts w:ascii="Arial" w:hAnsi="Arial" w:cs="Arial"/>
          <w:sz w:val="22"/>
          <w:szCs w:val="22"/>
        </w:rPr>
        <w:t xml:space="preserve">6). Salt argues that services aiming to be outstanding must be safe, effective, caring, </w:t>
      </w:r>
      <w:r w:rsidR="008673A8" w:rsidRPr="0054337B">
        <w:rPr>
          <w:rFonts w:ascii="Arial" w:hAnsi="Arial" w:cs="Arial"/>
          <w:sz w:val="22"/>
          <w:szCs w:val="22"/>
        </w:rPr>
        <w:t>responsive,</w:t>
      </w:r>
      <w:r w:rsidRPr="0054337B">
        <w:rPr>
          <w:rFonts w:ascii="Arial" w:hAnsi="Arial" w:cs="Arial"/>
          <w:sz w:val="22"/>
          <w:szCs w:val="22"/>
        </w:rPr>
        <w:t xml:space="preserve"> and well led. This suggests that community disability services should not be judged only on whether support exists, but on the quality, </w:t>
      </w:r>
      <w:r w:rsidR="008673A8" w:rsidRPr="0054337B">
        <w:rPr>
          <w:rFonts w:ascii="Arial" w:hAnsi="Arial" w:cs="Arial"/>
          <w:sz w:val="22"/>
          <w:szCs w:val="22"/>
        </w:rPr>
        <w:t>consistency,</w:t>
      </w:r>
      <w:r w:rsidRPr="0054337B">
        <w:rPr>
          <w:rFonts w:ascii="Arial" w:hAnsi="Arial" w:cs="Arial"/>
          <w:sz w:val="22"/>
          <w:szCs w:val="22"/>
        </w:rPr>
        <w:t xml:space="preserve"> and person-centred nature of that support (Salt, 2021).</w:t>
      </w:r>
    </w:p>
    <w:p w14:paraId="3A836253" w14:textId="77777777" w:rsidR="008971B9" w:rsidRDefault="008971B9">
      <w:pPr>
        <w:spacing w:line="360" w:lineRule="auto"/>
      </w:pPr>
      <w:r w:rsidRPr="0054337B">
        <w:rPr>
          <w:rFonts w:ascii="Arial" w:hAnsi="Arial" w:cs="Arial"/>
          <w:sz w:val="22"/>
          <w:szCs w:val="22"/>
        </w:rPr>
        <w:lastRenderedPageBreak/>
        <w:t xml:space="preserve">However, community disability services also face important challenges. Glasby and Dickinson (2014, pp. 56–57) argue that partnership working and integrated structures do not automatically lead to better outcomes. </w:t>
      </w:r>
      <w:r>
        <w:rPr>
          <w:rFonts w:ascii="Arial" w:hAnsi="Arial" w:cs="Arial"/>
          <w:sz w:val="22"/>
          <w:szCs w:val="22"/>
        </w:rPr>
        <w:t>Their research</w:t>
      </w:r>
      <w:r w:rsidRPr="0054337B">
        <w:rPr>
          <w:rFonts w:ascii="Arial" w:hAnsi="Arial" w:cs="Arial"/>
          <w:sz w:val="22"/>
          <w:szCs w:val="22"/>
        </w:rPr>
        <w:t xml:space="preserve"> into learning </w:t>
      </w:r>
      <w:r>
        <w:rPr>
          <w:rFonts w:ascii="Arial" w:hAnsi="Arial" w:cs="Arial"/>
          <w:sz w:val="22"/>
          <w:szCs w:val="22"/>
        </w:rPr>
        <w:t>disability services shows</w:t>
      </w:r>
      <w:r w:rsidRPr="0054337B">
        <w:rPr>
          <w:rFonts w:ascii="Arial" w:hAnsi="Arial" w:cs="Arial"/>
          <w:sz w:val="22"/>
          <w:szCs w:val="22"/>
        </w:rPr>
        <w:t xml:space="preserve"> that </w:t>
      </w:r>
      <w:r>
        <w:rPr>
          <w:rFonts w:ascii="Arial" w:hAnsi="Arial" w:cs="Arial"/>
          <w:sz w:val="22"/>
          <w:szCs w:val="22"/>
        </w:rPr>
        <w:t>difficulties</w:t>
      </w:r>
      <w:r w:rsidRPr="0054337B">
        <w:rPr>
          <w:rFonts w:ascii="Arial" w:hAnsi="Arial" w:cs="Arial"/>
          <w:sz w:val="22"/>
          <w:szCs w:val="22"/>
        </w:rPr>
        <w:t xml:space="preserve"> with coordination, accountability and inappropriate placements can </w:t>
      </w:r>
      <w:r>
        <w:rPr>
          <w:rFonts w:ascii="Arial" w:hAnsi="Arial" w:cs="Arial"/>
          <w:sz w:val="22"/>
          <w:szCs w:val="22"/>
        </w:rPr>
        <w:t>continue</w:t>
      </w:r>
      <w:r w:rsidRPr="0054337B">
        <w:rPr>
          <w:rFonts w:ascii="Arial" w:hAnsi="Arial" w:cs="Arial"/>
          <w:sz w:val="22"/>
          <w:szCs w:val="22"/>
        </w:rPr>
        <w:t xml:space="preserve"> even </w:t>
      </w:r>
      <w:r>
        <w:rPr>
          <w:rFonts w:ascii="Arial" w:hAnsi="Arial" w:cs="Arial"/>
          <w:sz w:val="22"/>
          <w:szCs w:val="22"/>
        </w:rPr>
        <w:t>when</w:t>
      </w:r>
      <w:r w:rsidRPr="0054337B">
        <w:rPr>
          <w:rFonts w:ascii="Arial" w:hAnsi="Arial" w:cs="Arial"/>
          <w:sz w:val="22"/>
          <w:szCs w:val="22"/>
        </w:rPr>
        <w:t xml:space="preserve"> partnership </w:t>
      </w:r>
      <w:r>
        <w:rPr>
          <w:rFonts w:ascii="Arial" w:hAnsi="Arial" w:cs="Arial"/>
          <w:sz w:val="22"/>
          <w:szCs w:val="22"/>
        </w:rPr>
        <w:t xml:space="preserve">systems </w:t>
      </w:r>
      <w:r w:rsidRPr="0054337B">
        <w:rPr>
          <w:rFonts w:ascii="Arial" w:hAnsi="Arial" w:cs="Arial"/>
          <w:sz w:val="22"/>
          <w:szCs w:val="22"/>
        </w:rPr>
        <w:t xml:space="preserve">are </w:t>
      </w:r>
      <w:r>
        <w:rPr>
          <w:rFonts w:ascii="Arial" w:hAnsi="Arial" w:cs="Arial"/>
          <w:sz w:val="22"/>
          <w:szCs w:val="22"/>
        </w:rPr>
        <w:t xml:space="preserve">formally </w:t>
      </w:r>
      <w:r w:rsidRPr="0054337B">
        <w:rPr>
          <w:rFonts w:ascii="Arial" w:hAnsi="Arial" w:cs="Arial"/>
          <w:sz w:val="22"/>
          <w:szCs w:val="22"/>
        </w:rPr>
        <w:t>in place. Towers (2023) also points out that people described as vulnerable may distrust services because of stigma and unequal power relations. This means that effective community disability services depend not only on systems and structures, but also on trust, listening, and respectful relationships.</w:t>
      </w:r>
    </w:p>
    <w:p w14:paraId="6A90F8B1" w14:textId="77777777" w:rsidR="0054337B" w:rsidRPr="0054337B" w:rsidRDefault="0054337B" w:rsidP="0054337B">
      <w:pPr>
        <w:spacing w:line="360" w:lineRule="auto"/>
        <w:rPr>
          <w:rFonts w:ascii="Arial" w:hAnsi="Arial" w:cs="Arial"/>
          <w:sz w:val="22"/>
          <w:szCs w:val="22"/>
        </w:rPr>
      </w:pPr>
    </w:p>
    <w:p w14:paraId="08AE5C29" w14:textId="77777777" w:rsidR="00140CC3" w:rsidRDefault="00140CC3">
      <w:pPr>
        <w:spacing w:line="360" w:lineRule="auto"/>
      </w:pPr>
      <w:r w:rsidRPr="0054337B">
        <w:rPr>
          <w:rFonts w:ascii="Arial" w:hAnsi="Arial" w:cs="Arial"/>
          <w:sz w:val="22"/>
          <w:szCs w:val="22"/>
        </w:rPr>
        <w:t>The significance of community disability services lies in their potential to improve quality of life. When support is properly resourced and person-centred, it can increase opportunities for choice, social contact, meaningful activity, and greater independence (Glasby, 20</w:t>
      </w:r>
      <w:r>
        <w:rPr>
          <w:rFonts w:ascii="Arial" w:hAnsi="Arial" w:cs="Arial"/>
          <w:sz w:val="22"/>
          <w:szCs w:val="22"/>
        </w:rPr>
        <w:t>2</w:t>
      </w:r>
      <w:r w:rsidRPr="0054337B">
        <w:rPr>
          <w:rFonts w:ascii="Arial" w:hAnsi="Arial" w:cs="Arial"/>
          <w:sz w:val="22"/>
          <w:szCs w:val="22"/>
        </w:rPr>
        <w:t xml:space="preserve">6). Good engagement can also help service users feel valued and more involved in decisions about their lives, which may improve wellbeing and confidence (Towers, 2023). Overall, the </w:t>
      </w:r>
      <w:r>
        <w:rPr>
          <w:rFonts w:ascii="Arial" w:hAnsi="Arial" w:cs="Arial"/>
          <w:sz w:val="22"/>
          <w:szCs w:val="22"/>
        </w:rPr>
        <w:t>move</w:t>
      </w:r>
      <w:r w:rsidRPr="0054337B">
        <w:rPr>
          <w:rFonts w:ascii="Arial" w:hAnsi="Arial" w:cs="Arial"/>
          <w:sz w:val="22"/>
          <w:szCs w:val="22"/>
        </w:rPr>
        <w:t xml:space="preserve"> from institutional care to integrated community-based </w:t>
      </w:r>
      <w:r>
        <w:rPr>
          <w:rFonts w:ascii="Arial" w:hAnsi="Arial" w:cs="Arial"/>
          <w:sz w:val="22"/>
          <w:szCs w:val="22"/>
        </w:rPr>
        <w:t>support</w:t>
      </w:r>
      <w:r w:rsidRPr="0054337B">
        <w:rPr>
          <w:rFonts w:ascii="Arial" w:hAnsi="Arial" w:cs="Arial"/>
          <w:sz w:val="22"/>
          <w:szCs w:val="22"/>
        </w:rPr>
        <w:t xml:space="preserve"> has </w:t>
      </w:r>
      <w:r>
        <w:rPr>
          <w:rFonts w:ascii="Arial" w:hAnsi="Arial" w:cs="Arial"/>
          <w:sz w:val="22"/>
          <w:szCs w:val="22"/>
        </w:rPr>
        <w:t>improved outcomes for</w:t>
      </w:r>
      <w:r w:rsidRPr="0054337B">
        <w:rPr>
          <w:rFonts w:ascii="Arial" w:hAnsi="Arial" w:cs="Arial"/>
          <w:sz w:val="22"/>
          <w:szCs w:val="22"/>
        </w:rPr>
        <w:t xml:space="preserve"> </w:t>
      </w:r>
      <w:proofErr w:type="gramStart"/>
      <w:r w:rsidRPr="0054337B">
        <w:rPr>
          <w:rFonts w:ascii="Arial" w:hAnsi="Arial" w:cs="Arial"/>
          <w:sz w:val="22"/>
          <w:szCs w:val="22"/>
        </w:rPr>
        <w:t>many</w:t>
      </w:r>
      <w:proofErr w:type="gramEnd"/>
      <w:r w:rsidRPr="0054337B">
        <w:rPr>
          <w:rFonts w:ascii="Arial" w:hAnsi="Arial" w:cs="Arial"/>
          <w:sz w:val="22"/>
          <w:szCs w:val="22"/>
        </w:rPr>
        <w:t xml:space="preserve"> </w:t>
      </w:r>
      <w:r>
        <w:rPr>
          <w:rFonts w:ascii="Arial" w:hAnsi="Arial" w:cs="Arial"/>
          <w:sz w:val="22"/>
          <w:szCs w:val="22"/>
        </w:rPr>
        <w:t>individuals</w:t>
      </w:r>
      <w:r w:rsidRPr="0054337B">
        <w:rPr>
          <w:rFonts w:ascii="Arial" w:hAnsi="Arial" w:cs="Arial"/>
          <w:sz w:val="22"/>
          <w:szCs w:val="22"/>
        </w:rPr>
        <w:t xml:space="preserve"> with learning disabilities. Nevertheless, the literature suggests that continued attention to service quality, leadership and genuine co-production is still needed if community disability services are to fully meet their aims (Glasby, 20</w:t>
      </w:r>
      <w:r>
        <w:rPr>
          <w:rFonts w:ascii="Arial" w:hAnsi="Arial" w:cs="Arial"/>
          <w:sz w:val="22"/>
          <w:szCs w:val="22"/>
        </w:rPr>
        <w:t>2</w:t>
      </w:r>
      <w:r w:rsidRPr="0054337B">
        <w:rPr>
          <w:rFonts w:ascii="Arial" w:hAnsi="Arial" w:cs="Arial"/>
          <w:sz w:val="22"/>
          <w:szCs w:val="22"/>
        </w:rPr>
        <w:t>6; Glasby and Dickinson, 2014).</w:t>
      </w:r>
    </w:p>
    <w:p w14:paraId="769FCFDC" w14:textId="77777777" w:rsidR="0054337B" w:rsidRPr="0054337B" w:rsidRDefault="0054337B" w:rsidP="0054337B">
      <w:pPr>
        <w:spacing w:line="360" w:lineRule="auto"/>
        <w:rPr>
          <w:rFonts w:ascii="Arial" w:hAnsi="Arial" w:cs="Arial"/>
          <w:sz w:val="22"/>
          <w:szCs w:val="22"/>
        </w:rPr>
      </w:pPr>
    </w:p>
    <w:p w14:paraId="5F42CC8A" w14:textId="77777777" w:rsidR="0054337B" w:rsidRPr="0054337B" w:rsidRDefault="0054337B" w:rsidP="0054337B">
      <w:pPr>
        <w:spacing w:line="360" w:lineRule="auto"/>
        <w:rPr>
          <w:rFonts w:ascii="Arial" w:hAnsi="Arial" w:cs="Arial"/>
          <w:sz w:val="22"/>
          <w:szCs w:val="22"/>
        </w:rPr>
      </w:pPr>
    </w:p>
    <w:p w14:paraId="41474FD1" w14:textId="77777777" w:rsidR="0054337B" w:rsidRPr="0054337B" w:rsidRDefault="0054337B" w:rsidP="0054337B">
      <w:pPr>
        <w:spacing w:line="360" w:lineRule="auto"/>
        <w:rPr>
          <w:rFonts w:ascii="Arial" w:hAnsi="Arial" w:cs="Arial"/>
          <w:sz w:val="22"/>
          <w:szCs w:val="22"/>
        </w:rPr>
      </w:pPr>
    </w:p>
    <w:p w14:paraId="615D8610" w14:textId="77777777" w:rsidR="0054337B" w:rsidRPr="0054337B" w:rsidRDefault="0054337B" w:rsidP="0054337B">
      <w:pPr>
        <w:spacing w:line="360" w:lineRule="auto"/>
        <w:rPr>
          <w:rFonts w:ascii="Arial" w:hAnsi="Arial" w:cs="Arial"/>
          <w:sz w:val="22"/>
          <w:szCs w:val="22"/>
        </w:rPr>
      </w:pPr>
    </w:p>
    <w:p w14:paraId="2B886FCA" w14:textId="77777777" w:rsidR="0054337B" w:rsidRPr="0054337B" w:rsidRDefault="0054337B" w:rsidP="0054337B">
      <w:pPr>
        <w:spacing w:line="360" w:lineRule="auto"/>
        <w:rPr>
          <w:rFonts w:ascii="Arial" w:hAnsi="Arial" w:cs="Arial"/>
          <w:sz w:val="22"/>
          <w:szCs w:val="22"/>
        </w:rPr>
      </w:pPr>
    </w:p>
    <w:p w14:paraId="17B11A4C" w14:textId="77777777" w:rsidR="0054337B" w:rsidRPr="0054337B" w:rsidRDefault="0054337B" w:rsidP="0054337B">
      <w:pPr>
        <w:spacing w:line="360" w:lineRule="auto"/>
        <w:rPr>
          <w:rFonts w:ascii="Arial" w:hAnsi="Arial" w:cs="Arial"/>
          <w:sz w:val="22"/>
          <w:szCs w:val="22"/>
        </w:rPr>
      </w:pPr>
    </w:p>
    <w:p w14:paraId="4987BF7D" w14:textId="77777777" w:rsidR="0054337B" w:rsidRPr="0054337B" w:rsidRDefault="0054337B" w:rsidP="0054337B">
      <w:pPr>
        <w:spacing w:line="360" w:lineRule="auto"/>
        <w:rPr>
          <w:rFonts w:ascii="Arial" w:hAnsi="Arial" w:cs="Arial"/>
          <w:sz w:val="22"/>
          <w:szCs w:val="22"/>
        </w:rPr>
      </w:pPr>
    </w:p>
    <w:p w14:paraId="3A73DA8F" w14:textId="77777777" w:rsidR="00235737" w:rsidRDefault="00235737" w:rsidP="0054337B">
      <w:pPr>
        <w:spacing w:line="360" w:lineRule="auto"/>
        <w:rPr>
          <w:rFonts w:ascii="Arial" w:hAnsi="Arial" w:cs="Arial"/>
          <w:sz w:val="22"/>
          <w:szCs w:val="22"/>
        </w:rPr>
      </w:pPr>
    </w:p>
    <w:p w14:paraId="03CA7F8E" w14:textId="77777777" w:rsidR="00B679D6" w:rsidRDefault="00B679D6" w:rsidP="0054337B">
      <w:pPr>
        <w:spacing w:line="360" w:lineRule="auto"/>
        <w:rPr>
          <w:rFonts w:ascii="Arial" w:hAnsi="Arial" w:cs="Arial"/>
          <w:sz w:val="22"/>
          <w:szCs w:val="22"/>
          <w:u w:val="single"/>
        </w:rPr>
      </w:pPr>
    </w:p>
    <w:p w14:paraId="3F1EDE51" w14:textId="77777777" w:rsidR="00B679D6" w:rsidRDefault="00B679D6" w:rsidP="0054337B">
      <w:pPr>
        <w:spacing w:line="360" w:lineRule="auto"/>
        <w:rPr>
          <w:rFonts w:ascii="Arial" w:hAnsi="Arial" w:cs="Arial"/>
          <w:sz w:val="22"/>
          <w:szCs w:val="22"/>
          <w:u w:val="single"/>
        </w:rPr>
      </w:pPr>
    </w:p>
    <w:p w14:paraId="23E51015" w14:textId="77777777" w:rsidR="00091633" w:rsidRDefault="00091633" w:rsidP="0054337B">
      <w:pPr>
        <w:spacing w:line="360" w:lineRule="auto"/>
        <w:rPr>
          <w:rFonts w:ascii="Arial" w:hAnsi="Arial" w:cs="Arial"/>
          <w:sz w:val="22"/>
          <w:szCs w:val="22"/>
          <w:u w:val="single"/>
        </w:rPr>
      </w:pPr>
    </w:p>
    <w:p w14:paraId="05CF0131" w14:textId="77777777" w:rsidR="00091633" w:rsidRDefault="00091633" w:rsidP="0054337B">
      <w:pPr>
        <w:spacing w:line="360" w:lineRule="auto"/>
        <w:rPr>
          <w:rFonts w:ascii="Arial" w:hAnsi="Arial" w:cs="Arial"/>
          <w:sz w:val="22"/>
          <w:szCs w:val="22"/>
          <w:u w:val="single"/>
        </w:rPr>
      </w:pPr>
    </w:p>
    <w:p w14:paraId="7BC71A0E" w14:textId="25A6A9DB" w:rsidR="0054337B" w:rsidRPr="0054337B" w:rsidRDefault="0054337B" w:rsidP="0054337B">
      <w:pPr>
        <w:spacing w:line="360" w:lineRule="auto"/>
        <w:rPr>
          <w:rFonts w:ascii="Arial" w:hAnsi="Arial" w:cs="Arial"/>
          <w:sz w:val="22"/>
          <w:szCs w:val="22"/>
          <w:u w:val="single"/>
        </w:rPr>
      </w:pPr>
      <w:r w:rsidRPr="0054337B">
        <w:rPr>
          <w:rFonts w:ascii="Arial" w:hAnsi="Arial" w:cs="Arial"/>
          <w:sz w:val="22"/>
          <w:szCs w:val="22"/>
          <w:u w:val="single"/>
        </w:rPr>
        <w:lastRenderedPageBreak/>
        <w:t>Reference List</w:t>
      </w:r>
    </w:p>
    <w:p w14:paraId="3FBE53D7" w14:textId="77777777" w:rsidR="0054337B" w:rsidRPr="0054337B" w:rsidRDefault="0054337B" w:rsidP="003729B4">
      <w:pPr>
        <w:spacing w:line="360" w:lineRule="auto"/>
        <w:rPr>
          <w:rFonts w:ascii="Arial" w:hAnsi="Arial" w:cs="Arial"/>
          <w:sz w:val="22"/>
          <w:szCs w:val="22"/>
        </w:rPr>
      </w:pPr>
    </w:p>
    <w:p w14:paraId="5DB8722C" w14:textId="77777777" w:rsidR="00552B7B" w:rsidRDefault="00552B7B" w:rsidP="003729B4">
      <w:pPr>
        <w:spacing w:line="360" w:lineRule="auto"/>
        <w:rPr>
          <w:lang w:eastAsia="en-GB"/>
        </w:rPr>
      </w:pPr>
      <w:r>
        <w:rPr>
          <w:rFonts w:ascii="Arial" w:hAnsi="Arial" w:cs="Arial"/>
          <w:sz w:val="22"/>
          <w:szCs w:val="22"/>
        </w:rPr>
        <w:t>Barnard, A., Calabria, V. and Griffiths, L. (eds) (2023) Key themes in health and social care: a companion to learning. Second edition. London: Routledge.</w:t>
      </w:r>
    </w:p>
    <w:p w14:paraId="4001209B" w14:textId="77777777" w:rsidR="00552B7B" w:rsidRDefault="00552B7B" w:rsidP="003729B4">
      <w:pPr>
        <w:spacing w:line="360" w:lineRule="auto"/>
        <w:rPr>
          <w:lang w:eastAsia="en-GB"/>
        </w:rPr>
      </w:pPr>
      <w:r>
        <w:rPr>
          <w:rFonts w:ascii="Arial" w:hAnsi="Arial" w:cs="Arial"/>
          <w:sz w:val="22"/>
          <w:szCs w:val="22"/>
        </w:rPr>
        <w:t>British Dental Association (2024) thirteen million unable to access NHS dentistry. Available at: https://www.bda.org/media-centre/13-million-unable-to-access-nhs-dentistry/ (Accessed 05 June 2026).</w:t>
      </w:r>
    </w:p>
    <w:p w14:paraId="7E7B5DE6" w14:textId="77777777" w:rsidR="00552B7B" w:rsidRDefault="00552B7B" w:rsidP="003729B4">
      <w:pPr>
        <w:spacing w:line="360" w:lineRule="auto"/>
        <w:rPr>
          <w:lang w:eastAsia="en-GB"/>
        </w:rPr>
      </w:pPr>
      <w:r>
        <w:rPr>
          <w:rFonts w:ascii="Arial" w:hAnsi="Arial" w:cs="Arial"/>
          <w:sz w:val="22"/>
          <w:szCs w:val="22"/>
        </w:rPr>
        <w:t>Department of Health (2001) Valuing people: a new strategy for learning disability for the 21st century. London: The Stationery Office.</w:t>
      </w:r>
    </w:p>
    <w:p w14:paraId="5736A033" w14:textId="77777777" w:rsidR="00552B7B" w:rsidRDefault="00552B7B" w:rsidP="003729B4">
      <w:pPr>
        <w:spacing w:line="360" w:lineRule="auto"/>
        <w:rPr>
          <w:lang w:eastAsia="en-GB"/>
        </w:rPr>
      </w:pPr>
      <w:r>
        <w:rPr>
          <w:rFonts w:ascii="Arial" w:hAnsi="Arial" w:cs="Arial"/>
          <w:sz w:val="22"/>
          <w:szCs w:val="22"/>
        </w:rPr>
        <w:t>Department of Health (2009) Valuing people now: a three-year strategy for people with learning disabilities. London: Department of Health.</w:t>
      </w:r>
    </w:p>
    <w:p w14:paraId="66FAE148" w14:textId="77777777" w:rsidR="00552B7B" w:rsidRDefault="00552B7B" w:rsidP="003729B4">
      <w:pPr>
        <w:spacing w:line="360" w:lineRule="auto"/>
        <w:rPr>
          <w:lang w:eastAsia="en-GB"/>
        </w:rPr>
      </w:pPr>
      <w:r>
        <w:rPr>
          <w:rFonts w:ascii="Arial" w:hAnsi="Arial" w:cs="Arial"/>
          <w:sz w:val="22"/>
          <w:szCs w:val="22"/>
        </w:rPr>
        <w:t xml:space="preserve">Department of Health and Social Care (2025) Oral health survey of </w:t>
      </w:r>
      <w:proofErr w:type="gramStart"/>
      <w:r>
        <w:rPr>
          <w:rFonts w:ascii="Arial" w:hAnsi="Arial" w:cs="Arial"/>
          <w:sz w:val="22"/>
          <w:szCs w:val="22"/>
        </w:rPr>
        <w:t>5</w:t>
      </w:r>
      <w:proofErr w:type="gramEnd"/>
      <w:r>
        <w:rPr>
          <w:rFonts w:ascii="Cambria Math" w:hAnsi="Cambria Math"/>
          <w:sz w:val="22"/>
          <w:szCs w:val="22"/>
        </w:rPr>
        <w:noBreakHyphen/>
      </w:r>
      <w:r>
        <w:rPr>
          <w:rFonts w:ascii="Arial" w:hAnsi="Arial" w:cs="Arial"/>
          <w:sz w:val="22"/>
          <w:szCs w:val="22"/>
        </w:rPr>
        <w:t>year</w:t>
      </w:r>
      <w:r>
        <w:rPr>
          <w:rFonts w:ascii="Cambria Math" w:hAnsi="Cambria Math"/>
          <w:sz w:val="22"/>
          <w:szCs w:val="22"/>
        </w:rPr>
        <w:noBreakHyphen/>
      </w:r>
      <w:r>
        <w:rPr>
          <w:rFonts w:ascii="Arial" w:hAnsi="Arial" w:cs="Arial"/>
          <w:sz w:val="22"/>
          <w:szCs w:val="22"/>
        </w:rPr>
        <w:t>old schoolchildren 2024: England. National Dental Epidemiology Programme. Available aJhttps://www.gov.uk/government/statistics/oral-health-survey-of-5-year-old-schoolchildren-2024 (Accessed 08 June 2026).</w:t>
      </w:r>
    </w:p>
    <w:p w14:paraId="21CFEBD9" w14:textId="77777777" w:rsidR="00552B7B" w:rsidRDefault="00552B7B" w:rsidP="003729B4">
      <w:pPr>
        <w:spacing w:line="360" w:lineRule="auto"/>
        <w:rPr>
          <w:lang w:eastAsia="en-GB"/>
        </w:rPr>
      </w:pPr>
      <w:r>
        <w:rPr>
          <w:rFonts w:ascii="Arial" w:hAnsi="Arial" w:cs="Arial"/>
          <w:sz w:val="22"/>
          <w:szCs w:val="22"/>
        </w:rPr>
        <w:t>Glasby, J. (2026) Understanding health and social care. Fourth edition. Bristol: Policy Press.</w:t>
      </w:r>
    </w:p>
    <w:p w14:paraId="099D30B1" w14:textId="77777777" w:rsidR="00552B7B" w:rsidRDefault="00552B7B" w:rsidP="003729B4">
      <w:pPr>
        <w:spacing w:line="360" w:lineRule="auto"/>
        <w:rPr>
          <w:lang w:eastAsia="en-GB"/>
        </w:rPr>
      </w:pPr>
      <w:r>
        <w:rPr>
          <w:rFonts w:ascii="Arial" w:hAnsi="Arial" w:cs="Arial"/>
          <w:sz w:val="22"/>
          <w:szCs w:val="22"/>
        </w:rPr>
        <w:t>Glasby, J. and Dickinson, H. (2014) Partnership working in health and social care: what is integrated care and how can we deliver it? Second edition. Bristol: Policy Press.</w:t>
      </w:r>
    </w:p>
    <w:p w14:paraId="525C4DB3" w14:textId="77777777" w:rsidR="00552B7B" w:rsidRDefault="00552B7B" w:rsidP="003729B4">
      <w:pPr>
        <w:spacing w:line="360" w:lineRule="auto"/>
        <w:rPr>
          <w:lang w:eastAsia="en-GB"/>
        </w:rPr>
      </w:pPr>
      <w:r>
        <w:rPr>
          <w:rFonts w:ascii="Arial" w:hAnsi="Arial" w:cs="Arial"/>
          <w:sz w:val="22"/>
          <w:szCs w:val="22"/>
        </w:rPr>
        <w:t>NCBI (2016) Organisation of NHS dentistry in primary care. National Centre for Biotechnology Information. Available at: https://www.ncbi.nlm.nih.gov/books/NBK378807/ (Accessed 08June 2026).</w:t>
      </w:r>
    </w:p>
    <w:p w14:paraId="76B90CAE" w14:textId="77777777" w:rsidR="00552B7B" w:rsidRDefault="00552B7B" w:rsidP="003729B4">
      <w:pPr>
        <w:spacing w:line="360" w:lineRule="auto"/>
        <w:rPr>
          <w:lang w:eastAsia="en-GB"/>
        </w:rPr>
      </w:pPr>
      <w:r>
        <w:rPr>
          <w:rFonts w:ascii="Arial" w:hAnsi="Arial" w:cs="Arial"/>
          <w:sz w:val="22"/>
          <w:szCs w:val="22"/>
        </w:rPr>
        <w:t>NHS Digital (2022) Children's Dental Health Survey 2022. Available at: https://digital.nhs.uk/data-and-information/publications/statistical/children-s-dental-health-survey (Accessed: 08 June 2026).</w:t>
      </w:r>
    </w:p>
    <w:p w14:paraId="4C3A7292" w14:textId="77777777" w:rsidR="00552B7B" w:rsidRDefault="00552B7B" w:rsidP="003729B4">
      <w:pPr>
        <w:spacing w:line="360" w:lineRule="auto"/>
        <w:rPr>
          <w:lang w:eastAsia="en-GB"/>
        </w:rPr>
      </w:pPr>
      <w:r>
        <w:rPr>
          <w:rFonts w:ascii="Arial" w:hAnsi="Arial" w:cs="Arial"/>
          <w:sz w:val="22"/>
          <w:szCs w:val="22"/>
        </w:rPr>
        <w:t>NHS England (2023) NHS Dental Statistics for England, 2022–23. Available at: england.nhs.uk/statistics</w:t>
      </w:r>
    </w:p>
    <w:p w14:paraId="79ACD217" w14:textId="77777777" w:rsidR="00552B7B" w:rsidRDefault="00552B7B" w:rsidP="003729B4">
      <w:pPr>
        <w:spacing w:line="360" w:lineRule="auto"/>
        <w:rPr>
          <w:lang w:eastAsia="en-GB"/>
        </w:rPr>
      </w:pPr>
      <w:r>
        <w:rPr>
          <w:rFonts w:ascii="Arial" w:hAnsi="Arial" w:cs="Arial"/>
          <w:sz w:val="22"/>
          <w:szCs w:val="22"/>
        </w:rPr>
        <w:t>Office for Health Improvement and Disparities (2021) Inequalities in oral health in England. Public Health England. Available at: https://www.gov.uk/government/publications/inequalities-in-oral-health-in-england (Accessed 08 June 2026)</w:t>
      </w:r>
    </w:p>
    <w:p w14:paraId="27234F59" w14:textId="77777777" w:rsidR="00552B7B" w:rsidRDefault="00552B7B" w:rsidP="003729B4">
      <w:pPr>
        <w:spacing w:line="360" w:lineRule="auto"/>
        <w:rPr>
          <w:lang w:eastAsia="en-GB"/>
        </w:rPr>
      </w:pPr>
      <w:r>
        <w:rPr>
          <w:rFonts w:ascii="Arial" w:hAnsi="Arial" w:cs="Arial"/>
          <w:sz w:val="22"/>
          <w:szCs w:val="22"/>
        </w:rPr>
        <w:lastRenderedPageBreak/>
        <w:t>Royal College of Paediatrics and Child Health (2025) Briefing: oral health inequalities in young children. Available at: https://www.rcpch.ac.uk/news-events/news/rcpch-responds-alarming-health-inqualities-oral-health-young-children (Accessed 08 June 2026</w:t>
      </w:r>
    </w:p>
    <w:p w14:paraId="3693414A" w14:textId="77777777" w:rsidR="00552B7B" w:rsidRDefault="00552B7B" w:rsidP="003729B4">
      <w:pPr>
        <w:spacing w:line="360" w:lineRule="auto"/>
        <w:rPr>
          <w:lang w:eastAsia="en-GB"/>
        </w:rPr>
      </w:pPr>
      <w:r>
        <w:rPr>
          <w:rFonts w:ascii="Arial" w:hAnsi="Arial" w:cs="Arial"/>
          <w:sz w:val="22"/>
          <w:szCs w:val="22"/>
        </w:rPr>
        <w:t>Salt, T. (2021) Towards outstanding: a guide to excellence in health and social care. West Sussex: Pavilion Publishing and Media Ltd.</w:t>
      </w:r>
    </w:p>
    <w:p w14:paraId="4B685878" w14:textId="77777777" w:rsidR="00552B7B" w:rsidRDefault="00552B7B" w:rsidP="003729B4">
      <w:pPr>
        <w:spacing w:line="360" w:lineRule="auto"/>
        <w:rPr>
          <w:lang w:eastAsia="en-GB"/>
        </w:rPr>
      </w:pPr>
      <w:r>
        <w:rPr>
          <w:rFonts w:ascii="Arial" w:hAnsi="Arial" w:cs="Arial"/>
          <w:sz w:val="22"/>
          <w:szCs w:val="22"/>
        </w:rPr>
        <w:t>The King’s Fund (2023) NHS dentistry in England explained. Available at: https://www.kingsfund.org.uk/insight-and-analysis/long-reads/dentistry-england-explained (Accessed 07June 2026).</w:t>
      </w:r>
    </w:p>
    <w:p w14:paraId="0753ED63" w14:textId="77777777" w:rsidR="00552B7B" w:rsidRDefault="00552B7B" w:rsidP="003729B4">
      <w:pPr>
        <w:spacing w:line="360" w:lineRule="auto"/>
        <w:rPr>
          <w:lang w:eastAsia="en-GB"/>
        </w:rPr>
      </w:pPr>
      <w:r>
        <w:rPr>
          <w:rFonts w:ascii="Arial" w:hAnsi="Arial" w:cs="Arial"/>
          <w:sz w:val="22"/>
          <w:szCs w:val="22"/>
        </w:rPr>
        <w:t>Towers, C. (2023) ‘Engaging vulnerable groups’, in Barnard, A., Calabria, V. and Griffiths, L. (eds) Key themes in health and social care: a companion to learning. second edition. London: Routledge.</w:t>
      </w:r>
    </w:p>
    <w:p w14:paraId="60B79D27" w14:textId="442B43C6" w:rsidR="003A1A15" w:rsidRPr="00521C3A" w:rsidRDefault="00552B7B" w:rsidP="003729B4">
      <w:pPr>
        <w:spacing w:line="360" w:lineRule="auto"/>
        <w:rPr>
          <w:lang w:eastAsia="en-GB"/>
        </w:rPr>
        <w:sectPr w:rsidR="003A1A15" w:rsidRPr="00521C3A" w:rsidSect="006837C5">
          <w:pgSz w:w="11906" w:h="16838"/>
          <w:pgMar w:top="1440" w:right="1440" w:bottom="1440" w:left="1440" w:header="708" w:footer="708" w:gutter="0"/>
          <w:pgNumType w:start="0"/>
          <w:cols w:space="708"/>
          <w:titlePg/>
          <w:docGrid w:linePitch="360"/>
        </w:sectPr>
      </w:pPr>
      <w:r>
        <w:rPr>
          <w:rFonts w:ascii="Arial" w:hAnsi="Arial" w:cs="Arial"/>
          <w:sz w:val="22"/>
          <w:szCs w:val="22"/>
        </w:rPr>
        <w:t xml:space="preserve">Tunbridge Wells Dental Care (no date) NHS dentist – Tunbridge Wells Dental Care. Available at: https://www.tunbridgewellsdental.co.uk/nhs-dentist/ (Accessed 19 </w:t>
      </w:r>
      <w:proofErr w:type="gramStart"/>
      <w:r>
        <w:rPr>
          <w:rFonts w:ascii="Arial" w:hAnsi="Arial" w:cs="Arial"/>
          <w:sz w:val="22"/>
          <w:szCs w:val="22"/>
        </w:rPr>
        <w:t xml:space="preserve">June </w:t>
      </w:r>
      <w:r w:rsidR="00521C3A">
        <w:rPr>
          <w:rFonts w:ascii="Arial" w:hAnsi="Arial" w:cs="Arial"/>
          <w:sz w:val="22"/>
          <w:szCs w:val="22"/>
        </w:rPr>
        <w:t xml:space="preserve"> 2</w:t>
      </w:r>
      <w:r w:rsidR="003729B4">
        <w:rPr>
          <w:rFonts w:ascii="Arial" w:hAnsi="Arial" w:cs="Arial"/>
          <w:sz w:val="22"/>
          <w:szCs w:val="22"/>
        </w:rPr>
        <w:t>026</w:t>
      </w:r>
      <w:proofErr w:type="gramEnd"/>
      <w:r w:rsidR="003729B4">
        <w:rPr>
          <w:rFonts w:ascii="Arial" w:hAnsi="Arial" w:cs="Arial"/>
          <w:sz w:val="22"/>
          <w:szCs w:val="22"/>
        </w:rPr>
        <w:t>)</w:t>
      </w:r>
    </w:p>
    <w:p w14:paraId="0E2161DB" w14:textId="0CA4E2BF" w:rsidR="00331E32" w:rsidRDefault="00331E32" w:rsidP="0054337B">
      <w:pPr>
        <w:spacing w:line="360" w:lineRule="auto"/>
        <w:rPr>
          <w:rFonts w:ascii="Arial" w:hAnsi="Arial" w:cs="Arial"/>
          <w:sz w:val="22"/>
          <w:szCs w:val="22"/>
        </w:rPr>
        <w:sectPr w:rsidR="00331E32" w:rsidSect="0056370B">
          <w:pgSz w:w="16838" w:h="11906" w:orient="landscape"/>
          <w:pgMar w:top="1440" w:right="1440" w:bottom="1440" w:left="1440" w:header="708" w:footer="708" w:gutter="0"/>
          <w:cols w:num="3" w:space="708"/>
          <w:docGrid w:linePitch="360"/>
        </w:sectPr>
      </w:pPr>
    </w:p>
    <w:p w14:paraId="33F1CC1E" w14:textId="25E507DC" w:rsidR="006E0624" w:rsidRDefault="006E0624" w:rsidP="00A54F4F"/>
    <w:sectPr w:rsidR="006E0624" w:rsidSect="006E062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FB61E" w14:textId="77777777" w:rsidR="005F5A7C" w:rsidRDefault="005F5A7C" w:rsidP="00D04B19">
      <w:pPr>
        <w:spacing w:after="0" w:line="240" w:lineRule="auto"/>
      </w:pPr>
      <w:r>
        <w:separator/>
      </w:r>
    </w:p>
  </w:endnote>
  <w:endnote w:type="continuationSeparator" w:id="0">
    <w:p w14:paraId="6AA53718" w14:textId="77777777" w:rsidR="005F5A7C" w:rsidRDefault="005F5A7C" w:rsidP="00D04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7B49F" w14:textId="77777777" w:rsidR="005F5A7C" w:rsidRDefault="005F5A7C" w:rsidP="00D04B19">
      <w:pPr>
        <w:spacing w:after="0" w:line="240" w:lineRule="auto"/>
      </w:pPr>
      <w:r>
        <w:separator/>
      </w:r>
    </w:p>
  </w:footnote>
  <w:footnote w:type="continuationSeparator" w:id="0">
    <w:p w14:paraId="03E4D875" w14:textId="77777777" w:rsidR="005F5A7C" w:rsidRDefault="005F5A7C" w:rsidP="00D04B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8686F"/>
    <w:multiLevelType w:val="multilevel"/>
    <w:tmpl w:val="95485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8B7C66"/>
    <w:multiLevelType w:val="hybridMultilevel"/>
    <w:tmpl w:val="66F8A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62998">
    <w:abstractNumId w:val="1"/>
  </w:num>
  <w:num w:numId="2" w16cid:durableId="648024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83D"/>
    <w:rsid w:val="0003320C"/>
    <w:rsid w:val="0007360A"/>
    <w:rsid w:val="0008557B"/>
    <w:rsid w:val="00091633"/>
    <w:rsid w:val="000A342C"/>
    <w:rsid w:val="000C20DC"/>
    <w:rsid w:val="000C44A1"/>
    <w:rsid w:val="000C7928"/>
    <w:rsid w:val="000D3832"/>
    <w:rsid w:val="001040B3"/>
    <w:rsid w:val="00124751"/>
    <w:rsid w:val="00140CA5"/>
    <w:rsid w:val="00140CC3"/>
    <w:rsid w:val="001463BE"/>
    <w:rsid w:val="00154372"/>
    <w:rsid w:val="00156C1E"/>
    <w:rsid w:val="0017199F"/>
    <w:rsid w:val="001826C8"/>
    <w:rsid w:val="0019730A"/>
    <w:rsid w:val="001A1FDB"/>
    <w:rsid w:val="001B6FDB"/>
    <w:rsid w:val="001C2121"/>
    <w:rsid w:val="001C450C"/>
    <w:rsid w:val="001C7CD3"/>
    <w:rsid w:val="001D0B45"/>
    <w:rsid w:val="001E27AD"/>
    <w:rsid w:val="001E63EC"/>
    <w:rsid w:val="001F2CA0"/>
    <w:rsid w:val="001F78DC"/>
    <w:rsid w:val="00203068"/>
    <w:rsid w:val="00205042"/>
    <w:rsid w:val="0021306C"/>
    <w:rsid w:val="002311E5"/>
    <w:rsid w:val="002312B4"/>
    <w:rsid w:val="002354EE"/>
    <w:rsid w:val="00235737"/>
    <w:rsid w:val="00244A35"/>
    <w:rsid w:val="00247856"/>
    <w:rsid w:val="0025472E"/>
    <w:rsid w:val="00256B99"/>
    <w:rsid w:val="00264BAC"/>
    <w:rsid w:val="002663ED"/>
    <w:rsid w:val="002848DE"/>
    <w:rsid w:val="002930B8"/>
    <w:rsid w:val="002D019B"/>
    <w:rsid w:val="002D2559"/>
    <w:rsid w:val="002E49E8"/>
    <w:rsid w:val="00301E64"/>
    <w:rsid w:val="0031242E"/>
    <w:rsid w:val="00315F2E"/>
    <w:rsid w:val="00317E5C"/>
    <w:rsid w:val="00331E32"/>
    <w:rsid w:val="0033479B"/>
    <w:rsid w:val="00335CC8"/>
    <w:rsid w:val="003425AF"/>
    <w:rsid w:val="003512DD"/>
    <w:rsid w:val="003612EB"/>
    <w:rsid w:val="003724D7"/>
    <w:rsid w:val="003729B4"/>
    <w:rsid w:val="00390782"/>
    <w:rsid w:val="00391E2A"/>
    <w:rsid w:val="00394524"/>
    <w:rsid w:val="00395109"/>
    <w:rsid w:val="003A1A15"/>
    <w:rsid w:val="003C1019"/>
    <w:rsid w:val="003C6218"/>
    <w:rsid w:val="003E00F5"/>
    <w:rsid w:val="00412ABB"/>
    <w:rsid w:val="00430646"/>
    <w:rsid w:val="00445F3C"/>
    <w:rsid w:val="0044606D"/>
    <w:rsid w:val="004463D0"/>
    <w:rsid w:val="0045228C"/>
    <w:rsid w:val="00463871"/>
    <w:rsid w:val="004655B4"/>
    <w:rsid w:val="004662F3"/>
    <w:rsid w:val="00485B43"/>
    <w:rsid w:val="004A7451"/>
    <w:rsid w:val="004B1659"/>
    <w:rsid w:val="004C2BFE"/>
    <w:rsid w:val="004D3484"/>
    <w:rsid w:val="004F5035"/>
    <w:rsid w:val="004F63A1"/>
    <w:rsid w:val="00513829"/>
    <w:rsid w:val="00521C3A"/>
    <w:rsid w:val="0052271B"/>
    <w:rsid w:val="0054337B"/>
    <w:rsid w:val="005461D8"/>
    <w:rsid w:val="00552A79"/>
    <w:rsid w:val="00552B7B"/>
    <w:rsid w:val="0056370B"/>
    <w:rsid w:val="005649CF"/>
    <w:rsid w:val="005726C8"/>
    <w:rsid w:val="0057591F"/>
    <w:rsid w:val="00586EBA"/>
    <w:rsid w:val="00597CF1"/>
    <w:rsid w:val="005C218E"/>
    <w:rsid w:val="005D2238"/>
    <w:rsid w:val="005E0AB4"/>
    <w:rsid w:val="005E1186"/>
    <w:rsid w:val="005E5CC2"/>
    <w:rsid w:val="005E66A8"/>
    <w:rsid w:val="005F0B44"/>
    <w:rsid w:val="005F1704"/>
    <w:rsid w:val="005F443F"/>
    <w:rsid w:val="005F5A7C"/>
    <w:rsid w:val="005F5CD8"/>
    <w:rsid w:val="006041C3"/>
    <w:rsid w:val="00613B0E"/>
    <w:rsid w:val="00627018"/>
    <w:rsid w:val="0063314F"/>
    <w:rsid w:val="006374EA"/>
    <w:rsid w:val="006837C5"/>
    <w:rsid w:val="006A0BD8"/>
    <w:rsid w:val="006A1B5E"/>
    <w:rsid w:val="006E0624"/>
    <w:rsid w:val="006F46FA"/>
    <w:rsid w:val="006F4E31"/>
    <w:rsid w:val="00701ABC"/>
    <w:rsid w:val="00704B1B"/>
    <w:rsid w:val="00725000"/>
    <w:rsid w:val="00731B51"/>
    <w:rsid w:val="0073550D"/>
    <w:rsid w:val="00753658"/>
    <w:rsid w:val="00753EE9"/>
    <w:rsid w:val="00755D22"/>
    <w:rsid w:val="00757E8D"/>
    <w:rsid w:val="00763A0D"/>
    <w:rsid w:val="00777045"/>
    <w:rsid w:val="007774D0"/>
    <w:rsid w:val="00783FF9"/>
    <w:rsid w:val="007935C3"/>
    <w:rsid w:val="007A6DF6"/>
    <w:rsid w:val="007B1AB9"/>
    <w:rsid w:val="007C13F7"/>
    <w:rsid w:val="007C6032"/>
    <w:rsid w:val="007D69FF"/>
    <w:rsid w:val="007D7CDA"/>
    <w:rsid w:val="0080554A"/>
    <w:rsid w:val="00816EF6"/>
    <w:rsid w:val="008447C0"/>
    <w:rsid w:val="00860A30"/>
    <w:rsid w:val="008673A8"/>
    <w:rsid w:val="008761D3"/>
    <w:rsid w:val="008824D8"/>
    <w:rsid w:val="00884556"/>
    <w:rsid w:val="00887BD6"/>
    <w:rsid w:val="00890224"/>
    <w:rsid w:val="0089362A"/>
    <w:rsid w:val="008971B9"/>
    <w:rsid w:val="008973FD"/>
    <w:rsid w:val="008A0FFD"/>
    <w:rsid w:val="008A6051"/>
    <w:rsid w:val="008B6550"/>
    <w:rsid w:val="008B7280"/>
    <w:rsid w:val="008C5EEC"/>
    <w:rsid w:val="008C6411"/>
    <w:rsid w:val="008D2BEB"/>
    <w:rsid w:val="008D4C13"/>
    <w:rsid w:val="008E1D90"/>
    <w:rsid w:val="008E7054"/>
    <w:rsid w:val="00915723"/>
    <w:rsid w:val="00916FFD"/>
    <w:rsid w:val="0091726F"/>
    <w:rsid w:val="009172FC"/>
    <w:rsid w:val="00937A55"/>
    <w:rsid w:val="00951055"/>
    <w:rsid w:val="00957551"/>
    <w:rsid w:val="00962139"/>
    <w:rsid w:val="0097238F"/>
    <w:rsid w:val="00983258"/>
    <w:rsid w:val="009915FD"/>
    <w:rsid w:val="009925C4"/>
    <w:rsid w:val="00992DC2"/>
    <w:rsid w:val="009C1E8F"/>
    <w:rsid w:val="009C307E"/>
    <w:rsid w:val="009C364F"/>
    <w:rsid w:val="009D1CB2"/>
    <w:rsid w:val="009D4351"/>
    <w:rsid w:val="009D73F2"/>
    <w:rsid w:val="009E5F0B"/>
    <w:rsid w:val="00A049EC"/>
    <w:rsid w:val="00A077D0"/>
    <w:rsid w:val="00A21517"/>
    <w:rsid w:val="00A403E7"/>
    <w:rsid w:val="00A53844"/>
    <w:rsid w:val="00A54491"/>
    <w:rsid w:val="00A54F4F"/>
    <w:rsid w:val="00A55219"/>
    <w:rsid w:val="00A7165E"/>
    <w:rsid w:val="00A72275"/>
    <w:rsid w:val="00A766BC"/>
    <w:rsid w:val="00A825D2"/>
    <w:rsid w:val="00A93D6D"/>
    <w:rsid w:val="00AA13A6"/>
    <w:rsid w:val="00AB0D0D"/>
    <w:rsid w:val="00AB2865"/>
    <w:rsid w:val="00AC2734"/>
    <w:rsid w:val="00AD1154"/>
    <w:rsid w:val="00AE3900"/>
    <w:rsid w:val="00AF07B0"/>
    <w:rsid w:val="00AF106B"/>
    <w:rsid w:val="00B144C0"/>
    <w:rsid w:val="00B2545A"/>
    <w:rsid w:val="00B33ACE"/>
    <w:rsid w:val="00B33EC2"/>
    <w:rsid w:val="00B45FC4"/>
    <w:rsid w:val="00B46D49"/>
    <w:rsid w:val="00B52A97"/>
    <w:rsid w:val="00B61834"/>
    <w:rsid w:val="00B679D6"/>
    <w:rsid w:val="00B755B5"/>
    <w:rsid w:val="00B77968"/>
    <w:rsid w:val="00B84DAE"/>
    <w:rsid w:val="00B8512A"/>
    <w:rsid w:val="00BA7D23"/>
    <w:rsid w:val="00BB1DFC"/>
    <w:rsid w:val="00BC483D"/>
    <w:rsid w:val="00BE49DC"/>
    <w:rsid w:val="00BE7311"/>
    <w:rsid w:val="00BF4036"/>
    <w:rsid w:val="00BF70AF"/>
    <w:rsid w:val="00C060C4"/>
    <w:rsid w:val="00C21D79"/>
    <w:rsid w:val="00C30BEC"/>
    <w:rsid w:val="00C31C3F"/>
    <w:rsid w:val="00C4064C"/>
    <w:rsid w:val="00C45404"/>
    <w:rsid w:val="00C57A07"/>
    <w:rsid w:val="00C61C6B"/>
    <w:rsid w:val="00C745FC"/>
    <w:rsid w:val="00C855A6"/>
    <w:rsid w:val="00C87C33"/>
    <w:rsid w:val="00CA3B13"/>
    <w:rsid w:val="00CC3D00"/>
    <w:rsid w:val="00CE6C74"/>
    <w:rsid w:val="00CE70F6"/>
    <w:rsid w:val="00CF3A92"/>
    <w:rsid w:val="00D04B19"/>
    <w:rsid w:val="00D0704B"/>
    <w:rsid w:val="00D170E7"/>
    <w:rsid w:val="00D34322"/>
    <w:rsid w:val="00D37A94"/>
    <w:rsid w:val="00D4177E"/>
    <w:rsid w:val="00D4670C"/>
    <w:rsid w:val="00D46955"/>
    <w:rsid w:val="00D536B2"/>
    <w:rsid w:val="00D73EBA"/>
    <w:rsid w:val="00D77A1B"/>
    <w:rsid w:val="00D77D5D"/>
    <w:rsid w:val="00D85115"/>
    <w:rsid w:val="00D92407"/>
    <w:rsid w:val="00D93F50"/>
    <w:rsid w:val="00D962DB"/>
    <w:rsid w:val="00DA7437"/>
    <w:rsid w:val="00DB079D"/>
    <w:rsid w:val="00DD51D5"/>
    <w:rsid w:val="00DF340D"/>
    <w:rsid w:val="00E038C0"/>
    <w:rsid w:val="00E05FC1"/>
    <w:rsid w:val="00E32EC2"/>
    <w:rsid w:val="00E54FAF"/>
    <w:rsid w:val="00E60FF2"/>
    <w:rsid w:val="00E717AE"/>
    <w:rsid w:val="00E75AA4"/>
    <w:rsid w:val="00EA6434"/>
    <w:rsid w:val="00EC0D1B"/>
    <w:rsid w:val="00EC2592"/>
    <w:rsid w:val="00EE61DB"/>
    <w:rsid w:val="00EE6A4B"/>
    <w:rsid w:val="00EE6CA2"/>
    <w:rsid w:val="00EF256C"/>
    <w:rsid w:val="00F42458"/>
    <w:rsid w:val="00F44285"/>
    <w:rsid w:val="00F50BDD"/>
    <w:rsid w:val="00F60191"/>
    <w:rsid w:val="00F717D4"/>
    <w:rsid w:val="00F75AAC"/>
    <w:rsid w:val="00F80242"/>
    <w:rsid w:val="00F80544"/>
    <w:rsid w:val="00F96EF7"/>
    <w:rsid w:val="00F97B56"/>
    <w:rsid w:val="00FA195B"/>
    <w:rsid w:val="00FA6757"/>
    <w:rsid w:val="00FB31E8"/>
    <w:rsid w:val="00FB628B"/>
    <w:rsid w:val="00FC2012"/>
    <w:rsid w:val="00FE0D9D"/>
    <w:rsid w:val="00FE707A"/>
    <w:rsid w:val="00FF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95F85"/>
  <w15:chartTrackingRefBased/>
  <w15:docId w15:val="{AAABF0CD-CAF4-4F3E-8D19-E8B7FB4C3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8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48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8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8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8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8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8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8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8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8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48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8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8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8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8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8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8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83D"/>
    <w:rPr>
      <w:rFonts w:eastAsiaTheme="majorEastAsia" w:cstheme="majorBidi"/>
      <w:color w:val="272727" w:themeColor="text1" w:themeTint="D8"/>
    </w:rPr>
  </w:style>
  <w:style w:type="paragraph" w:styleId="Title">
    <w:name w:val="Title"/>
    <w:basedOn w:val="Normal"/>
    <w:next w:val="Normal"/>
    <w:link w:val="TitleChar"/>
    <w:uiPriority w:val="10"/>
    <w:qFormat/>
    <w:rsid w:val="00BC48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8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8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8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83D"/>
    <w:pPr>
      <w:spacing w:before="160"/>
      <w:jc w:val="center"/>
    </w:pPr>
    <w:rPr>
      <w:i/>
      <w:iCs/>
      <w:color w:val="404040" w:themeColor="text1" w:themeTint="BF"/>
    </w:rPr>
  </w:style>
  <w:style w:type="character" w:customStyle="1" w:styleId="QuoteChar">
    <w:name w:val="Quote Char"/>
    <w:basedOn w:val="DefaultParagraphFont"/>
    <w:link w:val="Quote"/>
    <w:uiPriority w:val="29"/>
    <w:rsid w:val="00BC483D"/>
    <w:rPr>
      <w:i/>
      <w:iCs/>
      <w:color w:val="404040" w:themeColor="text1" w:themeTint="BF"/>
    </w:rPr>
  </w:style>
  <w:style w:type="paragraph" w:styleId="ListParagraph">
    <w:name w:val="List Paragraph"/>
    <w:basedOn w:val="Normal"/>
    <w:uiPriority w:val="34"/>
    <w:qFormat/>
    <w:rsid w:val="00BC483D"/>
    <w:pPr>
      <w:ind w:left="720"/>
      <w:contextualSpacing/>
    </w:pPr>
  </w:style>
  <w:style w:type="character" w:styleId="IntenseEmphasis">
    <w:name w:val="Intense Emphasis"/>
    <w:basedOn w:val="DefaultParagraphFont"/>
    <w:uiPriority w:val="21"/>
    <w:qFormat/>
    <w:rsid w:val="00BC483D"/>
    <w:rPr>
      <w:i/>
      <w:iCs/>
      <w:color w:val="0F4761" w:themeColor="accent1" w:themeShade="BF"/>
    </w:rPr>
  </w:style>
  <w:style w:type="paragraph" w:styleId="IntenseQuote">
    <w:name w:val="Intense Quote"/>
    <w:basedOn w:val="Normal"/>
    <w:next w:val="Normal"/>
    <w:link w:val="IntenseQuoteChar"/>
    <w:uiPriority w:val="30"/>
    <w:qFormat/>
    <w:rsid w:val="00BC48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83D"/>
    <w:rPr>
      <w:i/>
      <w:iCs/>
      <w:color w:val="0F4761" w:themeColor="accent1" w:themeShade="BF"/>
    </w:rPr>
  </w:style>
  <w:style w:type="character" w:styleId="IntenseReference">
    <w:name w:val="Intense Reference"/>
    <w:basedOn w:val="DefaultParagraphFont"/>
    <w:uiPriority w:val="32"/>
    <w:qFormat/>
    <w:rsid w:val="00BC483D"/>
    <w:rPr>
      <w:b/>
      <w:bCs/>
      <w:smallCaps/>
      <w:color w:val="0F4761" w:themeColor="accent1" w:themeShade="BF"/>
      <w:spacing w:val="5"/>
    </w:rPr>
  </w:style>
  <w:style w:type="table" w:customStyle="1" w:styleId="TableGrid">
    <w:name w:val="TableGrid"/>
    <w:rsid w:val="0025472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156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D77D5D"/>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D77D5D"/>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2">
    <w:name w:val="Grid Table 4 Accent 2"/>
    <w:basedOn w:val="TableNormal"/>
    <w:uiPriority w:val="49"/>
    <w:rsid w:val="00D77D5D"/>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D04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B19"/>
  </w:style>
  <w:style w:type="paragraph" w:styleId="Footer">
    <w:name w:val="footer"/>
    <w:basedOn w:val="Normal"/>
    <w:link w:val="FooterChar"/>
    <w:uiPriority w:val="99"/>
    <w:unhideWhenUsed/>
    <w:rsid w:val="00D04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B19"/>
  </w:style>
  <w:style w:type="character" w:styleId="Hyperlink">
    <w:name w:val="Hyperlink"/>
    <w:basedOn w:val="DefaultParagraphFont"/>
    <w:uiPriority w:val="99"/>
    <w:unhideWhenUsed/>
    <w:rsid w:val="006041C3"/>
    <w:rPr>
      <w:color w:val="467886" w:themeColor="hyperlink"/>
      <w:u w:val="single"/>
    </w:rPr>
  </w:style>
  <w:style w:type="character" w:styleId="UnresolvedMention">
    <w:name w:val="Unresolved Mention"/>
    <w:basedOn w:val="DefaultParagraphFont"/>
    <w:uiPriority w:val="99"/>
    <w:semiHidden/>
    <w:unhideWhenUsed/>
    <w:rsid w:val="006041C3"/>
    <w:rPr>
      <w:color w:val="605E5C"/>
      <w:shd w:val="clear" w:color="auto" w:fill="E1DFDD"/>
    </w:rPr>
  </w:style>
  <w:style w:type="paragraph" w:styleId="NoSpacing">
    <w:name w:val="No Spacing"/>
    <w:link w:val="NoSpacingChar"/>
    <w:uiPriority w:val="1"/>
    <w:qFormat/>
    <w:rsid w:val="003C101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C101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chart" Target="charts/chart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adults</c:v>
                </c:pt>
              </c:strCache>
            </c:strRef>
          </c:tx>
          <c:spPr>
            <a:solidFill>
              <a:schemeClr val="accent6"/>
            </a:solidFill>
            <a:ln>
              <a:noFill/>
            </a:ln>
            <a:effectLst/>
          </c:spPr>
          <c:invertIfNegative val="0"/>
          <c:cat>
            <c:strRef>
              <c:f>Sheet1!$A$2:$A$3</c:f>
              <c:strCache>
                <c:ptCount val="2"/>
                <c:pt idx="0">
                  <c:v>Adults with unmet need</c:v>
                </c:pt>
                <c:pt idx="1">
                  <c:v>Adults without unmet need</c:v>
                </c:pt>
              </c:strCache>
            </c:strRef>
          </c:cat>
          <c:val>
            <c:numRef>
              <c:f>Sheet1!$B$2:$B$3</c:f>
              <c:numCache>
                <c:formatCode>General</c:formatCode>
                <c:ptCount val="2"/>
                <c:pt idx="0">
                  <c:v>13</c:v>
                </c:pt>
                <c:pt idx="1">
                  <c:v>33</c:v>
                </c:pt>
              </c:numCache>
            </c:numRef>
          </c:val>
          <c:extLst>
            <c:ext xmlns:c16="http://schemas.microsoft.com/office/drawing/2014/chart" uri="{C3380CC4-5D6E-409C-BE32-E72D297353CC}">
              <c16:uniqueId val="{00000000-5747-4C60-95FD-7B926DF1256C}"/>
            </c:ext>
          </c:extLst>
        </c:ser>
        <c:dLbls>
          <c:showLegendKey val="0"/>
          <c:showVal val="0"/>
          <c:showCatName val="0"/>
          <c:showSerName val="0"/>
          <c:showPercent val="0"/>
          <c:showBubbleSize val="0"/>
        </c:dLbls>
        <c:gapWidth val="219"/>
        <c:overlap val="-27"/>
        <c:axId val="1317375407"/>
        <c:axId val="1317374447"/>
      </c:barChart>
      <c:catAx>
        <c:axId val="1317375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7374447"/>
        <c:crosses val="autoZero"/>
        <c:auto val="1"/>
        <c:lblAlgn val="ctr"/>
        <c:lblOffset val="100"/>
        <c:noMultiLvlLbl val="0"/>
      </c:catAx>
      <c:valAx>
        <c:axId val="13173744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7375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US"/>
              <a:t>Tooth Decay in 5 year olds by Deprivation ( England) </a:t>
            </a:r>
          </a:p>
        </c:rich>
      </c:tx>
      <c:layout>
        <c:manualLayout>
          <c:xMode val="edge"/>
          <c:yMode val="edge"/>
          <c:x val="0.21225087924970693"/>
          <c:y val="5.4440285811500511E-2"/>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Tooth Decay in 5 year olds by Deprivation ( England)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81-4516-AFD3-F866BF5B59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81-4516-AFD3-F866BF5B59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81-4516-AFD3-F866BF5B59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81-4516-AFD3-F866BF5B596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A81-4516-AFD3-F866BF5B596B}"/>
              </c:ext>
            </c:extLst>
          </c:dPt>
          <c:cat>
            <c:strRef>
              <c:f>Sheet1!$A$2:$A$6</c:f>
              <c:strCache>
                <c:ptCount val="5"/>
                <c:pt idx="0">
                  <c:v>Most Deprived </c:v>
                </c:pt>
                <c:pt idx="1">
                  <c:v>2nd Most Deprived </c:v>
                </c:pt>
                <c:pt idx="2">
                  <c:v>Middle </c:v>
                </c:pt>
                <c:pt idx="3">
                  <c:v>2nd Least Deprived</c:v>
                </c:pt>
                <c:pt idx="4">
                  <c:v>Least Deprived </c:v>
                </c:pt>
              </c:strCache>
            </c:strRef>
          </c:cat>
          <c:val>
            <c:numRef>
              <c:f>Sheet1!$B$2:$B$6</c:f>
              <c:numCache>
                <c:formatCode>General</c:formatCode>
                <c:ptCount val="5"/>
                <c:pt idx="0">
                  <c:v>35</c:v>
                </c:pt>
                <c:pt idx="1">
                  <c:v>26</c:v>
                </c:pt>
                <c:pt idx="2">
                  <c:v>22</c:v>
                </c:pt>
                <c:pt idx="3">
                  <c:v>14</c:v>
                </c:pt>
                <c:pt idx="4">
                  <c:v>3</c:v>
                </c:pt>
              </c:numCache>
            </c:numRef>
          </c:val>
          <c:extLst>
            <c:ext xmlns:c16="http://schemas.microsoft.com/office/drawing/2014/chart" uri="{C3380CC4-5D6E-409C-BE32-E72D297353CC}">
              <c16:uniqueId val="{0000000A-6A81-4516-AFD3-F866BF5B59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9E55DE-FDB9-4648-BAFB-2E78362A94B4}" type="doc">
      <dgm:prSet loTypeId="urn:microsoft.com/office/officeart/2005/8/layout/vList6" loCatId="list" qsTypeId="urn:microsoft.com/office/officeart/2005/8/quickstyle/simple1" qsCatId="simple" csTypeId="urn:microsoft.com/office/officeart/2005/8/colors/colorful2" csCatId="colorful" phldr="1"/>
      <dgm:spPr/>
      <dgm:t>
        <a:bodyPr/>
        <a:lstStyle/>
        <a:p>
          <a:endParaRPr lang="en-GB"/>
        </a:p>
      </dgm:t>
    </dgm:pt>
    <dgm:pt modelId="{12D16680-E78A-465B-8BCB-2AFE9E7020D2}">
      <dgm:prSet phldrT="[Text]"/>
      <dgm:spPr/>
      <dgm:t>
        <a:bodyPr/>
        <a:lstStyle/>
        <a:p>
          <a:r>
            <a:rPr lang="en-GB"/>
            <a:t>Registration </a:t>
          </a:r>
        </a:p>
      </dgm:t>
    </dgm:pt>
    <dgm:pt modelId="{1C8D0291-C9D0-4834-A3FB-90ED9FFA1CB5}" type="parTrans" cxnId="{01B8FB15-F2D7-4195-A506-B8A0A3F9D443}">
      <dgm:prSet/>
      <dgm:spPr/>
      <dgm:t>
        <a:bodyPr/>
        <a:lstStyle/>
        <a:p>
          <a:endParaRPr lang="en-GB"/>
        </a:p>
      </dgm:t>
    </dgm:pt>
    <dgm:pt modelId="{E0C810F6-ADD2-42F8-8285-D3641A60D195}" type="sibTrans" cxnId="{01B8FB15-F2D7-4195-A506-B8A0A3F9D443}">
      <dgm:prSet phldrT="01" phldr="0"/>
      <dgm:spPr/>
    </dgm:pt>
    <dgm:pt modelId="{180B23B3-F554-4DDB-A172-D8429D0B8364}">
      <dgm:prSet phldrT="[Text]"/>
      <dgm:spPr/>
      <dgm:t>
        <a:bodyPr/>
        <a:lstStyle/>
        <a:p>
          <a:pPr>
            <a:buNone/>
          </a:pPr>
          <a:r>
            <a:rPr lang="en-GB"/>
            <a:t>Patient registers with an NHS dental practice</a:t>
          </a:r>
        </a:p>
      </dgm:t>
    </dgm:pt>
    <dgm:pt modelId="{4CD8324C-7F63-4E29-AE6A-B9645E3CE8E5}" type="parTrans" cxnId="{B02C10C1-D81B-4D58-921A-B205E2ADAA28}">
      <dgm:prSet/>
      <dgm:spPr/>
      <dgm:t>
        <a:bodyPr/>
        <a:lstStyle/>
        <a:p>
          <a:endParaRPr lang="en-GB"/>
        </a:p>
      </dgm:t>
    </dgm:pt>
    <dgm:pt modelId="{7ABE8A8B-95DE-4024-9833-8EBEEF3620D7}" type="sibTrans" cxnId="{B02C10C1-D81B-4D58-921A-B205E2ADAA28}">
      <dgm:prSet/>
      <dgm:spPr/>
      <dgm:t>
        <a:bodyPr/>
        <a:lstStyle/>
        <a:p>
          <a:endParaRPr lang="en-GB"/>
        </a:p>
      </dgm:t>
    </dgm:pt>
    <dgm:pt modelId="{5E8880DF-F37B-423C-8D47-91D2E767A4D6}">
      <dgm:prSet phldrT="[Text]"/>
      <dgm:spPr/>
      <dgm:t>
        <a:bodyPr/>
        <a:lstStyle/>
        <a:p>
          <a:pPr>
            <a:buNone/>
          </a:pPr>
          <a:r>
            <a:rPr lang="en-GB"/>
            <a:t>Dentist assesses clinical need and urgency</a:t>
          </a:r>
        </a:p>
      </dgm:t>
    </dgm:pt>
    <dgm:pt modelId="{B36C8A81-ED42-4D8D-8D0B-D0AD3D2ABAA7}" type="parTrans" cxnId="{FACBC086-2AE1-46E3-8BD1-92FFEEE592D3}">
      <dgm:prSet/>
      <dgm:spPr/>
      <dgm:t>
        <a:bodyPr/>
        <a:lstStyle/>
        <a:p>
          <a:endParaRPr lang="en-GB"/>
        </a:p>
      </dgm:t>
    </dgm:pt>
    <dgm:pt modelId="{57799F11-13A6-4E41-B5B9-72F4E220783B}" type="sibTrans" cxnId="{FACBC086-2AE1-46E3-8BD1-92FFEEE592D3}">
      <dgm:prSet/>
      <dgm:spPr/>
      <dgm:t>
        <a:bodyPr/>
        <a:lstStyle/>
        <a:p>
          <a:endParaRPr lang="en-GB"/>
        </a:p>
      </dgm:t>
    </dgm:pt>
    <dgm:pt modelId="{62C502EB-B160-4F5C-B47C-052369D3218A}">
      <dgm:prSet phldrT="[Text]"/>
      <dgm:spPr/>
      <dgm:t>
        <a:bodyPr/>
        <a:lstStyle/>
        <a:p>
          <a:r>
            <a:rPr lang="en-GB"/>
            <a:t>Triage and Assessment </a:t>
          </a:r>
        </a:p>
      </dgm:t>
    </dgm:pt>
    <dgm:pt modelId="{495F413C-69E2-4D72-AC7F-1F593F7B565C}" type="sibTrans" cxnId="{C79D08E1-21F4-4349-AE62-98BA9C966C7F}">
      <dgm:prSet phldrT="02" phldr="0"/>
      <dgm:spPr/>
    </dgm:pt>
    <dgm:pt modelId="{4848CA3D-3C57-4B4E-8277-E30FA92AD5F4}" type="parTrans" cxnId="{C79D08E1-21F4-4349-AE62-98BA9C966C7F}">
      <dgm:prSet/>
      <dgm:spPr/>
      <dgm:t>
        <a:bodyPr/>
        <a:lstStyle/>
        <a:p>
          <a:endParaRPr lang="en-GB"/>
        </a:p>
      </dgm:t>
    </dgm:pt>
    <dgm:pt modelId="{995DD4EA-B472-4487-925D-F8C6C22C699A}">
      <dgm:prSet phldrT="[Text]"/>
      <dgm:spPr/>
      <dgm:t>
        <a:bodyPr/>
        <a:lstStyle/>
        <a:p>
          <a:r>
            <a:rPr lang="en-GB"/>
            <a:t>Treatment Plan </a:t>
          </a:r>
        </a:p>
      </dgm:t>
    </dgm:pt>
    <dgm:pt modelId="{B9C4B90B-4756-40B2-85B1-D625777716AE}" type="parTrans" cxnId="{551BE879-5506-461C-9E2D-BD0CA5833DDA}">
      <dgm:prSet/>
      <dgm:spPr/>
      <dgm:t>
        <a:bodyPr/>
        <a:lstStyle/>
        <a:p>
          <a:endParaRPr lang="en-GB"/>
        </a:p>
      </dgm:t>
    </dgm:pt>
    <dgm:pt modelId="{357EBEB6-4CEC-4849-AB7B-D7185BC82D2B}" type="sibTrans" cxnId="{551BE879-5506-461C-9E2D-BD0CA5833DDA}">
      <dgm:prSet/>
      <dgm:spPr/>
      <dgm:t>
        <a:bodyPr/>
        <a:lstStyle/>
        <a:p>
          <a:endParaRPr lang="en-GB"/>
        </a:p>
      </dgm:t>
    </dgm:pt>
    <dgm:pt modelId="{AAB09616-28A7-4C19-ACCA-90FE6149C0B2}">
      <dgm:prSet phldrT="[Text]"/>
      <dgm:spPr/>
      <dgm:t>
        <a:bodyPr/>
        <a:lstStyle/>
        <a:p>
          <a:r>
            <a:rPr lang="en-GB"/>
            <a:t>Treament Delivered</a:t>
          </a:r>
        </a:p>
      </dgm:t>
    </dgm:pt>
    <dgm:pt modelId="{EDCB606B-BEAE-4331-82A3-1A401694B7E1}" type="parTrans" cxnId="{E7F91048-61A6-46BA-BA5D-63ABFA3FA194}">
      <dgm:prSet/>
      <dgm:spPr/>
      <dgm:t>
        <a:bodyPr/>
        <a:lstStyle/>
        <a:p>
          <a:endParaRPr lang="en-GB"/>
        </a:p>
      </dgm:t>
    </dgm:pt>
    <dgm:pt modelId="{AB458DB0-2571-4BE5-99FE-B02B74372A61}" type="sibTrans" cxnId="{E7F91048-61A6-46BA-BA5D-63ABFA3FA194}">
      <dgm:prSet/>
      <dgm:spPr/>
      <dgm:t>
        <a:bodyPr/>
        <a:lstStyle/>
        <a:p>
          <a:endParaRPr lang="en-GB"/>
        </a:p>
      </dgm:t>
    </dgm:pt>
    <dgm:pt modelId="{18C1E453-C7EF-445C-87C5-6ED3DD12F5D5}">
      <dgm:prSet/>
      <dgm:spPr/>
      <dgm:t>
        <a:bodyPr/>
        <a:lstStyle/>
        <a:p>
          <a:pPr>
            <a:buNone/>
          </a:pPr>
          <a:r>
            <a:rPr lang="en-GB"/>
            <a:t>Treatment placed into Band 1, 2, or 3</a:t>
          </a:r>
        </a:p>
      </dgm:t>
    </dgm:pt>
    <dgm:pt modelId="{B320F23B-8A29-45F4-A015-2F99F475FB9B}" type="parTrans" cxnId="{DBC65E6C-78F5-4927-A512-29C99E44E097}">
      <dgm:prSet/>
      <dgm:spPr/>
      <dgm:t>
        <a:bodyPr/>
        <a:lstStyle/>
        <a:p>
          <a:endParaRPr lang="en-GB"/>
        </a:p>
      </dgm:t>
    </dgm:pt>
    <dgm:pt modelId="{0A1035AA-3B3B-4CE8-9641-ADA7E38B1E00}" type="sibTrans" cxnId="{DBC65E6C-78F5-4927-A512-29C99E44E097}">
      <dgm:prSet/>
      <dgm:spPr/>
      <dgm:t>
        <a:bodyPr/>
        <a:lstStyle/>
        <a:p>
          <a:endParaRPr lang="en-GB"/>
        </a:p>
      </dgm:t>
    </dgm:pt>
    <dgm:pt modelId="{0DA4FFF6-E41F-4C5B-AD2C-5B8EBF37CFE4}">
      <dgm:prSet phldrT="[Text]"/>
      <dgm:spPr/>
      <dgm:t>
        <a:bodyPr/>
        <a:lstStyle/>
        <a:p>
          <a:r>
            <a:rPr lang="en-GB"/>
            <a:t>Review and Recall</a:t>
          </a:r>
        </a:p>
      </dgm:t>
    </dgm:pt>
    <dgm:pt modelId="{EF1D1FD3-34E0-4BBC-884C-4EE8FE6D8CDE}" type="parTrans" cxnId="{12DC0289-578F-42A1-B376-E50CFF5E88CF}">
      <dgm:prSet/>
      <dgm:spPr/>
      <dgm:t>
        <a:bodyPr/>
        <a:lstStyle/>
        <a:p>
          <a:endParaRPr lang="en-GB"/>
        </a:p>
      </dgm:t>
    </dgm:pt>
    <dgm:pt modelId="{124BD01E-B931-4171-BB9D-2E2A23853FE2}" type="sibTrans" cxnId="{12DC0289-578F-42A1-B376-E50CFF5E88CF}">
      <dgm:prSet/>
      <dgm:spPr/>
      <dgm:t>
        <a:bodyPr/>
        <a:lstStyle/>
        <a:p>
          <a:endParaRPr lang="en-GB"/>
        </a:p>
      </dgm:t>
    </dgm:pt>
    <dgm:pt modelId="{6EC986E8-5434-4A04-AD00-5600E67E8EC1}">
      <dgm:prSet/>
      <dgm:spPr/>
      <dgm:t>
        <a:bodyPr/>
        <a:lstStyle/>
        <a:p>
          <a:pPr>
            <a:buNone/>
          </a:pPr>
          <a:r>
            <a:rPr lang="en-GB"/>
            <a:t>Care given; patient pays the fixed band charge</a:t>
          </a:r>
        </a:p>
      </dgm:t>
    </dgm:pt>
    <dgm:pt modelId="{0A5679C7-5292-42E5-A23C-97AC6A10E8DF}" type="parTrans" cxnId="{30087111-942E-4C82-81B6-5513BD5D637F}">
      <dgm:prSet/>
      <dgm:spPr/>
      <dgm:t>
        <a:bodyPr/>
        <a:lstStyle/>
        <a:p>
          <a:endParaRPr lang="en-GB"/>
        </a:p>
      </dgm:t>
    </dgm:pt>
    <dgm:pt modelId="{118C3921-AF5F-4AA9-8AD6-1D09EF43B2C6}" type="sibTrans" cxnId="{30087111-942E-4C82-81B6-5513BD5D637F}">
      <dgm:prSet/>
      <dgm:spPr/>
      <dgm:t>
        <a:bodyPr/>
        <a:lstStyle/>
        <a:p>
          <a:endParaRPr lang="en-GB"/>
        </a:p>
      </dgm:t>
    </dgm:pt>
    <dgm:pt modelId="{C982A356-3986-4347-AE23-311388D21D45}">
      <dgm:prSet/>
      <dgm:spPr/>
      <dgm:t>
        <a:bodyPr/>
        <a:lstStyle/>
        <a:p>
          <a:pPr>
            <a:buNone/>
          </a:pPr>
          <a:r>
            <a:rPr lang="en-GB"/>
            <a:t>Recall set by individual risk level (1–24 months)</a:t>
          </a:r>
        </a:p>
      </dgm:t>
    </dgm:pt>
    <dgm:pt modelId="{7EAB3ADB-C854-4AF0-BC59-E6C31F0F5945}" type="parTrans" cxnId="{57538788-5600-4667-A6F6-44B3C9444BBB}">
      <dgm:prSet/>
      <dgm:spPr/>
      <dgm:t>
        <a:bodyPr/>
        <a:lstStyle/>
        <a:p>
          <a:endParaRPr lang="en-GB"/>
        </a:p>
      </dgm:t>
    </dgm:pt>
    <dgm:pt modelId="{AC4F87C7-6482-4DC7-AC30-97D2A0DA5DDF}" type="sibTrans" cxnId="{57538788-5600-4667-A6F6-44B3C9444BBB}">
      <dgm:prSet/>
      <dgm:spPr/>
      <dgm:t>
        <a:bodyPr/>
        <a:lstStyle/>
        <a:p>
          <a:endParaRPr lang="en-GB"/>
        </a:p>
      </dgm:t>
    </dgm:pt>
    <dgm:pt modelId="{86C97A5B-1C78-4CC0-8CEE-542882DC78D3}" type="pres">
      <dgm:prSet presAssocID="{A49E55DE-FDB9-4648-BAFB-2E78362A94B4}" presName="Name0" presStyleCnt="0">
        <dgm:presLayoutVars>
          <dgm:dir/>
          <dgm:animLvl val="lvl"/>
          <dgm:resizeHandles/>
        </dgm:presLayoutVars>
      </dgm:prSet>
      <dgm:spPr/>
    </dgm:pt>
    <dgm:pt modelId="{43DEE476-5A3D-4E0F-92F4-BAF74E066742}" type="pres">
      <dgm:prSet presAssocID="{12D16680-E78A-465B-8BCB-2AFE9E7020D2}" presName="linNode" presStyleCnt="0"/>
      <dgm:spPr/>
    </dgm:pt>
    <dgm:pt modelId="{7015E2FB-C463-458D-87A6-5A6CFD44F291}" type="pres">
      <dgm:prSet presAssocID="{12D16680-E78A-465B-8BCB-2AFE9E7020D2}" presName="parentShp" presStyleLbl="node1" presStyleIdx="0" presStyleCnt="5">
        <dgm:presLayoutVars>
          <dgm:bulletEnabled val="1"/>
        </dgm:presLayoutVars>
      </dgm:prSet>
      <dgm:spPr/>
    </dgm:pt>
    <dgm:pt modelId="{E8953DC4-D8F1-49AF-B7C9-D23469CCC961}" type="pres">
      <dgm:prSet presAssocID="{12D16680-E78A-465B-8BCB-2AFE9E7020D2}" presName="childShp" presStyleLbl="bgAccFollowNode1" presStyleIdx="0" presStyleCnt="5">
        <dgm:presLayoutVars>
          <dgm:bulletEnabled val="1"/>
        </dgm:presLayoutVars>
      </dgm:prSet>
      <dgm:spPr/>
    </dgm:pt>
    <dgm:pt modelId="{668D7EB0-0969-4CA6-B8EA-19D09EF800A4}" type="pres">
      <dgm:prSet presAssocID="{E0C810F6-ADD2-42F8-8285-D3641A60D195}" presName="spacing" presStyleCnt="0"/>
      <dgm:spPr/>
    </dgm:pt>
    <dgm:pt modelId="{45ADA61A-FFE8-4184-8780-0D5CACD311E8}" type="pres">
      <dgm:prSet presAssocID="{62C502EB-B160-4F5C-B47C-052369D3218A}" presName="linNode" presStyleCnt="0"/>
      <dgm:spPr/>
    </dgm:pt>
    <dgm:pt modelId="{528D4B64-A764-4C4F-B12D-06C9F4653B53}" type="pres">
      <dgm:prSet presAssocID="{62C502EB-B160-4F5C-B47C-052369D3218A}" presName="parentShp" presStyleLbl="node1" presStyleIdx="1" presStyleCnt="5">
        <dgm:presLayoutVars>
          <dgm:bulletEnabled val="1"/>
        </dgm:presLayoutVars>
      </dgm:prSet>
      <dgm:spPr/>
    </dgm:pt>
    <dgm:pt modelId="{8329A10A-7C84-45D3-B938-F0D4D71A973A}" type="pres">
      <dgm:prSet presAssocID="{62C502EB-B160-4F5C-B47C-052369D3218A}" presName="childShp" presStyleLbl="bgAccFollowNode1" presStyleIdx="1" presStyleCnt="5">
        <dgm:presLayoutVars>
          <dgm:bulletEnabled val="1"/>
        </dgm:presLayoutVars>
      </dgm:prSet>
      <dgm:spPr/>
    </dgm:pt>
    <dgm:pt modelId="{8D3893C7-7B4A-40A6-B83E-C7B5463B4426}" type="pres">
      <dgm:prSet presAssocID="{495F413C-69E2-4D72-AC7F-1F593F7B565C}" presName="spacing" presStyleCnt="0"/>
      <dgm:spPr/>
    </dgm:pt>
    <dgm:pt modelId="{C59B4F5E-DA64-49AF-ACC7-FBF358BEC0CE}" type="pres">
      <dgm:prSet presAssocID="{995DD4EA-B472-4487-925D-F8C6C22C699A}" presName="linNode" presStyleCnt="0"/>
      <dgm:spPr/>
    </dgm:pt>
    <dgm:pt modelId="{938FA97B-816A-41C9-A2E1-5A06D498F986}" type="pres">
      <dgm:prSet presAssocID="{995DD4EA-B472-4487-925D-F8C6C22C699A}" presName="parentShp" presStyleLbl="node1" presStyleIdx="2" presStyleCnt="5">
        <dgm:presLayoutVars>
          <dgm:bulletEnabled val="1"/>
        </dgm:presLayoutVars>
      </dgm:prSet>
      <dgm:spPr/>
    </dgm:pt>
    <dgm:pt modelId="{514FE9E7-F2CE-4676-A040-7A9E4B974071}" type="pres">
      <dgm:prSet presAssocID="{995DD4EA-B472-4487-925D-F8C6C22C699A}" presName="childShp" presStyleLbl="bgAccFollowNode1" presStyleIdx="2" presStyleCnt="5">
        <dgm:presLayoutVars>
          <dgm:bulletEnabled val="1"/>
        </dgm:presLayoutVars>
      </dgm:prSet>
      <dgm:spPr/>
    </dgm:pt>
    <dgm:pt modelId="{82A3836A-EC75-4DD0-93DB-AC1516BEDCF2}" type="pres">
      <dgm:prSet presAssocID="{357EBEB6-4CEC-4849-AB7B-D7185BC82D2B}" presName="spacing" presStyleCnt="0"/>
      <dgm:spPr/>
    </dgm:pt>
    <dgm:pt modelId="{473CE313-6BED-425A-80BA-82E1FA1382CB}" type="pres">
      <dgm:prSet presAssocID="{AAB09616-28A7-4C19-ACCA-90FE6149C0B2}" presName="linNode" presStyleCnt="0"/>
      <dgm:spPr/>
    </dgm:pt>
    <dgm:pt modelId="{96C155A4-EF9F-4B8D-89EC-B73EF04DE0BC}" type="pres">
      <dgm:prSet presAssocID="{AAB09616-28A7-4C19-ACCA-90FE6149C0B2}" presName="parentShp" presStyleLbl="node1" presStyleIdx="3" presStyleCnt="5">
        <dgm:presLayoutVars>
          <dgm:bulletEnabled val="1"/>
        </dgm:presLayoutVars>
      </dgm:prSet>
      <dgm:spPr/>
    </dgm:pt>
    <dgm:pt modelId="{02819E5B-17F9-4325-A92C-9FC8F1AE2C8A}" type="pres">
      <dgm:prSet presAssocID="{AAB09616-28A7-4C19-ACCA-90FE6149C0B2}" presName="childShp" presStyleLbl="bgAccFollowNode1" presStyleIdx="3" presStyleCnt="5">
        <dgm:presLayoutVars>
          <dgm:bulletEnabled val="1"/>
        </dgm:presLayoutVars>
      </dgm:prSet>
      <dgm:spPr/>
    </dgm:pt>
    <dgm:pt modelId="{E3F696B9-4DF7-42BF-AD83-229C6CB8FF59}" type="pres">
      <dgm:prSet presAssocID="{AB458DB0-2571-4BE5-99FE-B02B74372A61}" presName="spacing" presStyleCnt="0"/>
      <dgm:spPr/>
    </dgm:pt>
    <dgm:pt modelId="{1E32E39E-FDFC-4F9F-BABC-B786E1B61A7E}" type="pres">
      <dgm:prSet presAssocID="{0DA4FFF6-E41F-4C5B-AD2C-5B8EBF37CFE4}" presName="linNode" presStyleCnt="0"/>
      <dgm:spPr/>
    </dgm:pt>
    <dgm:pt modelId="{A6F9224E-F337-40EF-8DE7-31D344070F9E}" type="pres">
      <dgm:prSet presAssocID="{0DA4FFF6-E41F-4C5B-AD2C-5B8EBF37CFE4}" presName="parentShp" presStyleLbl="node1" presStyleIdx="4" presStyleCnt="5">
        <dgm:presLayoutVars>
          <dgm:bulletEnabled val="1"/>
        </dgm:presLayoutVars>
      </dgm:prSet>
      <dgm:spPr/>
    </dgm:pt>
    <dgm:pt modelId="{B45CE6D7-E648-4104-A035-20DABBEFF911}" type="pres">
      <dgm:prSet presAssocID="{0DA4FFF6-E41F-4C5B-AD2C-5B8EBF37CFE4}" presName="childShp" presStyleLbl="bgAccFollowNode1" presStyleIdx="4" presStyleCnt="5">
        <dgm:presLayoutVars>
          <dgm:bulletEnabled val="1"/>
        </dgm:presLayoutVars>
      </dgm:prSet>
      <dgm:spPr/>
    </dgm:pt>
  </dgm:ptLst>
  <dgm:cxnLst>
    <dgm:cxn modelId="{82F96808-A5C5-4F90-80F0-E9AA07D944A1}" type="presOf" srcId="{995DD4EA-B472-4487-925D-F8C6C22C699A}" destId="{938FA97B-816A-41C9-A2E1-5A06D498F986}" srcOrd="0" destOrd="0" presId="urn:microsoft.com/office/officeart/2005/8/layout/vList6"/>
    <dgm:cxn modelId="{30087111-942E-4C82-81B6-5513BD5D637F}" srcId="{AAB09616-28A7-4C19-ACCA-90FE6149C0B2}" destId="{6EC986E8-5434-4A04-AD00-5600E67E8EC1}" srcOrd="0" destOrd="0" parTransId="{0A5679C7-5292-42E5-A23C-97AC6A10E8DF}" sibTransId="{118C3921-AF5F-4AA9-8AD6-1D09EF43B2C6}"/>
    <dgm:cxn modelId="{01B8FB15-F2D7-4195-A506-B8A0A3F9D443}" srcId="{A49E55DE-FDB9-4648-BAFB-2E78362A94B4}" destId="{12D16680-E78A-465B-8BCB-2AFE9E7020D2}" srcOrd="0" destOrd="0" parTransId="{1C8D0291-C9D0-4834-A3FB-90ED9FFA1CB5}" sibTransId="{E0C810F6-ADD2-42F8-8285-D3641A60D195}"/>
    <dgm:cxn modelId="{E7F91048-61A6-46BA-BA5D-63ABFA3FA194}" srcId="{A49E55DE-FDB9-4648-BAFB-2E78362A94B4}" destId="{AAB09616-28A7-4C19-ACCA-90FE6149C0B2}" srcOrd="3" destOrd="0" parTransId="{EDCB606B-BEAE-4331-82A3-1A401694B7E1}" sibTransId="{AB458DB0-2571-4BE5-99FE-B02B74372A61}"/>
    <dgm:cxn modelId="{DBC65E6C-78F5-4927-A512-29C99E44E097}" srcId="{995DD4EA-B472-4487-925D-F8C6C22C699A}" destId="{18C1E453-C7EF-445C-87C5-6ED3DD12F5D5}" srcOrd="0" destOrd="0" parTransId="{B320F23B-8A29-45F4-A015-2F99F475FB9B}" sibTransId="{0A1035AA-3B3B-4CE8-9641-ADA7E38B1E00}"/>
    <dgm:cxn modelId="{551BE879-5506-461C-9E2D-BD0CA5833DDA}" srcId="{A49E55DE-FDB9-4648-BAFB-2E78362A94B4}" destId="{995DD4EA-B472-4487-925D-F8C6C22C699A}" srcOrd="2" destOrd="0" parTransId="{B9C4B90B-4756-40B2-85B1-D625777716AE}" sibTransId="{357EBEB6-4CEC-4849-AB7B-D7185BC82D2B}"/>
    <dgm:cxn modelId="{FACBC086-2AE1-46E3-8BD1-92FFEEE592D3}" srcId="{62C502EB-B160-4F5C-B47C-052369D3218A}" destId="{5E8880DF-F37B-423C-8D47-91D2E767A4D6}" srcOrd="0" destOrd="0" parTransId="{B36C8A81-ED42-4D8D-8D0B-D0AD3D2ABAA7}" sibTransId="{57799F11-13A6-4E41-B5B9-72F4E220783B}"/>
    <dgm:cxn modelId="{83126488-4AAC-4FD6-A890-B1076668439D}" type="presOf" srcId="{C982A356-3986-4347-AE23-311388D21D45}" destId="{B45CE6D7-E648-4104-A035-20DABBEFF911}" srcOrd="0" destOrd="0" presId="urn:microsoft.com/office/officeart/2005/8/layout/vList6"/>
    <dgm:cxn modelId="{57538788-5600-4667-A6F6-44B3C9444BBB}" srcId="{0DA4FFF6-E41F-4C5B-AD2C-5B8EBF37CFE4}" destId="{C982A356-3986-4347-AE23-311388D21D45}" srcOrd="0" destOrd="0" parTransId="{7EAB3ADB-C854-4AF0-BC59-E6C31F0F5945}" sibTransId="{AC4F87C7-6482-4DC7-AC30-97D2A0DA5DDF}"/>
    <dgm:cxn modelId="{12DC0289-578F-42A1-B376-E50CFF5E88CF}" srcId="{A49E55DE-FDB9-4648-BAFB-2E78362A94B4}" destId="{0DA4FFF6-E41F-4C5B-AD2C-5B8EBF37CFE4}" srcOrd="4" destOrd="0" parTransId="{EF1D1FD3-34E0-4BBC-884C-4EE8FE6D8CDE}" sibTransId="{124BD01E-B931-4171-BB9D-2E2A23853FE2}"/>
    <dgm:cxn modelId="{60C5BA8A-AC58-4A1D-AEA8-AC4631A70820}" type="presOf" srcId="{180B23B3-F554-4DDB-A172-D8429D0B8364}" destId="{E8953DC4-D8F1-49AF-B7C9-D23469CCC961}" srcOrd="0" destOrd="0" presId="urn:microsoft.com/office/officeart/2005/8/layout/vList6"/>
    <dgm:cxn modelId="{4A382DA5-278E-4638-992E-7F0EC329E6C8}" type="presOf" srcId="{18C1E453-C7EF-445C-87C5-6ED3DD12F5D5}" destId="{514FE9E7-F2CE-4676-A040-7A9E4B974071}" srcOrd="0" destOrd="0" presId="urn:microsoft.com/office/officeart/2005/8/layout/vList6"/>
    <dgm:cxn modelId="{13EA4FAB-E624-4ECA-84F1-9D0EBB36FC01}" type="presOf" srcId="{0DA4FFF6-E41F-4C5B-AD2C-5B8EBF37CFE4}" destId="{A6F9224E-F337-40EF-8DE7-31D344070F9E}" srcOrd="0" destOrd="0" presId="urn:microsoft.com/office/officeart/2005/8/layout/vList6"/>
    <dgm:cxn modelId="{5BB3ABB7-3810-4FA9-8424-327D87F62040}" type="presOf" srcId="{AAB09616-28A7-4C19-ACCA-90FE6149C0B2}" destId="{96C155A4-EF9F-4B8D-89EC-B73EF04DE0BC}" srcOrd="0" destOrd="0" presId="urn:microsoft.com/office/officeart/2005/8/layout/vList6"/>
    <dgm:cxn modelId="{FA315EBB-04BA-424F-AE16-FEF1B2240E39}" type="presOf" srcId="{12D16680-E78A-465B-8BCB-2AFE9E7020D2}" destId="{7015E2FB-C463-458D-87A6-5A6CFD44F291}" srcOrd="0" destOrd="0" presId="urn:microsoft.com/office/officeart/2005/8/layout/vList6"/>
    <dgm:cxn modelId="{D63C31BC-3581-4811-8756-5458A5FE008C}" type="presOf" srcId="{5E8880DF-F37B-423C-8D47-91D2E767A4D6}" destId="{8329A10A-7C84-45D3-B938-F0D4D71A973A}" srcOrd="0" destOrd="0" presId="urn:microsoft.com/office/officeart/2005/8/layout/vList6"/>
    <dgm:cxn modelId="{B02C10C1-D81B-4D58-921A-B205E2ADAA28}" srcId="{12D16680-E78A-465B-8BCB-2AFE9E7020D2}" destId="{180B23B3-F554-4DDB-A172-D8429D0B8364}" srcOrd="0" destOrd="0" parTransId="{4CD8324C-7F63-4E29-AE6A-B9645E3CE8E5}" sibTransId="{7ABE8A8B-95DE-4024-9833-8EBEEF3620D7}"/>
    <dgm:cxn modelId="{30AEA8C8-3ED0-47E9-B8DA-9E49302C7099}" type="presOf" srcId="{6EC986E8-5434-4A04-AD00-5600E67E8EC1}" destId="{02819E5B-17F9-4325-A92C-9FC8F1AE2C8A}" srcOrd="0" destOrd="0" presId="urn:microsoft.com/office/officeart/2005/8/layout/vList6"/>
    <dgm:cxn modelId="{C79D08E1-21F4-4349-AE62-98BA9C966C7F}" srcId="{A49E55DE-FDB9-4648-BAFB-2E78362A94B4}" destId="{62C502EB-B160-4F5C-B47C-052369D3218A}" srcOrd="1" destOrd="0" parTransId="{4848CA3D-3C57-4B4E-8277-E30FA92AD5F4}" sibTransId="{495F413C-69E2-4D72-AC7F-1F593F7B565C}"/>
    <dgm:cxn modelId="{9FD67EE6-E131-4B07-8EBE-CEA271BD7374}" type="presOf" srcId="{62C502EB-B160-4F5C-B47C-052369D3218A}" destId="{528D4B64-A764-4C4F-B12D-06C9F4653B53}" srcOrd="0" destOrd="0" presId="urn:microsoft.com/office/officeart/2005/8/layout/vList6"/>
    <dgm:cxn modelId="{2CF2CEF6-0765-4B0C-B769-6EAEDBDE4E68}" type="presOf" srcId="{A49E55DE-FDB9-4648-BAFB-2E78362A94B4}" destId="{86C97A5B-1C78-4CC0-8CEE-542882DC78D3}" srcOrd="0" destOrd="0" presId="urn:microsoft.com/office/officeart/2005/8/layout/vList6"/>
    <dgm:cxn modelId="{E71F1B29-B302-49E1-89E1-8B4334A1F4BC}" type="presParOf" srcId="{86C97A5B-1C78-4CC0-8CEE-542882DC78D3}" destId="{43DEE476-5A3D-4E0F-92F4-BAF74E066742}" srcOrd="0" destOrd="0" presId="urn:microsoft.com/office/officeart/2005/8/layout/vList6"/>
    <dgm:cxn modelId="{B4B2FDC1-A916-4D3F-82EB-637B55E79A3C}" type="presParOf" srcId="{43DEE476-5A3D-4E0F-92F4-BAF74E066742}" destId="{7015E2FB-C463-458D-87A6-5A6CFD44F291}" srcOrd="0" destOrd="0" presId="urn:microsoft.com/office/officeart/2005/8/layout/vList6"/>
    <dgm:cxn modelId="{83DEA14C-506C-4F2A-9E88-7DA04C4B923E}" type="presParOf" srcId="{43DEE476-5A3D-4E0F-92F4-BAF74E066742}" destId="{E8953DC4-D8F1-49AF-B7C9-D23469CCC961}" srcOrd="1" destOrd="0" presId="urn:microsoft.com/office/officeart/2005/8/layout/vList6"/>
    <dgm:cxn modelId="{86D465B2-BAD0-40EC-9226-7E7A4832E6E8}" type="presParOf" srcId="{86C97A5B-1C78-4CC0-8CEE-542882DC78D3}" destId="{668D7EB0-0969-4CA6-B8EA-19D09EF800A4}" srcOrd="1" destOrd="0" presId="urn:microsoft.com/office/officeart/2005/8/layout/vList6"/>
    <dgm:cxn modelId="{4FAC4B1A-A89F-4378-8633-8866C85C6B5D}" type="presParOf" srcId="{86C97A5B-1C78-4CC0-8CEE-542882DC78D3}" destId="{45ADA61A-FFE8-4184-8780-0D5CACD311E8}" srcOrd="2" destOrd="0" presId="urn:microsoft.com/office/officeart/2005/8/layout/vList6"/>
    <dgm:cxn modelId="{4851B19A-F76C-4F89-9550-E8F7D5B0F648}" type="presParOf" srcId="{45ADA61A-FFE8-4184-8780-0D5CACD311E8}" destId="{528D4B64-A764-4C4F-B12D-06C9F4653B53}" srcOrd="0" destOrd="0" presId="urn:microsoft.com/office/officeart/2005/8/layout/vList6"/>
    <dgm:cxn modelId="{A7FEBF65-8836-4EFC-92F9-E2DB05D69267}" type="presParOf" srcId="{45ADA61A-FFE8-4184-8780-0D5CACD311E8}" destId="{8329A10A-7C84-45D3-B938-F0D4D71A973A}" srcOrd="1" destOrd="0" presId="urn:microsoft.com/office/officeart/2005/8/layout/vList6"/>
    <dgm:cxn modelId="{2E220F0F-1412-4AA5-AEBB-A1C4336325C8}" type="presParOf" srcId="{86C97A5B-1C78-4CC0-8CEE-542882DC78D3}" destId="{8D3893C7-7B4A-40A6-B83E-C7B5463B4426}" srcOrd="3" destOrd="0" presId="urn:microsoft.com/office/officeart/2005/8/layout/vList6"/>
    <dgm:cxn modelId="{8296B1D1-C20D-47D0-8E15-63302ABFE8A2}" type="presParOf" srcId="{86C97A5B-1C78-4CC0-8CEE-542882DC78D3}" destId="{C59B4F5E-DA64-49AF-ACC7-FBF358BEC0CE}" srcOrd="4" destOrd="0" presId="urn:microsoft.com/office/officeart/2005/8/layout/vList6"/>
    <dgm:cxn modelId="{09E1C92B-DEE3-428A-B4AD-D665F53BF2F5}" type="presParOf" srcId="{C59B4F5E-DA64-49AF-ACC7-FBF358BEC0CE}" destId="{938FA97B-816A-41C9-A2E1-5A06D498F986}" srcOrd="0" destOrd="0" presId="urn:microsoft.com/office/officeart/2005/8/layout/vList6"/>
    <dgm:cxn modelId="{14249EA4-CDF8-4CB9-9051-2F197ED129ED}" type="presParOf" srcId="{C59B4F5E-DA64-49AF-ACC7-FBF358BEC0CE}" destId="{514FE9E7-F2CE-4676-A040-7A9E4B974071}" srcOrd="1" destOrd="0" presId="urn:microsoft.com/office/officeart/2005/8/layout/vList6"/>
    <dgm:cxn modelId="{4BB1C463-BE28-4936-953B-538875545904}" type="presParOf" srcId="{86C97A5B-1C78-4CC0-8CEE-542882DC78D3}" destId="{82A3836A-EC75-4DD0-93DB-AC1516BEDCF2}" srcOrd="5" destOrd="0" presId="urn:microsoft.com/office/officeart/2005/8/layout/vList6"/>
    <dgm:cxn modelId="{8AF8A381-8003-4FA4-AD5B-C064FF29529E}" type="presParOf" srcId="{86C97A5B-1C78-4CC0-8CEE-542882DC78D3}" destId="{473CE313-6BED-425A-80BA-82E1FA1382CB}" srcOrd="6" destOrd="0" presId="urn:microsoft.com/office/officeart/2005/8/layout/vList6"/>
    <dgm:cxn modelId="{C0EFFCA6-F51E-4938-8397-1AAA7CEC52B0}" type="presParOf" srcId="{473CE313-6BED-425A-80BA-82E1FA1382CB}" destId="{96C155A4-EF9F-4B8D-89EC-B73EF04DE0BC}" srcOrd="0" destOrd="0" presId="urn:microsoft.com/office/officeart/2005/8/layout/vList6"/>
    <dgm:cxn modelId="{B8A36A52-4789-4F6B-ACF1-7C7E5F41DCE7}" type="presParOf" srcId="{473CE313-6BED-425A-80BA-82E1FA1382CB}" destId="{02819E5B-17F9-4325-A92C-9FC8F1AE2C8A}" srcOrd="1" destOrd="0" presId="urn:microsoft.com/office/officeart/2005/8/layout/vList6"/>
    <dgm:cxn modelId="{4C15E6DA-3726-4FCB-B551-00FB345DEAAF}" type="presParOf" srcId="{86C97A5B-1C78-4CC0-8CEE-542882DC78D3}" destId="{E3F696B9-4DF7-42BF-AD83-229C6CB8FF59}" srcOrd="7" destOrd="0" presId="urn:microsoft.com/office/officeart/2005/8/layout/vList6"/>
    <dgm:cxn modelId="{F7DD5AE9-D359-42FA-965A-05A1CE5EC04C}" type="presParOf" srcId="{86C97A5B-1C78-4CC0-8CEE-542882DC78D3}" destId="{1E32E39E-FDFC-4F9F-BABC-B786E1B61A7E}" srcOrd="8" destOrd="0" presId="urn:microsoft.com/office/officeart/2005/8/layout/vList6"/>
    <dgm:cxn modelId="{0890C4FE-4554-412D-A312-CEE5523A4223}" type="presParOf" srcId="{1E32E39E-FDFC-4F9F-BABC-B786E1B61A7E}" destId="{A6F9224E-F337-40EF-8DE7-31D344070F9E}" srcOrd="0" destOrd="0" presId="urn:microsoft.com/office/officeart/2005/8/layout/vList6"/>
    <dgm:cxn modelId="{88771935-2F0C-46AB-A2A6-A26FE1AF5F3C}" type="presParOf" srcId="{1E32E39E-FDFC-4F9F-BABC-B786E1B61A7E}" destId="{B45CE6D7-E648-4104-A035-20DABBEFF911}" srcOrd="1" destOrd="0" presId="urn:microsoft.com/office/officeart/2005/8/layout/vList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953DC4-D8F1-49AF-B7C9-D23469CCC961}">
      <dsp:nvSpPr>
        <dsp:cNvPr id="0" name=""/>
        <dsp:cNvSpPr/>
      </dsp:nvSpPr>
      <dsp:spPr>
        <a:xfrm>
          <a:off x="872997" y="964"/>
          <a:ext cx="1309497" cy="522459"/>
        </a:xfrm>
        <a:prstGeom prst="rightArrow">
          <a:avLst>
            <a:gd name="adj1" fmla="val 75000"/>
            <a:gd name="adj2" fmla="val 50000"/>
          </a:avLst>
        </a:prstGeom>
        <a:solidFill>
          <a:schemeClr val="accent2">
            <a:tint val="40000"/>
            <a:alpha val="90000"/>
            <a:hueOff val="0"/>
            <a:satOff val="0"/>
            <a:lumOff val="0"/>
            <a:alphaOff val="0"/>
          </a:schemeClr>
        </a:solidFill>
        <a:ln w="1905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Patient registers with an NHS dental practice</a:t>
          </a:r>
        </a:p>
      </dsp:txBody>
      <dsp:txXfrm>
        <a:off x="872997" y="66271"/>
        <a:ext cx="1113575" cy="391845"/>
      </dsp:txXfrm>
    </dsp:sp>
    <dsp:sp modelId="{7015E2FB-C463-458D-87A6-5A6CFD44F291}">
      <dsp:nvSpPr>
        <dsp:cNvPr id="0" name=""/>
        <dsp:cNvSpPr/>
      </dsp:nvSpPr>
      <dsp:spPr>
        <a:xfrm>
          <a:off x="0" y="964"/>
          <a:ext cx="872998" cy="522459"/>
        </a:xfrm>
        <a:prstGeom prst="round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Registration </a:t>
          </a:r>
        </a:p>
      </dsp:txBody>
      <dsp:txXfrm>
        <a:off x="25504" y="26468"/>
        <a:ext cx="821990" cy="471451"/>
      </dsp:txXfrm>
    </dsp:sp>
    <dsp:sp modelId="{8329A10A-7C84-45D3-B938-F0D4D71A973A}">
      <dsp:nvSpPr>
        <dsp:cNvPr id="0" name=""/>
        <dsp:cNvSpPr/>
      </dsp:nvSpPr>
      <dsp:spPr>
        <a:xfrm>
          <a:off x="872997" y="575670"/>
          <a:ext cx="1309497" cy="522459"/>
        </a:xfrm>
        <a:prstGeom prst="rightArrow">
          <a:avLst>
            <a:gd name="adj1" fmla="val 75000"/>
            <a:gd name="adj2" fmla="val 50000"/>
          </a:avLst>
        </a:prstGeom>
        <a:solidFill>
          <a:schemeClr val="accent2">
            <a:tint val="40000"/>
            <a:alpha val="90000"/>
            <a:hueOff val="1683680"/>
            <a:satOff val="-15558"/>
            <a:lumOff val="-1754"/>
            <a:alphaOff val="0"/>
          </a:schemeClr>
        </a:solidFill>
        <a:ln w="19050" cap="flat" cmpd="sng" algn="ctr">
          <a:solidFill>
            <a:schemeClr val="accent2">
              <a:tint val="40000"/>
              <a:alpha val="90000"/>
              <a:hueOff val="1683680"/>
              <a:satOff val="-15558"/>
              <a:lumOff val="-175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Dentist assesses clinical need and urgency</a:t>
          </a:r>
        </a:p>
      </dsp:txBody>
      <dsp:txXfrm>
        <a:off x="872997" y="640977"/>
        <a:ext cx="1113575" cy="391845"/>
      </dsp:txXfrm>
    </dsp:sp>
    <dsp:sp modelId="{528D4B64-A764-4C4F-B12D-06C9F4653B53}">
      <dsp:nvSpPr>
        <dsp:cNvPr id="0" name=""/>
        <dsp:cNvSpPr/>
      </dsp:nvSpPr>
      <dsp:spPr>
        <a:xfrm>
          <a:off x="0" y="575670"/>
          <a:ext cx="872998" cy="522459"/>
        </a:xfrm>
        <a:prstGeom prst="roundRect">
          <a:avLst/>
        </a:prstGeom>
        <a:solidFill>
          <a:schemeClr val="accent2">
            <a:hueOff val="1610903"/>
            <a:satOff val="-4623"/>
            <a:lumOff val="-7402"/>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Triage and Assessment </a:t>
          </a:r>
        </a:p>
      </dsp:txBody>
      <dsp:txXfrm>
        <a:off x="25504" y="601174"/>
        <a:ext cx="821990" cy="471451"/>
      </dsp:txXfrm>
    </dsp:sp>
    <dsp:sp modelId="{514FE9E7-F2CE-4676-A040-7A9E4B974071}">
      <dsp:nvSpPr>
        <dsp:cNvPr id="0" name=""/>
        <dsp:cNvSpPr/>
      </dsp:nvSpPr>
      <dsp:spPr>
        <a:xfrm>
          <a:off x="872997" y="1150375"/>
          <a:ext cx="1309497" cy="522459"/>
        </a:xfrm>
        <a:prstGeom prst="rightArrow">
          <a:avLst>
            <a:gd name="adj1" fmla="val 75000"/>
            <a:gd name="adj2" fmla="val 50000"/>
          </a:avLst>
        </a:prstGeom>
        <a:solidFill>
          <a:schemeClr val="accent2">
            <a:tint val="40000"/>
            <a:alpha val="90000"/>
            <a:hueOff val="3367359"/>
            <a:satOff val="-31116"/>
            <a:lumOff val="-3508"/>
            <a:alphaOff val="0"/>
          </a:schemeClr>
        </a:solidFill>
        <a:ln w="19050" cap="flat" cmpd="sng" algn="ctr">
          <a:solidFill>
            <a:schemeClr val="accent2">
              <a:tint val="40000"/>
              <a:alpha val="90000"/>
              <a:hueOff val="3367359"/>
              <a:satOff val="-31116"/>
              <a:lumOff val="-35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Treatment placed into Band 1, 2, or 3</a:t>
          </a:r>
        </a:p>
      </dsp:txBody>
      <dsp:txXfrm>
        <a:off x="872997" y="1215682"/>
        <a:ext cx="1113575" cy="391845"/>
      </dsp:txXfrm>
    </dsp:sp>
    <dsp:sp modelId="{938FA97B-816A-41C9-A2E1-5A06D498F986}">
      <dsp:nvSpPr>
        <dsp:cNvPr id="0" name=""/>
        <dsp:cNvSpPr/>
      </dsp:nvSpPr>
      <dsp:spPr>
        <a:xfrm>
          <a:off x="0" y="1150375"/>
          <a:ext cx="872998" cy="522459"/>
        </a:xfrm>
        <a:prstGeom prst="roundRect">
          <a:avLst/>
        </a:prstGeom>
        <a:solidFill>
          <a:schemeClr val="accent2">
            <a:hueOff val="3221807"/>
            <a:satOff val="-9246"/>
            <a:lumOff val="-1480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Treatment Plan </a:t>
          </a:r>
        </a:p>
      </dsp:txBody>
      <dsp:txXfrm>
        <a:off x="25504" y="1175879"/>
        <a:ext cx="821990" cy="471451"/>
      </dsp:txXfrm>
    </dsp:sp>
    <dsp:sp modelId="{02819E5B-17F9-4325-A92C-9FC8F1AE2C8A}">
      <dsp:nvSpPr>
        <dsp:cNvPr id="0" name=""/>
        <dsp:cNvSpPr/>
      </dsp:nvSpPr>
      <dsp:spPr>
        <a:xfrm>
          <a:off x="872997" y="1725080"/>
          <a:ext cx="1309497" cy="522459"/>
        </a:xfrm>
        <a:prstGeom prst="rightArrow">
          <a:avLst>
            <a:gd name="adj1" fmla="val 75000"/>
            <a:gd name="adj2" fmla="val 50000"/>
          </a:avLst>
        </a:prstGeom>
        <a:solidFill>
          <a:schemeClr val="accent2">
            <a:tint val="40000"/>
            <a:alpha val="90000"/>
            <a:hueOff val="5051039"/>
            <a:satOff val="-46674"/>
            <a:lumOff val="-5261"/>
            <a:alphaOff val="0"/>
          </a:schemeClr>
        </a:solidFill>
        <a:ln w="19050" cap="flat" cmpd="sng" algn="ctr">
          <a:solidFill>
            <a:schemeClr val="accent2">
              <a:tint val="40000"/>
              <a:alpha val="90000"/>
              <a:hueOff val="5051039"/>
              <a:satOff val="-46674"/>
              <a:lumOff val="-52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Care given; patient pays the fixed band charge</a:t>
          </a:r>
        </a:p>
      </dsp:txBody>
      <dsp:txXfrm>
        <a:off x="872997" y="1790387"/>
        <a:ext cx="1113575" cy="391845"/>
      </dsp:txXfrm>
    </dsp:sp>
    <dsp:sp modelId="{96C155A4-EF9F-4B8D-89EC-B73EF04DE0BC}">
      <dsp:nvSpPr>
        <dsp:cNvPr id="0" name=""/>
        <dsp:cNvSpPr/>
      </dsp:nvSpPr>
      <dsp:spPr>
        <a:xfrm>
          <a:off x="0" y="1725080"/>
          <a:ext cx="872998" cy="522459"/>
        </a:xfrm>
        <a:prstGeom prst="roundRect">
          <a:avLst/>
        </a:prstGeom>
        <a:solidFill>
          <a:schemeClr val="accent2">
            <a:hueOff val="4832710"/>
            <a:satOff val="-13870"/>
            <a:lumOff val="-22207"/>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Treament Delivered</a:t>
          </a:r>
        </a:p>
      </dsp:txBody>
      <dsp:txXfrm>
        <a:off x="25504" y="1750584"/>
        <a:ext cx="821990" cy="471451"/>
      </dsp:txXfrm>
    </dsp:sp>
    <dsp:sp modelId="{B45CE6D7-E648-4104-A035-20DABBEFF911}">
      <dsp:nvSpPr>
        <dsp:cNvPr id="0" name=""/>
        <dsp:cNvSpPr/>
      </dsp:nvSpPr>
      <dsp:spPr>
        <a:xfrm>
          <a:off x="872997" y="2299785"/>
          <a:ext cx="1309497" cy="522459"/>
        </a:xfrm>
        <a:prstGeom prst="rightArrow">
          <a:avLst>
            <a:gd name="adj1" fmla="val 75000"/>
            <a:gd name="adj2" fmla="val 50000"/>
          </a:avLst>
        </a:prstGeom>
        <a:solidFill>
          <a:schemeClr val="accent2">
            <a:tint val="40000"/>
            <a:alpha val="90000"/>
            <a:hueOff val="6734718"/>
            <a:satOff val="-62232"/>
            <a:lumOff val="-7015"/>
            <a:alphaOff val="0"/>
          </a:schemeClr>
        </a:solidFill>
        <a:ln w="19050" cap="flat" cmpd="sng" algn="ctr">
          <a:solidFill>
            <a:schemeClr val="accent2">
              <a:tint val="40000"/>
              <a:alpha val="90000"/>
              <a:hueOff val="6734718"/>
              <a:satOff val="-62232"/>
              <a:lumOff val="-701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Recall set by individual risk level (1–24 months)</a:t>
          </a:r>
        </a:p>
      </dsp:txBody>
      <dsp:txXfrm>
        <a:off x="872997" y="2365092"/>
        <a:ext cx="1113575" cy="391845"/>
      </dsp:txXfrm>
    </dsp:sp>
    <dsp:sp modelId="{A6F9224E-F337-40EF-8DE7-31D344070F9E}">
      <dsp:nvSpPr>
        <dsp:cNvPr id="0" name=""/>
        <dsp:cNvSpPr/>
      </dsp:nvSpPr>
      <dsp:spPr>
        <a:xfrm>
          <a:off x="0" y="2299785"/>
          <a:ext cx="872998" cy="522459"/>
        </a:xfrm>
        <a:prstGeom prst="roundRect">
          <a:avLst/>
        </a:prstGeom>
        <a:solidFill>
          <a:schemeClr val="accent2">
            <a:hueOff val="6443614"/>
            <a:satOff val="-18493"/>
            <a:lumOff val="-2960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Review and Recall</a:t>
          </a:r>
        </a:p>
      </dsp:txBody>
      <dsp:txXfrm>
        <a:off x="25504" y="2325289"/>
        <a:ext cx="821990" cy="471451"/>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B079E660D24698A0BAEF67B61EA5F5"/>
        <w:category>
          <w:name w:val="General"/>
          <w:gallery w:val="placeholder"/>
        </w:category>
        <w:types>
          <w:type w:val="bbPlcHdr"/>
        </w:types>
        <w:behaviors>
          <w:behavior w:val="content"/>
        </w:behaviors>
        <w:guid w:val="{F8B6E7C7-EE8A-410D-80F5-B5EABF3205DD}"/>
      </w:docPartPr>
      <w:docPartBody>
        <w:p w:rsidR="003F693D" w:rsidRDefault="00BE41EE" w:rsidP="00BE41EE">
          <w:pPr>
            <w:pStyle w:val="A0B079E660D24698A0BAEF67B61EA5F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EE"/>
    <w:rsid w:val="00315F2E"/>
    <w:rsid w:val="00347B0A"/>
    <w:rsid w:val="003F693D"/>
    <w:rsid w:val="0052271B"/>
    <w:rsid w:val="00BA78DF"/>
    <w:rsid w:val="00BE4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B079E660D24698A0BAEF67B61EA5F5">
    <w:name w:val="A0B079E660D24698A0BAEF67B61EA5F5"/>
    <w:rsid w:val="00BE41EE"/>
  </w:style>
  <w:style w:type="paragraph" w:customStyle="1" w:styleId="69C393BB86D942AA99B33C10BA58639A">
    <w:name w:val="69C393BB86D942AA99B33C10BA58639A"/>
    <w:rsid w:val="00BE41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3BA7D26-40B2-4B18-9811-9861F8C8B036}">
  <we:reference id="wa200000368" version="1.0.0.0" store="en-US" storeType="OMEX"/>
  <we:alternateReferences>
    <we:reference id="WA200000368" version="1.0.0.0" store="" storeType="OMEX"/>
  </we:alternateReferences>
  <we:properties>
    <we:property name="documentId" value="&quot;044e4747bc0b17c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3F330-62E5-4362-A048-DC2FF95C4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966</Words>
  <Characters>6523</Characters>
  <Application>Microsoft Office Word</Application>
  <DocSecurity>0</DocSecurity>
  <Lines>138</Lines>
  <Paragraphs>36</Paragraphs>
  <ScaleCrop>false</ScaleCrop>
  <HeadingPairs>
    <vt:vector size="2" baseType="variant">
      <vt:variant>
        <vt:lpstr>Title</vt:lpstr>
      </vt:variant>
      <vt:variant>
        <vt:i4>1</vt:i4>
      </vt:variant>
    </vt:vector>
  </HeadingPairs>
  <TitlesOfParts>
    <vt:vector size="1" baseType="lpstr">
      <vt:lpstr>PORTFOLIO 2 TASK</vt:lpstr>
    </vt:vector>
  </TitlesOfParts>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2 TASK</dc:title>
  <dc:subject/>
  <dc:creator>zoe porter</dc:creator>
  <cp:keywords/>
  <dc:description/>
  <cp:lastModifiedBy>zoe porter</cp:lastModifiedBy>
  <cp:revision>10</cp:revision>
  <dcterms:created xsi:type="dcterms:W3CDTF">2026-06-19T21:17:00Z</dcterms:created>
  <dcterms:modified xsi:type="dcterms:W3CDTF">2026-06-19T21:36:00Z</dcterms:modified>
</cp:coreProperties>
</file>