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95553705"/>
        <w:docPartObj>
          <w:docPartGallery w:val="Cover Pages"/>
          <w:docPartUnique/>
        </w:docPartObj>
      </w:sdtPr>
      <w:sdtEndPr/>
      <w:sdtContent>
        <w:p w14:paraId="127E607A" w14:textId="79495F58" w:rsidR="00CF1DF7" w:rsidRDefault="00CF1DF7" w:rsidP="0008561F">
          <w:pPr>
            <w:jc w:val="center"/>
          </w:pPr>
        </w:p>
        <w:p w14:paraId="0EDBA0BE" w14:textId="5E99B11F" w:rsidR="00E22410" w:rsidRDefault="00E22410" w:rsidP="0008561F">
          <w:pPr>
            <w:jc w:val="center"/>
          </w:pPr>
        </w:p>
        <w:p w14:paraId="492CE474" w14:textId="64D15A01" w:rsidR="00E22410" w:rsidRDefault="00E22410" w:rsidP="0008561F">
          <w:pPr>
            <w:jc w:val="center"/>
          </w:pPr>
        </w:p>
        <w:p w14:paraId="4E76D0D9" w14:textId="3F36F1AB" w:rsidR="00E22410" w:rsidRDefault="00E22410" w:rsidP="0008561F">
          <w:pPr>
            <w:jc w:val="center"/>
          </w:pPr>
        </w:p>
        <w:p w14:paraId="39E208FC" w14:textId="2F7F798C" w:rsidR="00E22410" w:rsidRDefault="00E22410" w:rsidP="0008561F">
          <w:pPr>
            <w:jc w:val="center"/>
          </w:pPr>
        </w:p>
        <w:p w14:paraId="4866CD12" w14:textId="2AD603E2" w:rsidR="00E22410" w:rsidRDefault="00E22410" w:rsidP="0008561F">
          <w:pPr>
            <w:jc w:val="center"/>
          </w:pPr>
        </w:p>
        <w:p w14:paraId="6F5FAE7E" w14:textId="44B61D39" w:rsidR="00E22410" w:rsidRDefault="00E22410" w:rsidP="0008561F">
          <w:pPr>
            <w:jc w:val="center"/>
          </w:pPr>
        </w:p>
        <w:p w14:paraId="198BDA84" w14:textId="254AC662" w:rsidR="00E22410" w:rsidRDefault="00E22410" w:rsidP="0008561F">
          <w:pPr>
            <w:jc w:val="center"/>
          </w:pPr>
        </w:p>
        <w:p w14:paraId="40A95B91" w14:textId="3C2AABD5" w:rsidR="00E22410" w:rsidRDefault="00E22410" w:rsidP="0008561F">
          <w:pPr>
            <w:jc w:val="center"/>
          </w:pPr>
        </w:p>
        <w:p w14:paraId="4C0EE245" w14:textId="77777777" w:rsidR="00E22410" w:rsidRPr="00CF1DF7" w:rsidRDefault="00E22410" w:rsidP="0008561F">
          <w:pPr>
            <w:jc w:val="center"/>
            <w:rPr>
              <w:rFonts w:cs="Times New Roman"/>
              <w:b/>
              <w:bCs/>
              <w:sz w:val="40"/>
              <w:szCs w:val="36"/>
            </w:rPr>
          </w:pPr>
        </w:p>
        <w:p w14:paraId="72F482CC" w14:textId="77777777" w:rsidR="0008561F" w:rsidRPr="000A48EB" w:rsidRDefault="0008561F" w:rsidP="0008561F">
          <w:pPr>
            <w:jc w:val="center"/>
            <w:rPr>
              <w:rFonts w:cs="Times New Roman"/>
              <w:b/>
              <w:sz w:val="40"/>
              <w:szCs w:val="40"/>
            </w:rPr>
          </w:pPr>
          <w:r w:rsidRPr="000A48EB">
            <w:rPr>
              <w:rFonts w:cs="Times New Roman"/>
              <w:b/>
              <w:sz w:val="40"/>
              <w:szCs w:val="40"/>
            </w:rPr>
            <w:t xml:space="preserve">University of Wales </w:t>
          </w:r>
        </w:p>
        <w:p w14:paraId="294AB2C4" w14:textId="77777777" w:rsidR="0008561F" w:rsidRDefault="0008561F" w:rsidP="0008561F">
          <w:pPr>
            <w:jc w:val="center"/>
            <w:rPr>
              <w:rFonts w:cs="Times New Roman"/>
              <w:b/>
              <w:sz w:val="32"/>
              <w:szCs w:val="32"/>
            </w:rPr>
          </w:pPr>
          <w:r>
            <w:rPr>
              <w:rFonts w:cs="Times New Roman"/>
              <w:b/>
              <w:sz w:val="32"/>
              <w:szCs w:val="32"/>
            </w:rPr>
            <w:t xml:space="preserve"> Trinity Saint David </w:t>
          </w:r>
        </w:p>
        <w:p w14:paraId="31B8CDEA" w14:textId="77777777" w:rsidR="0008561F" w:rsidRDefault="0008561F" w:rsidP="0008561F">
          <w:pPr>
            <w:jc w:val="center"/>
            <w:rPr>
              <w:rFonts w:cs="Times New Roman"/>
              <w:b/>
              <w:sz w:val="32"/>
              <w:szCs w:val="32"/>
            </w:rPr>
          </w:pPr>
        </w:p>
        <w:p w14:paraId="19C05324" w14:textId="77777777" w:rsidR="0008561F" w:rsidRDefault="0008561F" w:rsidP="0008561F">
          <w:pPr>
            <w:jc w:val="center"/>
            <w:rPr>
              <w:rFonts w:cs="Times New Roman"/>
              <w:b/>
              <w:sz w:val="32"/>
              <w:szCs w:val="32"/>
            </w:rPr>
          </w:pPr>
          <w:r>
            <w:rPr>
              <w:rFonts w:cs="Times New Roman"/>
              <w:b/>
              <w:sz w:val="32"/>
              <w:szCs w:val="32"/>
            </w:rPr>
            <w:t>MBA – HRM</w:t>
          </w:r>
        </w:p>
        <w:p w14:paraId="02424A59" w14:textId="77777777" w:rsidR="0008561F" w:rsidRDefault="0008561F" w:rsidP="0008561F">
          <w:pPr>
            <w:jc w:val="center"/>
            <w:rPr>
              <w:rFonts w:cs="Times New Roman"/>
              <w:b/>
              <w:sz w:val="32"/>
              <w:szCs w:val="32"/>
            </w:rPr>
          </w:pPr>
        </w:p>
        <w:p w14:paraId="442AE9A3" w14:textId="77777777" w:rsidR="0008561F" w:rsidRDefault="0008561F" w:rsidP="0008561F">
          <w:pPr>
            <w:jc w:val="center"/>
            <w:rPr>
              <w:rFonts w:cs="Times New Roman"/>
              <w:b/>
              <w:sz w:val="32"/>
              <w:szCs w:val="32"/>
            </w:rPr>
          </w:pPr>
          <w:r>
            <w:rPr>
              <w:rFonts w:cs="Times New Roman"/>
              <w:b/>
              <w:sz w:val="32"/>
              <w:szCs w:val="32"/>
            </w:rPr>
            <w:t xml:space="preserve">Petya </w:t>
          </w:r>
          <w:proofErr w:type="spellStart"/>
          <w:r>
            <w:rPr>
              <w:rFonts w:cs="Times New Roman"/>
              <w:b/>
              <w:sz w:val="32"/>
              <w:szCs w:val="32"/>
            </w:rPr>
            <w:t>Slaveva</w:t>
          </w:r>
          <w:proofErr w:type="spellEnd"/>
          <w:r>
            <w:rPr>
              <w:rFonts w:cs="Times New Roman"/>
              <w:b/>
              <w:sz w:val="32"/>
              <w:szCs w:val="32"/>
            </w:rPr>
            <w:t xml:space="preserve"> </w:t>
          </w:r>
          <w:r>
            <w:rPr>
              <w:rFonts w:cs="Times New Roman"/>
              <w:b/>
              <w:sz w:val="32"/>
              <w:szCs w:val="32"/>
            </w:rPr>
            <w:br/>
          </w:r>
        </w:p>
        <w:p w14:paraId="1547D9B3" w14:textId="2853A39A" w:rsidR="00CF1DF7" w:rsidRDefault="0008561F" w:rsidP="0008561F">
          <w:pPr>
            <w:jc w:val="center"/>
            <w:rPr>
              <w:rFonts w:cs="Times New Roman"/>
              <w:b/>
              <w:sz w:val="32"/>
              <w:szCs w:val="32"/>
            </w:rPr>
          </w:pPr>
          <w:r>
            <w:rPr>
              <w:rFonts w:cs="Times New Roman"/>
              <w:b/>
              <w:sz w:val="32"/>
              <w:szCs w:val="32"/>
            </w:rPr>
            <w:t>2014035</w:t>
          </w:r>
        </w:p>
        <w:p w14:paraId="2BB80205" w14:textId="4D3240B3" w:rsidR="005B77FB" w:rsidRDefault="005B77FB" w:rsidP="0008561F">
          <w:pPr>
            <w:jc w:val="center"/>
            <w:rPr>
              <w:rFonts w:cs="Times New Roman"/>
              <w:b/>
              <w:sz w:val="32"/>
              <w:szCs w:val="32"/>
            </w:rPr>
          </w:pPr>
        </w:p>
        <w:p w14:paraId="1BE8E66D" w14:textId="2AB0B2FB" w:rsidR="005B77FB" w:rsidRDefault="005B77FB" w:rsidP="0008561F">
          <w:pPr>
            <w:jc w:val="center"/>
            <w:rPr>
              <w:rFonts w:cs="Times New Roman"/>
              <w:b/>
              <w:sz w:val="32"/>
              <w:szCs w:val="32"/>
            </w:rPr>
          </w:pPr>
          <w:r>
            <w:rPr>
              <w:rFonts w:cs="Times New Roman"/>
              <w:b/>
              <w:sz w:val="32"/>
              <w:szCs w:val="32"/>
            </w:rPr>
            <w:t>Financial Manage</w:t>
          </w:r>
          <w:r w:rsidR="00144BC0">
            <w:rPr>
              <w:rFonts w:cs="Times New Roman"/>
              <w:b/>
              <w:sz w:val="32"/>
              <w:szCs w:val="32"/>
            </w:rPr>
            <w:t xml:space="preserve">ment </w:t>
          </w:r>
        </w:p>
        <w:p w14:paraId="57CF2392" w14:textId="5A20070A" w:rsidR="00144BC0" w:rsidRDefault="00144BC0" w:rsidP="0008561F">
          <w:pPr>
            <w:jc w:val="center"/>
            <w:rPr>
              <w:rFonts w:cs="Times New Roman"/>
              <w:b/>
              <w:sz w:val="32"/>
              <w:szCs w:val="32"/>
            </w:rPr>
          </w:pPr>
          <w:r>
            <w:rPr>
              <w:rFonts w:cs="Times New Roman"/>
              <w:b/>
              <w:sz w:val="32"/>
              <w:szCs w:val="32"/>
            </w:rPr>
            <w:t>LCMB7002</w:t>
          </w:r>
        </w:p>
        <w:p w14:paraId="19BAF3C3" w14:textId="77D31E96" w:rsidR="005C2B36" w:rsidRDefault="005C2B36" w:rsidP="0008561F">
          <w:pPr>
            <w:jc w:val="center"/>
          </w:pPr>
          <w:r>
            <w:rPr>
              <w:rFonts w:cs="Times New Roman"/>
              <w:b/>
              <w:sz w:val="32"/>
              <w:szCs w:val="32"/>
            </w:rPr>
            <w:t>Jia M</w:t>
          </w:r>
          <w:r w:rsidR="00E22410">
            <w:rPr>
              <w:rFonts w:cs="Times New Roman"/>
              <w:b/>
              <w:sz w:val="32"/>
              <w:szCs w:val="32"/>
            </w:rPr>
            <w:t>iao</w:t>
          </w:r>
        </w:p>
        <w:p w14:paraId="00777668" w14:textId="5C981E53" w:rsidR="00CF1DF7" w:rsidRDefault="00CF1DF7" w:rsidP="00CF1DF7">
          <w:pPr>
            <w:jc w:val="center"/>
          </w:pPr>
        </w:p>
        <w:p w14:paraId="0206271C" w14:textId="77777777" w:rsidR="00CF1DF7" w:rsidRDefault="00CF1DF7" w:rsidP="00CF1DF7">
          <w:pPr>
            <w:jc w:val="center"/>
          </w:pPr>
        </w:p>
        <w:p w14:paraId="411720E9" w14:textId="77777777" w:rsidR="00CF1DF7" w:rsidRDefault="00CF1DF7" w:rsidP="00CF1DF7">
          <w:pPr>
            <w:jc w:val="center"/>
          </w:pPr>
        </w:p>
        <w:p w14:paraId="2F56516A" w14:textId="77777777" w:rsidR="00CF1DF7" w:rsidRDefault="00CF1DF7" w:rsidP="00CF1DF7">
          <w:pPr>
            <w:jc w:val="center"/>
          </w:pPr>
        </w:p>
        <w:p w14:paraId="1D7E14AB" w14:textId="77777777" w:rsidR="00CF1DF7" w:rsidRDefault="00CF1DF7" w:rsidP="00CF1DF7">
          <w:pPr>
            <w:jc w:val="center"/>
          </w:pPr>
        </w:p>
        <w:p w14:paraId="08EBB0B4" w14:textId="77777777" w:rsidR="00CF1DF7" w:rsidRDefault="00CF1DF7" w:rsidP="00CF1DF7">
          <w:pPr>
            <w:jc w:val="center"/>
          </w:pPr>
        </w:p>
        <w:p w14:paraId="54E68EEE" w14:textId="77777777" w:rsidR="00CF1DF7" w:rsidRDefault="00CF1DF7" w:rsidP="00CF1DF7">
          <w:pPr>
            <w:jc w:val="center"/>
          </w:pPr>
        </w:p>
        <w:p w14:paraId="2C061A60" w14:textId="77777777" w:rsidR="00CF1DF7" w:rsidRDefault="00CF1DF7" w:rsidP="00CF1DF7">
          <w:pPr>
            <w:jc w:val="center"/>
          </w:pPr>
        </w:p>
        <w:p w14:paraId="012EAD85" w14:textId="77777777" w:rsidR="00CF1DF7" w:rsidRDefault="00CF1DF7" w:rsidP="00CF1DF7">
          <w:pPr>
            <w:jc w:val="center"/>
          </w:pPr>
        </w:p>
        <w:p w14:paraId="76C37638" w14:textId="77777777" w:rsidR="00CF1DF7" w:rsidRDefault="00CF1DF7" w:rsidP="00CF1DF7">
          <w:pPr>
            <w:jc w:val="center"/>
          </w:pPr>
        </w:p>
        <w:p w14:paraId="439B374F" w14:textId="77777777" w:rsidR="00CF1DF7" w:rsidRDefault="00CF1DF7" w:rsidP="00CF1DF7">
          <w:pPr>
            <w:jc w:val="center"/>
          </w:pPr>
        </w:p>
        <w:p w14:paraId="34A5A58C" w14:textId="77777777" w:rsidR="00CF1DF7" w:rsidRDefault="00CF1DF7" w:rsidP="00CF1DF7">
          <w:pPr>
            <w:jc w:val="center"/>
          </w:pPr>
        </w:p>
        <w:p w14:paraId="51CCA926" w14:textId="77777777" w:rsidR="00CF1DF7" w:rsidRDefault="00CF1DF7" w:rsidP="00CF1DF7">
          <w:pPr>
            <w:jc w:val="center"/>
          </w:pPr>
        </w:p>
        <w:p w14:paraId="338206F9" w14:textId="77777777" w:rsidR="00CF1DF7" w:rsidRDefault="00CF1DF7" w:rsidP="00CF1DF7">
          <w:pPr>
            <w:jc w:val="center"/>
          </w:pPr>
        </w:p>
        <w:p w14:paraId="1E525514" w14:textId="77777777" w:rsidR="00CF1DF7" w:rsidRDefault="00CF1DF7" w:rsidP="00CF1DF7">
          <w:pPr>
            <w:jc w:val="center"/>
          </w:pPr>
        </w:p>
        <w:p w14:paraId="579692D7" w14:textId="77777777" w:rsidR="00CF1DF7" w:rsidRDefault="00CF1DF7" w:rsidP="00CF1DF7">
          <w:pPr>
            <w:jc w:val="center"/>
          </w:pPr>
        </w:p>
        <w:p w14:paraId="468C333F" w14:textId="77777777" w:rsidR="00CF1DF7" w:rsidRDefault="00CF1DF7" w:rsidP="00CF1DF7">
          <w:pPr>
            <w:jc w:val="center"/>
          </w:pPr>
        </w:p>
        <w:p w14:paraId="0B96DC5E" w14:textId="77777777" w:rsidR="00CF1DF7" w:rsidRDefault="00CF1DF7" w:rsidP="00CF1DF7">
          <w:pPr>
            <w:jc w:val="center"/>
          </w:pPr>
        </w:p>
        <w:p w14:paraId="3590CBE1" w14:textId="77777777" w:rsidR="00CF1DF7" w:rsidRDefault="00CF1DF7" w:rsidP="00CF1DF7">
          <w:pPr>
            <w:jc w:val="center"/>
          </w:pPr>
        </w:p>
        <w:p w14:paraId="0EEA4664" w14:textId="77777777" w:rsidR="00CF1DF7" w:rsidRDefault="00CF1DF7" w:rsidP="00CF1DF7">
          <w:pPr>
            <w:jc w:val="center"/>
          </w:pPr>
        </w:p>
        <w:p w14:paraId="764ED3F2" w14:textId="39844604" w:rsidR="0081041C" w:rsidRDefault="00313C6B" w:rsidP="00CF1DF7">
          <w:pPr>
            <w:tabs>
              <w:tab w:val="center" w:pos="4680"/>
            </w:tabs>
            <w:rPr>
              <w:rFonts w:asciiTheme="majorHAnsi" w:eastAsiaTheme="majorEastAsia" w:hAnsiTheme="majorHAnsi" w:cstheme="majorBidi"/>
              <w:color w:val="2F5496" w:themeColor="accent1" w:themeShade="BF"/>
              <w:sz w:val="32"/>
              <w:szCs w:val="32"/>
              <w:lang w:val="en-US"/>
            </w:rPr>
          </w:pPr>
          <w:r>
            <w:tab/>
          </w:r>
          <w:r>
            <w:br w:type="page"/>
          </w:r>
        </w:p>
      </w:sdtContent>
    </w:sdt>
    <w:sdt>
      <w:sdtPr>
        <w:rPr>
          <w:rFonts w:ascii="Times New Roman" w:eastAsiaTheme="minorHAnsi" w:hAnsi="Times New Roman" w:cstheme="minorBidi"/>
          <w:color w:val="auto"/>
          <w:sz w:val="24"/>
          <w:szCs w:val="22"/>
          <w:lang w:val="en-GB"/>
        </w:rPr>
        <w:id w:val="-1891876400"/>
        <w:docPartObj>
          <w:docPartGallery w:val="Table of Contents"/>
          <w:docPartUnique/>
        </w:docPartObj>
      </w:sdtPr>
      <w:sdtEndPr>
        <w:rPr>
          <w:b/>
          <w:bCs/>
          <w:noProof/>
        </w:rPr>
      </w:sdtEndPr>
      <w:sdtContent>
        <w:p w14:paraId="4925D2EA" w14:textId="77777777" w:rsidR="00EA6A02" w:rsidRPr="00CF1DF7" w:rsidRDefault="00313C6B">
          <w:pPr>
            <w:pStyle w:val="TOCHeading"/>
            <w:rPr>
              <w:rFonts w:ascii="Times New Roman" w:hAnsi="Times New Roman" w:cs="Times New Roman"/>
              <w:b/>
              <w:bCs/>
            </w:rPr>
          </w:pPr>
          <w:r w:rsidRPr="00CF1DF7">
            <w:rPr>
              <w:rFonts w:ascii="Times New Roman" w:hAnsi="Times New Roman" w:cs="Times New Roman"/>
              <w:b/>
              <w:bCs/>
            </w:rPr>
            <w:t>Table of Contents</w:t>
          </w:r>
        </w:p>
        <w:p w14:paraId="4B193958" w14:textId="77777777" w:rsidR="0081041C" w:rsidRDefault="00313C6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1379986" w:history="1">
            <w:r w:rsidRPr="00F94BEC">
              <w:rPr>
                <w:rStyle w:val="Hyperlink"/>
                <w:noProof/>
              </w:rPr>
              <w:t>1. Introduction</w:t>
            </w:r>
            <w:r>
              <w:rPr>
                <w:noProof/>
                <w:webHidden/>
              </w:rPr>
              <w:tab/>
            </w:r>
            <w:r>
              <w:rPr>
                <w:noProof/>
                <w:webHidden/>
              </w:rPr>
              <w:fldChar w:fldCharType="begin"/>
            </w:r>
            <w:r>
              <w:rPr>
                <w:noProof/>
                <w:webHidden/>
              </w:rPr>
              <w:instrText xml:space="preserve"> PAGEREF _Toc61379986 \h </w:instrText>
            </w:r>
            <w:r>
              <w:rPr>
                <w:noProof/>
                <w:webHidden/>
              </w:rPr>
            </w:r>
            <w:r>
              <w:rPr>
                <w:noProof/>
                <w:webHidden/>
              </w:rPr>
              <w:fldChar w:fldCharType="separate"/>
            </w:r>
            <w:r w:rsidR="00CF1DF7">
              <w:rPr>
                <w:noProof/>
                <w:webHidden/>
              </w:rPr>
              <w:t>2</w:t>
            </w:r>
            <w:r>
              <w:rPr>
                <w:noProof/>
                <w:webHidden/>
              </w:rPr>
              <w:fldChar w:fldCharType="end"/>
            </w:r>
          </w:hyperlink>
        </w:p>
        <w:p w14:paraId="21B9B2BF" w14:textId="77777777" w:rsidR="0081041C" w:rsidRDefault="00313C6B">
          <w:pPr>
            <w:pStyle w:val="TOC1"/>
            <w:tabs>
              <w:tab w:val="right" w:leader="dot" w:pos="9350"/>
            </w:tabs>
            <w:rPr>
              <w:rFonts w:asciiTheme="minorHAnsi" w:eastAsiaTheme="minorEastAsia" w:hAnsiTheme="minorHAnsi"/>
              <w:noProof/>
              <w:sz w:val="22"/>
              <w:lang w:val="en-US"/>
            </w:rPr>
          </w:pPr>
          <w:hyperlink w:anchor="_Toc61379987" w:history="1">
            <w:r w:rsidRPr="00F94BEC">
              <w:rPr>
                <w:rStyle w:val="Hyperlink"/>
                <w:noProof/>
              </w:rPr>
              <w:t>2. GlaxoSmithKline: Company Overview</w:t>
            </w:r>
            <w:r>
              <w:rPr>
                <w:noProof/>
                <w:webHidden/>
              </w:rPr>
              <w:tab/>
            </w:r>
            <w:r>
              <w:rPr>
                <w:noProof/>
                <w:webHidden/>
              </w:rPr>
              <w:fldChar w:fldCharType="begin"/>
            </w:r>
            <w:r>
              <w:rPr>
                <w:noProof/>
                <w:webHidden/>
              </w:rPr>
              <w:instrText xml:space="preserve"> PAGEREF _Toc61379987 \h </w:instrText>
            </w:r>
            <w:r>
              <w:rPr>
                <w:noProof/>
                <w:webHidden/>
              </w:rPr>
            </w:r>
            <w:r>
              <w:rPr>
                <w:noProof/>
                <w:webHidden/>
              </w:rPr>
              <w:fldChar w:fldCharType="separate"/>
            </w:r>
            <w:r w:rsidR="00CF1DF7">
              <w:rPr>
                <w:noProof/>
                <w:webHidden/>
              </w:rPr>
              <w:t>2</w:t>
            </w:r>
            <w:r>
              <w:rPr>
                <w:noProof/>
                <w:webHidden/>
              </w:rPr>
              <w:fldChar w:fldCharType="end"/>
            </w:r>
          </w:hyperlink>
        </w:p>
        <w:p w14:paraId="6C0B11B1" w14:textId="77777777" w:rsidR="0081041C" w:rsidRDefault="00313C6B">
          <w:pPr>
            <w:pStyle w:val="TOC1"/>
            <w:tabs>
              <w:tab w:val="right" w:leader="dot" w:pos="9350"/>
            </w:tabs>
            <w:rPr>
              <w:rFonts w:asciiTheme="minorHAnsi" w:eastAsiaTheme="minorEastAsia" w:hAnsiTheme="minorHAnsi"/>
              <w:noProof/>
              <w:sz w:val="22"/>
              <w:lang w:val="en-US"/>
            </w:rPr>
          </w:pPr>
          <w:hyperlink w:anchor="_Toc61379988" w:history="1">
            <w:r w:rsidRPr="00F94BEC">
              <w:rPr>
                <w:rStyle w:val="Hyperlink"/>
                <w:noProof/>
              </w:rPr>
              <w:t>3. Ratio Analysis of GSK</w:t>
            </w:r>
            <w:r>
              <w:rPr>
                <w:noProof/>
                <w:webHidden/>
              </w:rPr>
              <w:tab/>
            </w:r>
            <w:r>
              <w:rPr>
                <w:noProof/>
                <w:webHidden/>
              </w:rPr>
              <w:fldChar w:fldCharType="begin"/>
            </w:r>
            <w:r>
              <w:rPr>
                <w:noProof/>
                <w:webHidden/>
              </w:rPr>
              <w:instrText xml:space="preserve"> PAGEREF _Toc61379988 \h </w:instrText>
            </w:r>
            <w:r>
              <w:rPr>
                <w:noProof/>
                <w:webHidden/>
              </w:rPr>
            </w:r>
            <w:r>
              <w:rPr>
                <w:noProof/>
                <w:webHidden/>
              </w:rPr>
              <w:fldChar w:fldCharType="separate"/>
            </w:r>
            <w:r w:rsidR="00CF1DF7">
              <w:rPr>
                <w:noProof/>
                <w:webHidden/>
              </w:rPr>
              <w:t>5</w:t>
            </w:r>
            <w:r>
              <w:rPr>
                <w:noProof/>
                <w:webHidden/>
              </w:rPr>
              <w:fldChar w:fldCharType="end"/>
            </w:r>
          </w:hyperlink>
        </w:p>
        <w:p w14:paraId="7FB29800" w14:textId="77777777" w:rsidR="0081041C" w:rsidRDefault="00313C6B">
          <w:pPr>
            <w:pStyle w:val="TOC2"/>
            <w:tabs>
              <w:tab w:val="right" w:leader="dot" w:pos="9350"/>
            </w:tabs>
            <w:rPr>
              <w:rFonts w:asciiTheme="minorHAnsi" w:eastAsiaTheme="minorEastAsia" w:hAnsiTheme="minorHAnsi"/>
              <w:noProof/>
              <w:sz w:val="22"/>
              <w:lang w:val="en-US"/>
            </w:rPr>
          </w:pPr>
          <w:hyperlink w:anchor="_Toc61379989" w:history="1">
            <w:r w:rsidRPr="00F94BEC">
              <w:rPr>
                <w:rStyle w:val="Hyperlink"/>
                <w:noProof/>
              </w:rPr>
              <w:t>3.1 Calcul</w:t>
            </w:r>
            <w:r w:rsidRPr="00F94BEC">
              <w:rPr>
                <w:rStyle w:val="Hyperlink"/>
                <w:noProof/>
              </w:rPr>
              <w:t>ation of Key Financial Ratios</w:t>
            </w:r>
            <w:r>
              <w:rPr>
                <w:noProof/>
                <w:webHidden/>
              </w:rPr>
              <w:tab/>
            </w:r>
            <w:r>
              <w:rPr>
                <w:noProof/>
                <w:webHidden/>
              </w:rPr>
              <w:fldChar w:fldCharType="begin"/>
            </w:r>
            <w:r>
              <w:rPr>
                <w:noProof/>
                <w:webHidden/>
              </w:rPr>
              <w:instrText xml:space="preserve"> PAGEREF _Toc61379989 \h </w:instrText>
            </w:r>
            <w:r>
              <w:rPr>
                <w:noProof/>
                <w:webHidden/>
              </w:rPr>
            </w:r>
            <w:r>
              <w:rPr>
                <w:noProof/>
                <w:webHidden/>
              </w:rPr>
              <w:fldChar w:fldCharType="separate"/>
            </w:r>
            <w:r w:rsidR="00CF1DF7">
              <w:rPr>
                <w:noProof/>
                <w:webHidden/>
              </w:rPr>
              <w:t>5</w:t>
            </w:r>
            <w:r>
              <w:rPr>
                <w:noProof/>
                <w:webHidden/>
              </w:rPr>
              <w:fldChar w:fldCharType="end"/>
            </w:r>
          </w:hyperlink>
        </w:p>
        <w:p w14:paraId="017E3D00" w14:textId="77777777" w:rsidR="0081041C" w:rsidRDefault="00313C6B">
          <w:pPr>
            <w:pStyle w:val="TOC3"/>
            <w:tabs>
              <w:tab w:val="right" w:leader="dot" w:pos="9350"/>
            </w:tabs>
            <w:rPr>
              <w:rFonts w:asciiTheme="minorHAnsi" w:eastAsiaTheme="minorEastAsia" w:hAnsiTheme="minorHAnsi"/>
              <w:noProof/>
              <w:sz w:val="22"/>
              <w:lang w:val="en-US"/>
            </w:rPr>
          </w:pPr>
          <w:hyperlink w:anchor="_Toc61379990" w:history="1">
            <w:r w:rsidRPr="00F94BEC">
              <w:rPr>
                <w:rStyle w:val="Hyperlink"/>
                <w:noProof/>
              </w:rPr>
              <w:t>3.1.1 Profitability Ratios</w:t>
            </w:r>
            <w:r>
              <w:rPr>
                <w:noProof/>
                <w:webHidden/>
              </w:rPr>
              <w:tab/>
            </w:r>
            <w:r>
              <w:rPr>
                <w:noProof/>
                <w:webHidden/>
              </w:rPr>
              <w:fldChar w:fldCharType="begin"/>
            </w:r>
            <w:r>
              <w:rPr>
                <w:noProof/>
                <w:webHidden/>
              </w:rPr>
              <w:instrText xml:space="preserve"> PAGEREF _Toc61379990 \h </w:instrText>
            </w:r>
            <w:r>
              <w:rPr>
                <w:noProof/>
                <w:webHidden/>
              </w:rPr>
            </w:r>
            <w:r>
              <w:rPr>
                <w:noProof/>
                <w:webHidden/>
              </w:rPr>
              <w:fldChar w:fldCharType="separate"/>
            </w:r>
            <w:r w:rsidR="00CF1DF7">
              <w:rPr>
                <w:noProof/>
                <w:webHidden/>
              </w:rPr>
              <w:t>5</w:t>
            </w:r>
            <w:r>
              <w:rPr>
                <w:noProof/>
                <w:webHidden/>
              </w:rPr>
              <w:fldChar w:fldCharType="end"/>
            </w:r>
          </w:hyperlink>
        </w:p>
        <w:p w14:paraId="62F6EC5C" w14:textId="77777777" w:rsidR="0081041C" w:rsidRDefault="00313C6B">
          <w:pPr>
            <w:pStyle w:val="TOC3"/>
            <w:tabs>
              <w:tab w:val="right" w:leader="dot" w:pos="9350"/>
            </w:tabs>
            <w:rPr>
              <w:rFonts w:asciiTheme="minorHAnsi" w:eastAsiaTheme="minorEastAsia" w:hAnsiTheme="minorHAnsi"/>
              <w:noProof/>
              <w:sz w:val="22"/>
              <w:lang w:val="en-US"/>
            </w:rPr>
          </w:pPr>
          <w:hyperlink w:anchor="_Toc61379991" w:history="1">
            <w:r w:rsidRPr="00F94BEC">
              <w:rPr>
                <w:rStyle w:val="Hyperlink"/>
                <w:noProof/>
              </w:rPr>
              <w:t>3.1.2 Liquidity Ratios</w:t>
            </w:r>
            <w:r>
              <w:rPr>
                <w:noProof/>
                <w:webHidden/>
              </w:rPr>
              <w:tab/>
            </w:r>
            <w:r>
              <w:rPr>
                <w:noProof/>
                <w:webHidden/>
              </w:rPr>
              <w:fldChar w:fldCharType="begin"/>
            </w:r>
            <w:r>
              <w:rPr>
                <w:noProof/>
                <w:webHidden/>
              </w:rPr>
              <w:instrText xml:space="preserve"> PAGEREF _Toc61379991 \h </w:instrText>
            </w:r>
            <w:r>
              <w:rPr>
                <w:noProof/>
                <w:webHidden/>
              </w:rPr>
            </w:r>
            <w:r>
              <w:rPr>
                <w:noProof/>
                <w:webHidden/>
              </w:rPr>
              <w:fldChar w:fldCharType="separate"/>
            </w:r>
            <w:r w:rsidR="00CF1DF7">
              <w:rPr>
                <w:noProof/>
                <w:webHidden/>
              </w:rPr>
              <w:t>6</w:t>
            </w:r>
            <w:r>
              <w:rPr>
                <w:noProof/>
                <w:webHidden/>
              </w:rPr>
              <w:fldChar w:fldCharType="end"/>
            </w:r>
          </w:hyperlink>
        </w:p>
        <w:p w14:paraId="35D66A94" w14:textId="77777777" w:rsidR="0081041C" w:rsidRDefault="00313C6B">
          <w:pPr>
            <w:pStyle w:val="TOC3"/>
            <w:tabs>
              <w:tab w:val="right" w:leader="dot" w:pos="9350"/>
            </w:tabs>
            <w:rPr>
              <w:rFonts w:asciiTheme="minorHAnsi" w:eastAsiaTheme="minorEastAsia" w:hAnsiTheme="minorHAnsi"/>
              <w:noProof/>
              <w:sz w:val="22"/>
              <w:lang w:val="en-US"/>
            </w:rPr>
          </w:pPr>
          <w:hyperlink w:anchor="_Toc61379992" w:history="1">
            <w:r w:rsidRPr="00F94BEC">
              <w:rPr>
                <w:rStyle w:val="Hyperlink"/>
                <w:noProof/>
              </w:rPr>
              <w:t>3.1.3 Gearing Ratios</w:t>
            </w:r>
            <w:r>
              <w:rPr>
                <w:noProof/>
                <w:webHidden/>
              </w:rPr>
              <w:tab/>
            </w:r>
            <w:r>
              <w:rPr>
                <w:noProof/>
                <w:webHidden/>
              </w:rPr>
              <w:fldChar w:fldCharType="begin"/>
            </w:r>
            <w:r>
              <w:rPr>
                <w:noProof/>
                <w:webHidden/>
              </w:rPr>
              <w:instrText xml:space="preserve"> PAGEREF _Toc61379992 \h </w:instrText>
            </w:r>
            <w:r>
              <w:rPr>
                <w:noProof/>
                <w:webHidden/>
              </w:rPr>
            </w:r>
            <w:r>
              <w:rPr>
                <w:noProof/>
                <w:webHidden/>
              </w:rPr>
              <w:fldChar w:fldCharType="separate"/>
            </w:r>
            <w:r w:rsidR="00CF1DF7">
              <w:rPr>
                <w:noProof/>
                <w:webHidden/>
              </w:rPr>
              <w:t>7</w:t>
            </w:r>
            <w:r>
              <w:rPr>
                <w:noProof/>
                <w:webHidden/>
              </w:rPr>
              <w:fldChar w:fldCharType="end"/>
            </w:r>
          </w:hyperlink>
        </w:p>
        <w:p w14:paraId="7DC376F2" w14:textId="77777777" w:rsidR="0081041C" w:rsidRDefault="00313C6B">
          <w:pPr>
            <w:pStyle w:val="TOC3"/>
            <w:tabs>
              <w:tab w:val="right" w:leader="dot" w:pos="9350"/>
            </w:tabs>
            <w:rPr>
              <w:rFonts w:asciiTheme="minorHAnsi" w:eastAsiaTheme="minorEastAsia" w:hAnsiTheme="minorHAnsi"/>
              <w:noProof/>
              <w:sz w:val="22"/>
              <w:lang w:val="en-US"/>
            </w:rPr>
          </w:pPr>
          <w:hyperlink w:anchor="_Toc61379993" w:history="1">
            <w:r w:rsidRPr="00F94BEC">
              <w:rPr>
                <w:rStyle w:val="Hyperlink"/>
                <w:noProof/>
              </w:rPr>
              <w:t>3.1.4 Efficiency Ratio</w:t>
            </w:r>
            <w:r>
              <w:rPr>
                <w:noProof/>
                <w:webHidden/>
              </w:rPr>
              <w:tab/>
            </w:r>
            <w:r>
              <w:rPr>
                <w:noProof/>
                <w:webHidden/>
              </w:rPr>
              <w:fldChar w:fldCharType="begin"/>
            </w:r>
            <w:r>
              <w:rPr>
                <w:noProof/>
                <w:webHidden/>
              </w:rPr>
              <w:instrText xml:space="preserve"> PAGEREF _Toc61379993 \h </w:instrText>
            </w:r>
            <w:r>
              <w:rPr>
                <w:noProof/>
                <w:webHidden/>
              </w:rPr>
            </w:r>
            <w:r>
              <w:rPr>
                <w:noProof/>
                <w:webHidden/>
              </w:rPr>
              <w:fldChar w:fldCharType="separate"/>
            </w:r>
            <w:r w:rsidR="00CF1DF7">
              <w:rPr>
                <w:noProof/>
                <w:webHidden/>
              </w:rPr>
              <w:t>8</w:t>
            </w:r>
            <w:r>
              <w:rPr>
                <w:noProof/>
                <w:webHidden/>
              </w:rPr>
              <w:fldChar w:fldCharType="end"/>
            </w:r>
          </w:hyperlink>
        </w:p>
        <w:p w14:paraId="4EB7112F" w14:textId="77777777" w:rsidR="0081041C" w:rsidRDefault="00313C6B">
          <w:pPr>
            <w:pStyle w:val="TOC2"/>
            <w:tabs>
              <w:tab w:val="right" w:leader="dot" w:pos="9350"/>
            </w:tabs>
            <w:rPr>
              <w:rFonts w:asciiTheme="minorHAnsi" w:eastAsiaTheme="minorEastAsia" w:hAnsiTheme="minorHAnsi"/>
              <w:noProof/>
              <w:sz w:val="22"/>
              <w:lang w:val="en-US"/>
            </w:rPr>
          </w:pPr>
          <w:hyperlink w:anchor="_Toc61379994" w:history="1">
            <w:r w:rsidRPr="00F94BEC">
              <w:rPr>
                <w:rStyle w:val="Hyperlink"/>
                <w:noProof/>
              </w:rPr>
              <w:t>3.2 Comparison with Major Competitors</w:t>
            </w:r>
            <w:r>
              <w:rPr>
                <w:noProof/>
                <w:webHidden/>
              </w:rPr>
              <w:tab/>
            </w:r>
            <w:r>
              <w:rPr>
                <w:noProof/>
                <w:webHidden/>
              </w:rPr>
              <w:fldChar w:fldCharType="begin"/>
            </w:r>
            <w:r>
              <w:rPr>
                <w:noProof/>
                <w:webHidden/>
              </w:rPr>
              <w:instrText xml:space="preserve"> PAGEREF _Toc61379994 \h </w:instrText>
            </w:r>
            <w:r>
              <w:rPr>
                <w:noProof/>
                <w:webHidden/>
              </w:rPr>
            </w:r>
            <w:r>
              <w:rPr>
                <w:noProof/>
                <w:webHidden/>
              </w:rPr>
              <w:fldChar w:fldCharType="separate"/>
            </w:r>
            <w:r w:rsidR="00CF1DF7">
              <w:rPr>
                <w:noProof/>
                <w:webHidden/>
              </w:rPr>
              <w:t>9</w:t>
            </w:r>
            <w:r>
              <w:rPr>
                <w:noProof/>
                <w:webHidden/>
              </w:rPr>
              <w:fldChar w:fldCharType="end"/>
            </w:r>
          </w:hyperlink>
        </w:p>
        <w:p w14:paraId="601B07DF" w14:textId="77777777" w:rsidR="0081041C" w:rsidRDefault="00313C6B">
          <w:pPr>
            <w:pStyle w:val="TOC2"/>
            <w:tabs>
              <w:tab w:val="right" w:leader="dot" w:pos="9350"/>
            </w:tabs>
            <w:rPr>
              <w:rFonts w:asciiTheme="minorHAnsi" w:eastAsiaTheme="minorEastAsia" w:hAnsiTheme="minorHAnsi"/>
              <w:noProof/>
              <w:sz w:val="22"/>
              <w:lang w:val="en-US"/>
            </w:rPr>
          </w:pPr>
          <w:hyperlink w:anchor="_Toc61379995" w:history="1">
            <w:r w:rsidRPr="00F94BEC">
              <w:rPr>
                <w:rStyle w:val="Hyperlink"/>
                <w:noProof/>
              </w:rPr>
              <w:t>3.3 Recommendation on Improvement of Financial Management</w:t>
            </w:r>
            <w:r>
              <w:rPr>
                <w:noProof/>
                <w:webHidden/>
              </w:rPr>
              <w:tab/>
            </w:r>
            <w:r>
              <w:rPr>
                <w:noProof/>
                <w:webHidden/>
              </w:rPr>
              <w:fldChar w:fldCharType="begin"/>
            </w:r>
            <w:r>
              <w:rPr>
                <w:noProof/>
                <w:webHidden/>
              </w:rPr>
              <w:instrText xml:space="preserve"> PAGEREF _Toc613</w:instrText>
            </w:r>
            <w:r>
              <w:rPr>
                <w:noProof/>
                <w:webHidden/>
              </w:rPr>
              <w:instrText xml:space="preserve">79995 \h </w:instrText>
            </w:r>
            <w:r>
              <w:rPr>
                <w:noProof/>
                <w:webHidden/>
              </w:rPr>
            </w:r>
            <w:r>
              <w:rPr>
                <w:noProof/>
                <w:webHidden/>
              </w:rPr>
              <w:fldChar w:fldCharType="separate"/>
            </w:r>
            <w:r w:rsidR="00CF1DF7">
              <w:rPr>
                <w:noProof/>
                <w:webHidden/>
              </w:rPr>
              <w:t>14</w:t>
            </w:r>
            <w:r>
              <w:rPr>
                <w:noProof/>
                <w:webHidden/>
              </w:rPr>
              <w:fldChar w:fldCharType="end"/>
            </w:r>
          </w:hyperlink>
        </w:p>
        <w:p w14:paraId="0809E103" w14:textId="77777777" w:rsidR="0081041C" w:rsidRDefault="00313C6B">
          <w:pPr>
            <w:pStyle w:val="TOC1"/>
            <w:tabs>
              <w:tab w:val="right" w:leader="dot" w:pos="9350"/>
            </w:tabs>
            <w:rPr>
              <w:rFonts w:asciiTheme="minorHAnsi" w:eastAsiaTheme="minorEastAsia" w:hAnsiTheme="minorHAnsi"/>
              <w:noProof/>
              <w:sz w:val="22"/>
              <w:lang w:val="en-US"/>
            </w:rPr>
          </w:pPr>
          <w:hyperlink w:anchor="_Toc61379996" w:history="1">
            <w:r w:rsidRPr="00F94BEC">
              <w:rPr>
                <w:rStyle w:val="Hyperlink"/>
                <w:noProof/>
              </w:rPr>
              <w:t>4. Capital Budgeting</w:t>
            </w:r>
            <w:r>
              <w:rPr>
                <w:noProof/>
                <w:webHidden/>
              </w:rPr>
              <w:tab/>
            </w:r>
            <w:r>
              <w:rPr>
                <w:noProof/>
                <w:webHidden/>
              </w:rPr>
              <w:fldChar w:fldCharType="begin"/>
            </w:r>
            <w:r>
              <w:rPr>
                <w:noProof/>
                <w:webHidden/>
              </w:rPr>
              <w:instrText xml:space="preserve"> PAGEREF _Toc61379996 \h </w:instrText>
            </w:r>
            <w:r>
              <w:rPr>
                <w:noProof/>
                <w:webHidden/>
              </w:rPr>
            </w:r>
            <w:r>
              <w:rPr>
                <w:noProof/>
                <w:webHidden/>
              </w:rPr>
              <w:fldChar w:fldCharType="separate"/>
            </w:r>
            <w:r w:rsidR="00CF1DF7">
              <w:rPr>
                <w:noProof/>
                <w:webHidden/>
              </w:rPr>
              <w:t>15</w:t>
            </w:r>
            <w:r>
              <w:rPr>
                <w:noProof/>
                <w:webHidden/>
              </w:rPr>
              <w:fldChar w:fldCharType="end"/>
            </w:r>
          </w:hyperlink>
        </w:p>
        <w:p w14:paraId="7E09F240" w14:textId="77777777" w:rsidR="0081041C" w:rsidRDefault="00313C6B">
          <w:pPr>
            <w:pStyle w:val="TOC2"/>
            <w:tabs>
              <w:tab w:val="right" w:leader="dot" w:pos="9350"/>
            </w:tabs>
            <w:rPr>
              <w:rFonts w:asciiTheme="minorHAnsi" w:eastAsiaTheme="minorEastAsia" w:hAnsiTheme="minorHAnsi"/>
              <w:noProof/>
              <w:sz w:val="22"/>
              <w:lang w:val="en-US"/>
            </w:rPr>
          </w:pPr>
          <w:hyperlink w:anchor="_Toc61379997" w:history="1">
            <w:r w:rsidRPr="00F94BEC">
              <w:rPr>
                <w:rStyle w:val="Hyperlink"/>
                <w:noProof/>
              </w:rPr>
              <w:t>4.1 Calculation PBP, ARR, and NPV</w:t>
            </w:r>
            <w:r>
              <w:rPr>
                <w:noProof/>
                <w:webHidden/>
              </w:rPr>
              <w:tab/>
            </w:r>
            <w:r>
              <w:rPr>
                <w:noProof/>
                <w:webHidden/>
              </w:rPr>
              <w:fldChar w:fldCharType="begin"/>
            </w:r>
            <w:r>
              <w:rPr>
                <w:noProof/>
                <w:webHidden/>
              </w:rPr>
              <w:instrText xml:space="preserve"> PAGEREF _Toc61379997 \h </w:instrText>
            </w:r>
            <w:r>
              <w:rPr>
                <w:noProof/>
                <w:webHidden/>
              </w:rPr>
            </w:r>
            <w:r>
              <w:rPr>
                <w:noProof/>
                <w:webHidden/>
              </w:rPr>
              <w:fldChar w:fldCharType="separate"/>
            </w:r>
            <w:r w:rsidR="00CF1DF7">
              <w:rPr>
                <w:noProof/>
                <w:webHidden/>
              </w:rPr>
              <w:t>15</w:t>
            </w:r>
            <w:r>
              <w:rPr>
                <w:noProof/>
                <w:webHidden/>
              </w:rPr>
              <w:fldChar w:fldCharType="end"/>
            </w:r>
          </w:hyperlink>
        </w:p>
        <w:p w14:paraId="5E9F6A00" w14:textId="77777777" w:rsidR="0081041C" w:rsidRDefault="00313C6B">
          <w:pPr>
            <w:pStyle w:val="TOC3"/>
            <w:tabs>
              <w:tab w:val="right" w:leader="dot" w:pos="9350"/>
            </w:tabs>
            <w:rPr>
              <w:rFonts w:asciiTheme="minorHAnsi" w:eastAsiaTheme="minorEastAsia" w:hAnsiTheme="minorHAnsi"/>
              <w:noProof/>
              <w:sz w:val="22"/>
              <w:lang w:val="en-US"/>
            </w:rPr>
          </w:pPr>
          <w:hyperlink w:anchor="_Toc61379998" w:history="1">
            <w:r w:rsidRPr="00F94BEC">
              <w:rPr>
                <w:rStyle w:val="Hyperlink"/>
                <w:noProof/>
              </w:rPr>
              <w:t>4.1 Payback Period</w:t>
            </w:r>
            <w:r>
              <w:rPr>
                <w:noProof/>
                <w:webHidden/>
              </w:rPr>
              <w:tab/>
            </w:r>
            <w:r>
              <w:rPr>
                <w:noProof/>
                <w:webHidden/>
              </w:rPr>
              <w:fldChar w:fldCharType="begin"/>
            </w:r>
            <w:r>
              <w:rPr>
                <w:noProof/>
                <w:webHidden/>
              </w:rPr>
              <w:instrText xml:space="preserve"> PAGEREF _Toc61379998 \h </w:instrText>
            </w:r>
            <w:r>
              <w:rPr>
                <w:noProof/>
                <w:webHidden/>
              </w:rPr>
            </w:r>
            <w:r>
              <w:rPr>
                <w:noProof/>
                <w:webHidden/>
              </w:rPr>
              <w:fldChar w:fldCharType="separate"/>
            </w:r>
            <w:r w:rsidR="00CF1DF7">
              <w:rPr>
                <w:noProof/>
                <w:webHidden/>
              </w:rPr>
              <w:t>15</w:t>
            </w:r>
            <w:r>
              <w:rPr>
                <w:noProof/>
                <w:webHidden/>
              </w:rPr>
              <w:fldChar w:fldCharType="end"/>
            </w:r>
          </w:hyperlink>
        </w:p>
        <w:p w14:paraId="24B25971" w14:textId="77777777" w:rsidR="0081041C" w:rsidRDefault="00313C6B">
          <w:pPr>
            <w:pStyle w:val="TOC3"/>
            <w:tabs>
              <w:tab w:val="right" w:leader="dot" w:pos="9350"/>
            </w:tabs>
            <w:rPr>
              <w:rFonts w:asciiTheme="minorHAnsi" w:eastAsiaTheme="minorEastAsia" w:hAnsiTheme="minorHAnsi"/>
              <w:noProof/>
              <w:sz w:val="22"/>
              <w:lang w:val="en-US"/>
            </w:rPr>
          </w:pPr>
          <w:hyperlink w:anchor="_Toc61379999" w:history="1">
            <w:r w:rsidRPr="00F94BEC">
              <w:rPr>
                <w:rStyle w:val="Hyperlink"/>
                <w:noProof/>
              </w:rPr>
              <w:t>4.2 Accounting Rate of Return</w:t>
            </w:r>
            <w:r>
              <w:rPr>
                <w:noProof/>
                <w:webHidden/>
              </w:rPr>
              <w:tab/>
            </w:r>
            <w:r>
              <w:rPr>
                <w:noProof/>
                <w:webHidden/>
              </w:rPr>
              <w:fldChar w:fldCharType="begin"/>
            </w:r>
            <w:r>
              <w:rPr>
                <w:noProof/>
                <w:webHidden/>
              </w:rPr>
              <w:instrText xml:space="preserve"> PAGEREF _Toc61379999 \h </w:instrText>
            </w:r>
            <w:r>
              <w:rPr>
                <w:noProof/>
                <w:webHidden/>
              </w:rPr>
            </w:r>
            <w:r>
              <w:rPr>
                <w:noProof/>
                <w:webHidden/>
              </w:rPr>
              <w:fldChar w:fldCharType="separate"/>
            </w:r>
            <w:r w:rsidR="00CF1DF7">
              <w:rPr>
                <w:noProof/>
                <w:webHidden/>
              </w:rPr>
              <w:t>16</w:t>
            </w:r>
            <w:r>
              <w:rPr>
                <w:noProof/>
                <w:webHidden/>
              </w:rPr>
              <w:fldChar w:fldCharType="end"/>
            </w:r>
          </w:hyperlink>
        </w:p>
        <w:p w14:paraId="691E1CEA" w14:textId="77777777" w:rsidR="0081041C" w:rsidRDefault="00313C6B">
          <w:pPr>
            <w:pStyle w:val="TOC3"/>
            <w:tabs>
              <w:tab w:val="right" w:leader="dot" w:pos="9350"/>
            </w:tabs>
            <w:rPr>
              <w:rFonts w:asciiTheme="minorHAnsi" w:eastAsiaTheme="minorEastAsia" w:hAnsiTheme="minorHAnsi"/>
              <w:noProof/>
              <w:sz w:val="22"/>
              <w:lang w:val="en-US"/>
            </w:rPr>
          </w:pPr>
          <w:hyperlink w:anchor="_Toc61380000" w:history="1">
            <w:r w:rsidRPr="00F94BEC">
              <w:rPr>
                <w:rStyle w:val="Hyperlink"/>
                <w:noProof/>
              </w:rPr>
              <w:t>4.3 Net Present Valu</w:t>
            </w:r>
            <w:r w:rsidRPr="00F94BEC">
              <w:rPr>
                <w:rStyle w:val="Hyperlink"/>
                <w:noProof/>
              </w:rPr>
              <w:t>e</w:t>
            </w:r>
            <w:r>
              <w:rPr>
                <w:noProof/>
                <w:webHidden/>
              </w:rPr>
              <w:tab/>
            </w:r>
            <w:r>
              <w:rPr>
                <w:noProof/>
                <w:webHidden/>
              </w:rPr>
              <w:fldChar w:fldCharType="begin"/>
            </w:r>
            <w:r>
              <w:rPr>
                <w:noProof/>
                <w:webHidden/>
              </w:rPr>
              <w:instrText xml:space="preserve"> PAGEREF _Toc61380000 \h </w:instrText>
            </w:r>
            <w:r>
              <w:rPr>
                <w:noProof/>
                <w:webHidden/>
              </w:rPr>
            </w:r>
            <w:r>
              <w:rPr>
                <w:noProof/>
                <w:webHidden/>
              </w:rPr>
              <w:fldChar w:fldCharType="separate"/>
            </w:r>
            <w:r w:rsidR="00CF1DF7">
              <w:rPr>
                <w:noProof/>
                <w:webHidden/>
              </w:rPr>
              <w:t>18</w:t>
            </w:r>
            <w:r>
              <w:rPr>
                <w:noProof/>
                <w:webHidden/>
              </w:rPr>
              <w:fldChar w:fldCharType="end"/>
            </w:r>
          </w:hyperlink>
        </w:p>
        <w:p w14:paraId="4348272E" w14:textId="77777777" w:rsidR="0081041C" w:rsidRDefault="00313C6B">
          <w:pPr>
            <w:pStyle w:val="TOC2"/>
            <w:tabs>
              <w:tab w:val="right" w:leader="dot" w:pos="9350"/>
            </w:tabs>
            <w:rPr>
              <w:rFonts w:asciiTheme="minorHAnsi" w:eastAsiaTheme="minorEastAsia" w:hAnsiTheme="minorHAnsi"/>
              <w:noProof/>
              <w:sz w:val="22"/>
              <w:lang w:val="en-US"/>
            </w:rPr>
          </w:pPr>
          <w:hyperlink w:anchor="_Toc61380001" w:history="1">
            <w:r w:rsidRPr="00F94BEC">
              <w:rPr>
                <w:rStyle w:val="Hyperlink"/>
                <w:noProof/>
              </w:rPr>
              <w:t>4.2 Advantage and Disadvantage of Capital Budgeting Tools</w:t>
            </w:r>
            <w:r>
              <w:rPr>
                <w:noProof/>
                <w:webHidden/>
              </w:rPr>
              <w:tab/>
            </w:r>
            <w:r>
              <w:rPr>
                <w:noProof/>
                <w:webHidden/>
              </w:rPr>
              <w:fldChar w:fldCharType="begin"/>
            </w:r>
            <w:r>
              <w:rPr>
                <w:noProof/>
                <w:webHidden/>
              </w:rPr>
              <w:instrText xml:space="preserve"> PAGEREF _Toc61380001 \h </w:instrText>
            </w:r>
            <w:r>
              <w:rPr>
                <w:noProof/>
                <w:webHidden/>
              </w:rPr>
            </w:r>
            <w:r>
              <w:rPr>
                <w:noProof/>
                <w:webHidden/>
              </w:rPr>
              <w:fldChar w:fldCharType="separate"/>
            </w:r>
            <w:r w:rsidR="00CF1DF7">
              <w:rPr>
                <w:noProof/>
                <w:webHidden/>
              </w:rPr>
              <w:t>19</w:t>
            </w:r>
            <w:r>
              <w:rPr>
                <w:noProof/>
                <w:webHidden/>
              </w:rPr>
              <w:fldChar w:fldCharType="end"/>
            </w:r>
          </w:hyperlink>
        </w:p>
        <w:p w14:paraId="4213F850" w14:textId="77777777" w:rsidR="0081041C" w:rsidRDefault="00313C6B">
          <w:pPr>
            <w:pStyle w:val="TOC3"/>
            <w:tabs>
              <w:tab w:val="right" w:leader="dot" w:pos="9350"/>
            </w:tabs>
            <w:rPr>
              <w:rFonts w:asciiTheme="minorHAnsi" w:eastAsiaTheme="minorEastAsia" w:hAnsiTheme="minorHAnsi"/>
              <w:noProof/>
              <w:sz w:val="22"/>
              <w:lang w:val="en-US"/>
            </w:rPr>
          </w:pPr>
          <w:hyperlink w:anchor="_Toc61380002" w:history="1">
            <w:r w:rsidRPr="00F94BEC">
              <w:rPr>
                <w:rStyle w:val="Hyperlink"/>
                <w:noProof/>
              </w:rPr>
              <w:t>4.2.1 Payback Period (PBP)</w:t>
            </w:r>
            <w:r>
              <w:rPr>
                <w:noProof/>
                <w:webHidden/>
              </w:rPr>
              <w:tab/>
            </w:r>
            <w:r>
              <w:rPr>
                <w:noProof/>
                <w:webHidden/>
              </w:rPr>
              <w:fldChar w:fldCharType="begin"/>
            </w:r>
            <w:r>
              <w:rPr>
                <w:noProof/>
                <w:webHidden/>
              </w:rPr>
              <w:instrText xml:space="preserve"> PAGEREF _Toc61380002 \h </w:instrText>
            </w:r>
            <w:r>
              <w:rPr>
                <w:noProof/>
                <w:webHidden/>
              </w:rPr>
            </w:r>
            <w:r>
              <w:rPr>
                <w:noProof/>
                <w:webHidden/>
              </w:rPr>
              <w:fldChar w:fldCharType="separate"/>
            </w:r>
            <w:r w:rsidR="00CF1DF7">
              <w:rPr>
                <w:noProof/>
                <w:webHidden/>
              </w:rPr>
              <w:t>19</w:t>
            </w:r>
            <w:r>
              <w:rPr>
                <w:noProof/>
                <w:webHidden/>
              </w:rPr>
              <w:fldChar w:fldCharType="end"/>
            </w:r>
          </w:hyperlink>
        </w:p>
        <w:p w14:paraId="1329DE6C" w14:textId="77777777" w:rsidR="0081041C" w:rsidRDefault="00313C6B">
          <w:pPr>
            <w:pStyle w:val="TOC3"/>
            <w:tabs>
              <w:tab w:val="right" w:leader="dot" w:pos="9350"/>
            </w:tabs>
            <w:rPr>
              <w:rFonts w:asciiTheme="minorHAnsi" w:eastAsiaTheme="minorEastAsia" w:hAnsiTheme="minorHAnsi"/>
              <w:noProof/>
              <w:sz w:val="22"/>
              <w:lang w:val="en-US"/>
            </w:rPr>
          </w:pPr>
          <w:hyperlink w:anchor="_Toc61380003" w:history="1">
            <w:r w:rsidRPr="00F94BEC">
              <w:rPr>
                <w:rStyle w:val="Hyperlink"/>
                <w:noProof/>
              </w:rPr>
              <w:t>4.2.2 Accounting Rate of Return (ARR)</w:t>
            </w:r>
            <w:r>
              <w:rPr>
                <w:noProof/>
                <w:webHidden/>
              </w:rPr>
              <w:tab/>
            </w:r>
            <w:r>
              <w:rPr>
                <w:noProof/>
                <w:webHidden/>
              </w:rPr>
              <w:fldChar w:fldCharType="begin"/>
            </w:r>
            <w:r>
              <w:rPr>
                <w:noProof/>
                <w:webHidden/>
              </w:rPr>
              <w:instrText xml:space="preserve"> PAGEREF _Toc61380003 \h </w:instrText>
            </w:r>
            <w:r>
              <w:rPr>
                <w:noProof/>
                <w:webHidden/>
              </w:rPr>
            </w:r>
            <w:r>
              <w:rPr>
                <w:noProof/>
                <w:webHidden/>
              </w:rPr>
              <w:fldChar w:fldCharType="separate"/>
            </w:r>
            <w:r w:rsidR="00CF1DF7">
              <w:rPr>
                <w:noProof/>
                <w:webHidden/>
              </w:rPr>
              <w:t>19</w:t>
            </w:r>
            <w:r>
              <w:rPr>
                <w:noProof/>
                <w:webHidden/>
              </w:rPr>
              <w:fldChar w:fldCharType="end"/>
            </w:r>
          </w:hyperlink>
        </w:p>
        <w:p w14:paraId="4846820B" w14:textId="77777777" w:rsidR="0081041C" w:rsidRDefault="00313C6B">
          <w:pPr>
            <w:pStyle w:val="TOC3"/>
            <w:tabs>
              <w:tab w:val="right" w:leader="dot" w:pos="9350"/>
            </w:tabs>
            <w:rPr>
              <w:rFonts w:asciiTheme="minorHAnsi" w:eastAsiaTheme="minorEastAsia" w:hAnsiTheme="minorHAnsi"/>
              <w:noProof/>
              <w:sz w:val="22"/>
              <w:lang w:val="en-US"/>
            </w:rPr>
          </w:pPr>
          <w:hyperlink w:anchor="_Toc61380004" w:history="1">
            <w:r w:rsidRPr="00F94BEC">
              <w:rPr>
                <w:rStyle w:val="Hyperlink"/>
                <w:noProof/>
              </w:rPr>
              <w:t>4.2.3 Present Net Value (NPV)</w:t>
            </w:r>
            <w:r>
              <w:rPr>
                <w:noProof/>
                <w:webHidden/>
              </w:rPr>
              <w:tab/>
            </w:r>
            <w:r>
              <w:rPr>
                <w:noProof/>
                <w:webHidden/>
              </w:rPr>
              <w:fldChar w:fldCharType="begin"/>
            </w:r>
            <w:r>
              <w:rPr>
                <w:noProof/>
                <w:webHidden/>
              </w:rPr>
              <w:instrText xml:space="preserve"> PAGEREF _Toc61380004 \h </w:instrText>
            </w:r>
            <w:r>
              <w:rPr>
                <w:noProof/>
                <w:webHidden/>
              </w:rPr>
            </w:r>
            <w:r>
              <w:rPr>
                <w:noProof/>
                <w:webHidden/>
              </w:rPr>
              <w:fldChar w:fldCharType="separate"/>
            </w:r>
            <w:r w:rsidR="00CF1DF7">
              <w:rPr>
                <w:noProof/>
                <w:webHidden/>
              </w:rPr>
              <w:t>20</w:t>
            </w:r>
            <w:r>
              <w:rPr>
                <w:noProof/>
                <w:webHidden/>
              </w:rPr>
              <w:fldChar w:fldCharType="end"/>
            </w:r>
          </w:hyperlink>
        </w:p>
        <w:p w14:paraId="53F7AB4C" w14:textId="77777777" w:rsidR="0081041C" w:rsidRDefault="00313C6B">
          <w:pPr>
            <w:pStyle w:val="TOC3"/>
            <w:tabs>
              <w:tab w:val="right" w:leader="dot" w:pos="9350"/>
            </w:tabs>
            <w:rPr>
              <w:rFonts w:asciiTheme="minorHAnsi" w:eastAsiaTheme="minorEastAsia" w:hAnsiTheme="minorHAnsi"/>
              <w:noProof/>
              <w:sz w:val="22"/>
              <w:lang w:val="en-US"/>
            </w:rPr>
          </w:pPr>
          <w:hyperlink w:anchor="_Toc61380005" w:history="1">
            <w:r w:rsidRPr="00F94BEC">
              <w:rPr>
                <w:rStyle w:val="Hyperlink"/>
                <w:noProof/>
              </w:rPr>
              <w:t>4.2.4 Non-Financial Factors for Investment Assessment</w:t>
            </w:r>
            <w:r>
              <w:rPr>
                <w:noProof/>
                <w:webHidden/>
              </w:rPr>
              <w:tab/>
            </w:r>
            <w:r>
              <w:rPr>
                <w:noProof/>
                <w:webHidden/>
              </w:rPr>
              <w:fldChar w:fldCharType="begin"/>
            </w:r>
            <w:r>
              <w:rPr>
                <w:noProof/>
                <w:webHidden/>
              </w:rPr>
              <w:instrText xml:space="preserve"> PAGEREF _Toc61380005 \h </w:instrText>
            </w:r>
            <w:r>
              <w:rPr>
                <w:noProof/>
                <w:webHidden/>
              </w:rPr>
            </w:r>
            <w:r>
              <w:rPr>
                <w:noProof/>
                <w:webHidden/>
              </w:rPr>
              <w:fldChar w:fldCharType="separate"/>
            </w:r>
            <w:r w:rsidR="00CF1DF7">
              <w:rPr>
                <w:noProof/>
                <w:webHidden/>
              </w:rPr>
              <w:t>21</w:t>
            </w:r>
            <w:r>
              <w:rPr>
                <w:noProof/>
                <w:webHidden/>
              </w:rPr>
              <w:fldChar w:fldCharType="end"/>
            </w:r>
          </w:hyperlink>
        </w:p>
        <w:p w14:paraId="5F737180" w14:textId="77777777" w:rsidR="0081041C" w:rsidRDefault="00313C6B">
          <w:pPr>
            <w:pStyle w:val="TOC1"/>
            <w:tabs>
              <w:tab w:val="right" w:leader="dot" w:pos="9350"/>
            </w:tabs>
            <w:rPr>
              <w:rFonts w:asciiTheme="minorHAnsi" w:eastAsiaTheme="minorEastAsia" w:hAnsiTheme="minorHAnsi"/>
              <w:noProof/>
              <w:sz w:val="22"/>
              <w:lang w:val="en-US"/>
            </w:rPr>
          </w:pPr>
          <w:hyperlink w:anchor="_Toc61380006" w:history="1">
            <w:r w:rsidRPr="00F94BEC">
              <w:rPr>
                <w:rStyle w:val="Hyperlink"/>
                <w:noProof/>
              </w:rPr>
              <w:t>5. Conclusion</w:t>
            </w:r>
            <w:r>
              <w:rPr>
                <w:noProof/>
                <w:webHidden/>
              </w:rPr>
              <w:tab/>
            </w:r>
            <w:r>
              <w:rPr>
                <w:noProof/>
                <w:webHidden/>
              </w:rPr>
              <w:fldChar w:fldCharType="begin"/>
            </w:r>
            <w:r>
              <w:rPr>
                <w:noProof/>
                <w:webHidden/>
              </w:rPr>
              <w:instrText xml:space="preserve"> PAGEREF _Toc61380006 \h </w:instrText>
            </w:r>
            <w:r>
              <w:rPr>
                <w:noProof/>
                <w:webHidden/>
              </w:rPr>
            </w:r>
            <w:r>
              <w:rPr>
                <w:noProof/>
                <w:webHidden/>
              </w:rPr>
              <w:fldChar w:fldCharType="separate"/>
            </w:r>
            <w:r w:rsidR="00CF1DF7">
              <w:rPr>
                <w:noProof/>
                <w:webHidden/>
              </w:rPr>
              <w:t>21</w:t>
            </w:r>
            <w:r>
              <w:rPr>
                <w:noProof/>
                <w:webHidden/>
              </w:rPr>
              <w:fldChar w:fldCharType="end"/>
            </w:r>
          </w:hyperlink>
        </w:p>
        <w:p w14:paraId="6AD6351B" w14:textId="77777777" w:rsidR="0081041C" w:rsidRDefault="00313C6B">
          <w:pPr>
            <w:pStyle w:val="TOC1"/>
            <w:tabs>
              <w:tab w:val="right" w:leader="dot" w:pos="9350"/>
            </w:tabs>
            <w:rPr>
              <w:rFonts w:asciiTheme="minorHAnsi" w:eastAsiaTheme="minorEastAsia" w:hAnsiTheme="minorHAnsi"/>
              <w:noProof/>
              <w:sz w:val="22"/>
              <w:lang w:val="en-US"/>
            </w:rPr>
          </w:pPr>
          <w:hyperlink w:anchor="_Toc61380007" w:history="1">
            <w:r w:rsidRPr="00F94BEC">
              <w:rPr>
                <w:rStyle w:val="Hyperlink"/>
                <w:noProof/>
              </w:rPr>
              <w:t>6. References</w:t>
            </w:r>
            <w:r>
              <w:rPr>
                <w:noProof/>
                <w:webHidden/>
              </w:rPr>
              <w:tab/>
            </w:r>
            <w:r>
              <w:rPr>
                <w:noProof/>
                <w:webHidden/>
              </w:rPr>
              <w:fldChar w:fldCharType="begin"/>
            </w:r>
            <w:r>
              <w:rPr>
                <w:noProof/>
                <w:webHidden/>
              </w:rPr>
              <w:instrText xml:space="preserve"> PAGEREF _Toc61380007 \h </w:instrText>
            </w:r>
            <w:r>
              <w:rPr>
                <w:noProof/>
                <w:webHidden/>
              </w:rPr>
            </w:r>
            <w:r>
              <w:rPr>
                <w:noProof/>
                <w:webHidden/>
              </w:rPr>
              <w:fldChar w:fldCharType="separate"/>
            </w:r>
            <w:r w:rsidR="00CF1DF7">
              <w:rPr>
                <w:noProof/>
                <w:webHidden/>
              </w:rPr>
              <w:t>22</w:t>
            </w:r>
            <w:r>
              <w:rPr>
                <w:noProof/>
                <w:webHidden/>
              </w:rPr>
              <w:fldChar w:fldCharType="end"/>
            </w:r>
          </w:hyperlink>
        </w:p>
        <w:p w14:paraId="36C04572" w14:textId="77777777" w:rsidR="00EA6A02" w:rsidRDefault="00313C6B">
          <w:r>
            <w:rPr>
              <w:b/>
              <w:bCs/>
              <w:noProof/>
            </w:rPr>
            <w:fldChar w:fldCharType="end"/>
          </w:r>
        </w:p>
      </w:sdtContent>
    </w:sdt>
    <w:p w14:paraId="0934EAFA" w14:textId="77777777" w:rsidR="00EA6A02" w:rsidRDefault="00EA6A02" w:rsidP="00246195">
      <w:pPr>
        <w:pStyle w:val="Heading1"/>
      </w:pPr>
    </w:p>
    <w:p w14:paraId="4E273403" w14:textId="77777777" w:rsidR="00EA6A02" w:rsidRDefault="00313C6B">
      <w:pPr>
        <w:jc w:val="left"/>
        <w:rPr>
          <w:rFonts w:eastAsiaTheme="majorEastAsia" w:cstheme="majorBidi"/>
          <w:b/>
          <w:sz w:val="32"/>
          <w:szCs w:val="32"/>
        </w:rPr>
      </w:pPr>
      <w:r>
        <w:br w:type="page"/>
      </w:r>
    </w:p>
    <w:p w14:paraId="510343F6" w14:textId="77777777" w:rsidR="0069483E" w:rsidRDefault="00313C6B" w:rsidP="00246195">
      <w:pPr>
        <w:pStyle w:val="Heading1"/>
      </w:pPr>
      <w:bookmarkStart w:id="0" w:name="_Toc61379986"/>
      <w:r>
        <w:lastRenderedPageBreak/>
        <w:t>1. Introduction</w:t>
      </w:r>
      <w:bookmarkEnd w:id="0"/>
    </w:p>
    <w:p w14:paraId="05530B4A" w14:textId="77777777" w:rsidR="0069483E" w:rsidRDefault="00313C6B" w:rsidP="00FB5261">
      <w:pPr>
        <w:spacing w:line="360" w:lineRule="auto"/>
        <w:rPr>
          <w:rFonts w:cs="Times New Roman"/>
          <w:szCs w:val="24"/>
        </w:rPr>
      </w:pPr>
      <w:r>
        <w:rPr>
          <w:rFonts w:cs="Times New Roman"/>
          <w:szCs w:val="24"/>
        </w:rPr>
        <w:t>In the modern world, doing business has become one of the challeng</w:t>
      </w:r>
      <w:r w:rsidR="00A862ED">
        <w:rPr>
          <w:rFonts w:cs="Times New Roman"/>
          <w:szCs w:val="24"/>
        </w:rPr>
        <w:t>es</w:t>
      </w:r>
      <w:r>
        <w:rPr>
          <w:rFonts w:cs="Times New Roman"/>
          <w:szCs w:val="24"/>
        </w:rPr>
        <w:t xml:space="preserve"> yet the most attractive tasks</w:t>
      </w:r>
      <w:r w:rsidR="003907C8">
        <w:rPr>
          <w:rFonts w:cs="Times New Roman"/>
          <w:szCs w:val="24"/>
        </w:rPr>
        <w:t xml:space="preserve"> </w:t>
      </w:r>
      <w:r w:rsidR="003907C8">
        <w:rPr>
          <w:color w:val="000000"/>
        </w:rPr>
        <w:t>(Harun, 2021)</w:t>
      </w:r>
      <w:r>
        <w:rPr>
          <w:rFonts w:cs="Times New Roman"/>
          <w:szCs w:val="24"/>
        </w:rPr>
        <w:t xml:space="preserve">. </w:t>
      </w:r>
      <w:r w:rsidR="00A862ED">
        <w:rPr>
          <w:rFonts w:cs="Times New Roman"/>
          <w:szCs w:val="24"/>
        </w:rPr>
        <w:t>T</w:t>
      </w:r>
      <w:r>
        <w:rPr>
          <w:rFonts w:cs="Times New Roman"/>
          <w:szCs w:val="24"/>
        </w:rPr>
        <w:t xml:space="preserve">o do </w:t>
      </w:r>
      <w:r>
        <w:rPr>
          <w:rFonts w:cs="Times New Roman"/>
          <w:szCs w:val="24"/>
        </w:rPr>
        <w:t>business, business managers often have to deal with many activities. One of the activities is to figure out whether his company is doing properly as it has been supposed to do. Another activity is figuring out if investment in a certain field is profitable</w:t>
      </w:r>
      <w:r>
        <w:rPr>
          <w:rFonts w:cs="Times New Roman"/>
          <w:szCs w:val="24"/>
        </w:rPr>
        <w:t>, or it would create value at all</w:t>
      </w:r>
      <w:r w:rsidR="003907C8">
        <w:rPr>
          <w:rFonts w:cs="Times New Roman"/>
          <w:szCs w:val="24"/>
        </w:rPr>
        <w:t xml:space="preserve"> </w:t>
      </w:r>
      <w:r w:rsidR="003907C8">
        <w:rPr>
          <w:color w:val="000000"/>
        </w:rPr>
        <w:t>(Wahlen et al., 2019)</w:t>
      </w:r>
      <w:r>
        <w:rPr>
          <w:rFonts w:cs="Times New Roman"/>
          <w:szCs w:val="24"/>
        </w:rPr>
        <w:t xml:space="preserve">. </w:t>
      </w:r>
      <w:r w:rsidR="00852C49">
        <w:rPr>
          <w:rFonts w:cs="Times New Roman"/>
          <w:szCs w:val="24"/>
        </w:rPr>
        <w:t>Thus, two of the most common techniques, ratio analysis</w:t>
      </w:r>
      <w:r w:rsidR="00A862ED">
        <w:rPr>
          <w:rFonts w:cs="Times New Roman"/>
          <w:szCs w:val="24"/>
        </w:rPr>
        <w:t>,</w:t>
      </w:r>
      <w:r w:rsidR="00852C49">
        <w:rPr>
          <w:rFonts w:cs="Times New Roman"/>
          <w:szCs w:val="24"/>
        </w:rPr>
        <w:t xml:space="preserve"> and capital budgeting, have become very popular among investors and users. The report focuses on calculating certain ratios of one of the well-known companies of the U.K., GlaxoSmithKline or GSK. It also contains solutions </w:t>
      </w:r>
      <w:r w:rsidR="00A862ED">
        <w:rPr>
          <w:rFonts w:cs="Times New Roman"/>
          <w:szCs w:val="24"/>
        </w:rPr>
        <w:t>to</w:t>
      </w:r>
      <w:r w:rsidR="00852C49">
        <w:rPr>
          <w:rFonts w:cs="Times New Roman"/>
          <w:szCs w:val="24"/>
        </w:rPr>
        <w:t xml:space="preserve"> some of the capital budgeting problems given to the author. </w:t>
      </w:r>
      <w:r w:rsidR="003B6F1B">
        <w:rPr>
          <w:rFonts w:cs="Times New Roman"/>
          <w:szCs w:val="24"/>
        </w:rPr>
        <w:t>The very first part of the report discusses an overview of GSK UK, describing its business model, competitors</w:t>
      </w:r>
      <w:r w:rsidR="00A862ED">
        <w:rPr>
          <w:rFonts w:cs="Times New Roman"/>
          <w:szCs w:val="24"/>
        </w:rPr>
        <w:t>,</w:t>
      </w:r>
      <w:r w:rsidR="003B6F1B">
        <w:rPr>
          <w:rFonts w:cs="Times New Roman"/>
          <w:szCs w:val="24"/>
        </w:rPr>
        <w:t xml:space="preserve"> and recent major events. The next part discusses a 5-year ratio analysis of GSK along with a short recommendation. The </w:t>
      </w:r>
      <w:r w:rsidR="001F46DF">
        <w:rPr>
          <w:rFonts w:cs="Times New Roman"/>
          <w:szCs w:val="24"/>
        </w:rPr>
        <w:t xml:space="preserve">next part discusses and includes </w:t>
      </w:r>
      <w:r w:rsidR="00A862ED">
        <w:rPr>
          <w:rFonts w:cs="Times New Roman"/>
          <w:szCs w:val="24"/>
        </w:rPr>
        <w:t xml:space="preserve">a </w:t>
      </w:r>
      <w:r w:rsidR="001F46DF">
        <w:rPr>
          <w:rFonts w:cs="Times New Roman"/>
          <w:szCs w:val="24"/>
        </w:rPr>
        <w:t>solution to certain capital budgeting tools such as PBP, ARR</w:t>
      </w:r>
      <w:r w:rsidR="00A862ED">
        <w:rPr>
          <w:rFonts w:cs="Times New Roman"/>
          <w:szCs w:val="24"/>
        </w:rPr>
        <w:t>,</w:t>
      </w:r>
      <w:r w:rsidR="001F46DF">
        <w:rPr>
          <w:rFonts w:cs="Times New Roman"/>
          <w:szCs w:val="24"/>
        </w:rPr>
        <w:t xml:space="preserve"> and NPV. At the very end of the report, a short conclusion has been drawn considering the report as a whole. </w:t>
      </w:r>
    </w:p>
    <w:p w14:paraId="5DE4BDF8" w14:textId="77777777" w:rsidR="00CF7E4D" w:rsidRPr="00F81DA1" w:rsidRDefault="00313C6B" w:rsidP="00246195">
      <w:pPr>
        <w:pStyle w:val="Heading1"/>
      </w:pPr>
      <w:bookmarkStart w:id="1" w:name="_Toc61379987"/>
      <w:r>
        <w:t>2. GlaxoSmithKline: Company Overview</w:t>
      </w:r>
      <w:bookmarkEnd w:id="1"/>
    </w:p>
    <w:p w14:paraId="2B58B3C1" w14:textId="77777777" w:rsidR="00CF7E4D" w:rsidRDefault="00313C6B" w:rsidP="00246195">
      <w:pPr>
        <w:spacing w:line="360" w:lineRule="auto"/>
      </w:pPr>
      <w:r>
        <w:t>G</w:t>
      </w:r>
      <w:r w:rsidRPr="00B976A1">
        <w:t xml:space="preserve">laxoSmithKline </w:t>
      </w:r>
      <w:r>
        <w:t xml:space="preserve">is a pharmaceutical MNC that was established in 2000. Its headquarters is in England. GSK is one of the top pharmaceutical companies </w:t>
      </w:r>
      <w:r w:rsidR="00A862ED">
        <w:t>in</w:t>
      </w:r>
      <w:r>
        <w:t xml:space="preserve"> the world. At p</w:t>
      </w:r>
      <w:r w:rsidRPr="00B976A1">
        <w:t>resent</w:t>
      </w:r>
      <w:r>
        <w:t>, GSK serves in more than</w:t>
      </w:r>
      <w:r w:rsidRPr="00B976A1">
        <w:t xml:space="preserve"> 160 </w:t>
      </w:r>
      <w:r>
        <w:t xml:space="preserve">countries concerning </w:t>
      </w:r>
      <w:r w:rsidR="00A862ED">
        <w:t xml:space="preserve">the </w:t>
      </w:r>
      <w:r>
        <w:t>USA,</w:t>
      </w:r>
      <w:r w:rsidRPr="00B976A1">
        <w:t xml:space="preserve"> UK, Germany, Japan</w:t>
      </w:r>
      <w:r w:rsidR="00A862ED">
        <w:t>,</w:t>
      </w:r>
      <w:r w:rsidRPr="00B976A1">
        <w:t xml:space="preserve"> </w:t>
      </w:r>
      <w:r>
        <w:t>etc</w:t>
      </w:r>
      <w:r w:rsidRPr="00B976A1">
        <w:t>.</w:t>
      </w:r>
      <w:r>
        <w:t xml:space="preserve"> GSK </w:t>
      </w:r>
      <w:r w:rsidRPr="00B976A1">
        <w:t>operate</w:t>
      </w:r>
      <w:r>
        <w:t>s in</w:t>
      </w:r>
      <w:r w:rsidRPr="00B976A1">
        <w:t xml:space="preserve"> pharmaceuticals and consumer healthcare products.</w:t>
      </w:r>
      <w:r>
        <w:t xml:space="preserve"> More than 85% of GSK sales </w:t>
      </w:r>
      <w:r w:rsidR="00A862ED">
        <w:t>are</w:t>
      </w:r>
      <w:r>
        <w:t xml:space="preserve"> generated by pharmaceuticals</w:t>
      </w:r>
      <w:r w:rsidR="003907C8">
        <w:t xml:space="preserve"> </w:t>
      </w:r>
      <w:r w:rsidR="003907C8">
        <w:rPr>
          <w:color w:val="000000"/>
        </w:rPr>
        <w:t>(Valand, 2011)</w:t>
      </w:r>
      <w:r>
        <w:t xml:space="preserve">. </w:t>
      </w:r>
    </w:p>
    <w:p w14:paraId="04F4B2BB" w14:textId="77777777" w:rsidR="00CF7E4D" w:rsidRDefault="00313C6B" w:rsidP="00246195">
      <w:pPr>
        <w:spacing w:line="360" w:lineRule="auto"/>
      </w:pPr>
      <w:r>
        <w:t>The m</w:t>
      </w:r>
      <w:r>
        <w:t xml:space="preserve">ission of GSK is to </w:t>
      </w:r>
      <w:r w:rsidRPr="008B77BD">
        <w:t>help pe</w:t>
      </w:r>
      <w:r>
        <w:t xml:space="preserve">ople do more, feel better, live </w:t>
      </w:r>
      <w:r w:rsidRPr="008B77BD">
        <w:t>longer</w:t>
      </w:r>
      <w:r w:rsidR="003907C8">
        <w:t xml:space="preserve"> </w:t>
      </w:r>
      <w:r w:rsidR="003907C8">
        <w:rPr>
          <w:color w:val="000000"/>
        </w:rPr>
        <w:t>(Tate, 2018)</w:t>
      </w:r>
      <w:r w:rsidRPr="008B77BD">
        <w:t xml:space="preserve">. </w:t>
      </w:r>
      <w:r>
        <w:t xml:space="preserve">Their goal is </w:t>
      </w:r>
      <w:r w:rsidR="00A862ED">
        <w:t>to be</w:t>
      </w:r>
      <w:r>
        <w:t xml:space="preserve"> one of the most innovative, best performing</w:t>
      </w:r>
      <w:r w:rsidR="00A862ED">
        <w:t>,</w:t>
      </w:r>
      <w:r>
        <w:t xml:space="preserve"> and trusted healthcare companies </w:t>
      </w:r>
      <w:r w:rsidR="00A862ED">
        <w:t>in</w:t>
      </w:r>
      <w:r>
        <w:t xml:space="preserve"> the world. Their values include patient focus, transparency, respect</w:t>
      </w:r>
      <w:r w:rsidR="00A862ED">
        <w:t>,</w:t>
      </w:r>
      <w:r>
        <w:t xml:space="preserve"> and i</w:t>
      </w:r>
      <w:r>
        <w:t>ntegrity, and they expect courage, accountability, development</w:t>
      </w:r>
      <w:r w:rsidR="00A862ED">
        <w:t>,</w:t>
      </w:r>
      <w:r>
        <w:t xml:space="preserve"> and teamwork. They keep those values are at the heart of the business. To differentiate and provide better services, GSK is always concerned about strengthening their</w:t>
      </w:r>
      <w:r w:rsidRPr="008B77BD">
        <w:t xml:space="preserve"> R&amp;D through a focus on im</w:t>
      </w:r>
      <w:r w:rsidRPr="008B77BD">
        <w:t>munology, human genetics</w:t>
      </w:r>
      <w:r w:rsidR="00A862ED">
        <w:t>,</w:t>
      </w:r>
      <w:r w:rsidRPr="008B77BD">
        <w:t xml:space="preserve"> and advanced technologies</w:t>
      </w:r>
      <w:r>
        <w:t>.</w:t>
      </w:r>
      <w:r w:rsidRPr="003D66DF">
        <w:t xml:space="preserve"> The</w:t>
      </w:r>
      <w:r>
        <w:t xml:space="preserve"> brand name and R&amp;D are the</w:t>
      </w:r>
      <w:r w:rsidRPr="003D66DF">
        <w:t xml:space="preserve"> c</w:t>
      </w:r>
      <w:r>
        <w:t>ore competencies of the company</w:t>
      </w:r>
      <w:r w:rsidR="003907C8">
        <w:t xml:space="preserve"> </w:t>
      </w:r>
      <w:r w:rsidR="003907C8">
        <w:rPr>
          <w:color w:val="000000"/>
        </w:rPr>
        <w:t>(Strunk, 2015)</w:t>
      </w:r>
      <w:r>
        <w:t>. GSK has em</w:t>
      </w:r>
      <w:r w:rsidRPr="00E85B62">
        <w:t>ploy</w:t>
      </w:r>
      <w:r>
        <w:t>ed</w:t>
      </w:r>
      <w:r w:rsidRPr="00E85B62">
        <w:t xml:space="preserve"> </w:t>
      </w:r>
      <w:r>
        <w:t>more than 99,000 people in 16</w:t>
      </w:r>
      <w:r w:rsidRPr="00E85B62">
        <w:t>0 countries</w:t>
      </w:r>
      <w:r>
        <w:t>. GSK operates</w:t>
      </w:r>
      <w:r w:rsidRPr="00E85B62">
        <w:t xml:space="preserve"> manufacturing sites and R&amp;D</w:t>
      </w:r>
      <w:r>
        <w:t xml:space="preserve"> cent</w:t>
      </w:r>
      <w:r w:rsidR="00A862ED">
        <w:t>er</w:t>
      </w:r>
      <w:r w:rsidRPr="00E85B62">
        <w:t>s in 36 countries</w:t>
      </w:r>
      <w:r>
        <w:t>. The</w:t>
      </w:r>
      <w:r w:rsidRPr="00E85B62">
        <w:t xml:space="preserve"> major R&amp;D cent</w:t>
      </w:r>
      <w:r w:rsidR="00A862ED">
        <w:t>er</w:t>
      </w:r>
      <w:r w:rsidRPr="00E85B62">
        <w:t xml:space="preserve">s </w:t>
      </w:r>
      <w:r>
        <w:t xml:space="preserve">are located </w:t>
      </w:r>
      <w:r w:rsidRPr="00E85B62">
        <w:t>in the U.K., USA, Spain, Belgium</w:t>
      </w:r>
      <w:r w:rsidR="00A862ED">
        <w:t>,</w:t>
      </w:r>
      <w:r w:rsidRPr="00E85B62">
        <w:t xml:space="preserve"> and China. </w:t>
      </w:r>
      <w:r>
        <w:t>The product-line of GSK</w:t>
      </w:r>
      <w:r w:rsidRPr="00E85B62">
        <w:t xml:space="preserve"> are divided into prescription medicines, vaccines</w:t>
      </w:r>
      <w:r w:rsidR="00A862ED">
        <w:t>,</w:t>
      </w:r>
      <w:r w:rsidRPr="00E85B62">
        <w:t xml:space="preserve"> </w:t>
      </w:r>
      <w:r w:rsidRPr="00E85B62">
        <w:lastRenderedPageBreak/>
        <w:t xml:space="preserve">and consumer healthcare. </w:t>
      </w:r>
      <w:r>
        <w:t>T</w:t>
      </w:r>
      <w:r w:rsidRPr="00E85B62">
        <w:t xml:space="preserve">wo </w:t>
      </w:r>
      <w:r>
        <w:t>extensive divisions</w:t>
      </w:r>
      <w:r>
        <w:t xml:space="preserve"> are</w:t>
      </w:r>
      <w:r w:rsidRPr="00E85B62">
        <w:t xml:space="preserve"> in </w:t>
      </w:r>
      <w:r>
        <w:t xml:space="preserve">particular areas of healthcare- </w:t>
      </w:r>
      <w:r w:rsidRPr="00E85B62">
        <w:t>ViiV Healthcare and Stiefel.</w:t>
      </w:r>
    </w:p>
    <w:p w14:paraId="3A796B94" w14:textId="77777777" w:rsidR="00CF7E4D" w:rsidRDefault="00313C6B" w:rsidP="00CF7E4D">
      <w:pPr>
        <w:jc w:val="center"/>
      </w:pPr>
      <w:r w:rsidRPr="006205D6">
        <w:rPr>
          <w:noProof/>
        </w:rPr>
        <w:drawing>
          <wp:inline distT="0" distB="0" distL="0" distR="0" wp14:anchorId="46F057C3" wp14:editId="0D63B4F3">
            <wp:extent cx="5943600" cy="33705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346599"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943600" cy="3370580"/>
                    </a:xfrm>
                    <a:prstGeom prst="rect">
                      <a:avLst/>
                    </a:prstGeom>
                    <a:noFill/>
                    <a:ln>
                      <a:noFill/>
                    </a:ln>
                  </pic:spPr>
                </pic:pic>
              </a:graphicData>
            </a:graphic>
          </wp:inline>
        </w:drawing>
      </w:r>
    </w:p>
    <w:p w14:paraId="5F20D6B8" w14:textId="77777777" w:rsidR="00CF7E4D" w:rsidRDefault="00313C6B" w:rsidP="00CF7E4D">
      <w:pPr>
        <w:jc w:val="center"/>
      </w:pPr>
      <w:r>
        <w:t>Figure: Business Model Canvas of GSK</w:t>
      </w:r>
    </w:p>
    <w:p w14:paraId="09DA3567" w14:textId="77777777" w:rsidR="00CF7E4D" w:rsidRDefault="00313C6B" w:rsidP="00246195">
      <w:pPr>
        <w:spacing w:line="360" w:lineRule="auto"/>
      </w:pPr>
      <w:r w:rsidRPr="00F81DA1">
        <w:rPr>
          <w:b/>
        </w:rPr>
        <w:t xml:space="preserve">Value Proposition: </w:t>
      </w:r>
      <w:r>
        <w:t xml:space="preserve">GSK is concerned about </w:t>
      </w:r>
      <w:r w:rsidRPr="00EA2885">
        <w:t>innovation</w:t>
      </w:r>
      <w:r>
        <w:t xml:space="preserve"> in </w:t>
      </w:r>
      <w:r w:rsidR="00A862ED">
        <w:t xml:space="preserve">the </w:t>
      </w:r>
      <w:r>
        <w:t xml:space="preserve">healthcare sector and </w:t>
      </w:r>
      <w:r w:rsidR="00A862ED">
        <w:t xml:space="preserve">a </w:t>
      </w:r>
      <w:r>
        <w:t>broader</w:t>
      </w:r>
      <w:r w:rsidRPr="00EA2885">
        <w:t xml:space="preserve"> range of products</w:t>
      </w:r>
      <w:r>
        <w:t xml:space="preserve"> to perform better. </w:t>
      </w:r>
      <w:r w:rsidR="003907C8">
        <w:t>Also,</w:t>
      </w:r>
      <w:r>
        <w:t xml:space="preserve"> they ensure l</w:t>
      </w:r>
      <w:r w:rsidRPr="00EA2885">
        <w:t>ow patent risk</w:t>
      </w:r>
      <w:r>
        <w:t xml:space="preserve"> and u</w:t>
      </w:r>
      <w:r w:rsidRPr="00EA2885">
        <w:t>nique culture</w:t>
      </w:r>
      <w:r>
        <w:t xml:space="preserve"> in the organi</w:t>
      </w:r>
      <w:r w:rsidR="00A862ED">
        <w:t>z</w:t>
      </w:r>
      <w:r>
        <w:t>ation.</w:t>
      </w:r>
    </w:p>
    <w:p w14:paraId="133F5AC1" w14:textId="77777777" w:rsidR="00CF7E4D" w:rsidRDefault="00313C6B" w:rsidP="00246195">
      <w:pPr>
        <w:spacing w:line="360" w:lineRule="auto"/>
      </w:pPr>
      <w:r w:rsidRPr="00F81DA1">
        <w:rPr>
          <w:b/>
        </w:rPr>
        <w:t>Key Partners:</w:t>
      </w:r>
      <w:r>
        <w:t xml:space="preserve"> As a pharmaceuticals company GSK always keep</w:t>
      </w:r>
      <w:r w:rsidR="00A862ED">
        <w:t>s</w:t>
      </w:r>
      <w:r>
        <w:t xml:space="preserve"> in touch with </w:t>
      </w:r>
      <w:r w:rsidR="00A862ED">
        <w:t xml:space="preserve">the </w:t>
      </w:r>
      <w:r>
        <w:t>medical community. Other key partners include s</w:t>
      </w:r>
      <w:r w:rsidRPr="00767D63">
        <w:t>uppliers</w:t>
      </w:r>
      <w:r>
        <w:t>, s</w:t>
      </w:r>
      <w:r w:rsidRPr="00767D63">
        <w:t>ubsidiaries</w:t>
      </w:r>
      <w:r>
        <w:t>, re</w:t>
      </w:r>
      <w:r w:rsidRPr="00767D63">
        <w:t>gulators</w:t>
      </w:r>
      <w:r>
        <w:t>, mergers and acquisition</w:t>
      </w:r>
      <w:r w:rsidR="00A862ED">
        <w:t>s</w:t>
      </w:r>
      <w:r>
        <w:t>, r</w:t>
      </w:r>
      <w:r w:rsidRPr="00767D63">
        <w:t xml:space="preserve">esearch </w:t>
      </w:r>
      <w:r w:rsidR="003907C8" w:rsidRPr="00767D63">
        <w:t>cent</w:t>
      </w:r>
      <w:r w:rsidR="00A862ED">
        <w:t>er</w:t>
      </w:r>
      <w:r w:rsidR="003907C8" w:rsidRPr="00767D63">
        <w:t>s</w:t>
      </w:r>
      <w:r>
        <w:t xml:space="preserve">, </w:t>
      </w:r>
      <w:r w:rsidRPr="00767D63">
        <w:t>FDA</w:t>
      </w:r>
      <w:r w:rsidR="00A862ED">
        <w:t>,</w:t>
      </w:r>
      <w:r w:rsidRPr="00767D63">
        <w:t xml:space="preserve"> and equivalents</w:t>
      </w:r>
      <w:r>
        <w:t>.</w:t>
      </w:r>
    </w:p>
    <w:p w14:paraId="008969A5" w14:textId="77777777" w:rsidR="00CF7E4D" w:rsidRDefault="00313C6B" w:rsidP="00246195">
      <w:pPr>
        <w:spacing w:line="360" w:lineRule="auto"/>
      </w:pPr>
      <w:r w:rsidRPr="00F81DA1">
        <w:rPr>
          <w:b/>
        </w:rPr>
        <w:t>Key Activities:</w:t>
      </w:r>
      <w:r>
        <w:t xml:space="preserve"> Research and development is the main activity of GSK to make sure better quality. Manufacturing comes next, and marketing, distribution, intellectual property protection comes later. </w:t>
      </w:r>
    </w:p>
    <w:p w14:paraId="32A69604" w14:textId="77777777" w:rsidR="00CF7E4D" w:rsidRDefault="00313C6B" w:rsidP="00246195">
      <w:pPr>
        <w:spacing w:line="360" w:lineRule="auto"/>
      </w:pPr>
      <w:r w:rsidRPr="009C0618">
        <w:rPr>
          <w:b/>
        </w:rPr>
        <w:t>Key Resources:</w:t>
      </w:r>
      <w:r>
        <w:t xml:space="preserve"> Scientific rec</w:t>
      </w:r>
      <w:r>
        <w:t xml:space="preserve">ognition and intellectual properties are </w:t>
      </w:r>
      <w:r w:rsidR="00A862ED">
        <w:t xml:space="preserve">the </w:t>
      </w:r>
      <w:r>
        <w:t>most crucial resources of GSK. Infrastructure, facilities, brand name</w:t>
      </w:r>
      <w:r w:rsidR="00A862ED">
        <w:t>,</w:t>
      </w:r>
      <w:r>
        <w:t xml:space="preserve"> and employees are other resources.</w:t>
      </w:r>
    </w:p>
    <w:p w14:paraId="3BD5DE56" w14:textId="77777777" w:rsidR="00CF7E4D" w:rsidRDefault="00313C6B" w:rsidP="00246195">
      <w:pPr>
        <w:spacing w:line="360" w:lineRule="auto"/>
      </w:pPr>
      <w:r w:rsidRPr="009C0618">
        <w:rPr>
          <w:b/>
        </w:rPr>
        <w:t>Customer Segments:</w:t>
      </w:r>
      <w:r>
        <w:t xml:space="preserve"> GSK has a massive market, including people with </w:t>
      </w:r>
      <w:r w:rsidR="00A862ED">
        <w:t xml:space="preserve">a </w:t>
      </w:r>
      <w:r>
        <w:t>health condition and oncologic patie</w:t>
      </w:r>
      <w:r>
        <w:t>nts.</w:t>
      </w:r>
    </w:p>
    <w:p w14:paraId="16BF6824" w14:textId="77777777" w:rsidR="00CF7E4D" w:rsidRDefault="00313C6B" w:rsidP="00246195">
      <w:pPr>
        <w:spacing w:line="360" w:lineRule="auto"/>
      </w:pPr>
      <w:r w:rsidRPr="009C0618">
        <w:rPr>
          <w:b/>
        </w:rPr>
        <w:lastRenderedPageBreak/>
        <w:t>Customer Relationship:</w:t>
      </w:r>
      <w:r>
        <w:t xml:space="preserve"> GSK is very sensitive to its customers. They expect passion, trust</w:t>
      </w:r>
      <w:r w:rsidR="00A862ED">
        <w:t>,</w:t>
      </w:r>
      <w:r>
        <w:t xml:space="preserve"> and manage </w:t>
      </w:r>
      <w:r w:rsidR="00A862ED">
        <w:t xml:space="preserve">the </w:t>
      </w:r>
      <w:r>
        <w:t>account properly. GSK never compromises with quality.</w:t>
      </w:r>
    </w:p>
    <w:p w14:paraId="480AF59C" w14:textId="77777777" w:rsidR="00CF7E4D" w:rsidRDefault="00313C6B" w:rsidP="00246195">
      <w:pPr>
        <w:spacing w:line="360" w:lineRule="auto"/>
      </w:pPr>
      <w:r w:rsidRPr="009C0618">
        <w:rPr>
          <w:b/>
        </w:rPr>
        <w:t>Channels:</w:t>
      </w:r>
      <w:r>
        <w:t xml:space="preserve"> Physicians, medical and healthcare institutions are </w:t>
      </w:r>
      <w:r w:rsidR="00A862ED">
        <w:t xml:space="preserve">the </w:t>
      </w:r>
      <w:r>
        <w:t>main channels of GSK. Dru</w:t>
      </w:r>
      <w:r>
        <w:t xml:space="preserve">gstores and pharmacies </w:t>
      </w:r>
      <w:r w:rsidR="00A862ED">
        <w:t xml:space="preserve">are </w:t>
      </w:r>
      <w:r>
        <w:t>also included in key channels.</w:t>
      </w:r>
    </w:p>
    <w:p w14:paraId="677D34EA" w14:textId="77777777" w:rsidR="00CF7E4D" w:rsidRDefault="00313C6B" w:rsidP="00246195">
      <w:pPr>
        <w:spacing w:line="360" w:lineRule="auto"/>
      </w:pPr>
      <w:r w:rsidRPr="009C0618">
        <w:rPr>
          <w:b/>
        </w:rPr>
        <w:t>Cost Structure:</w:t>
      </w:r>
      <w:r>
        <w:t xml:space="preserve"> The largest part of </w:t>
      </w:r>
      <w:r w:rsidR="00A862ED">
        <w:t xml:space="preserve">the </w:t>
      </w:r>
      <w:r>
        <w:t>cost is regarding R&amp;D. Then comes production and maintenance activities. Other costs include marketing, packaging, CSR activities</w:t>
      </w:r>
      <w:r w:rsidR="00A862ED">
        <w:t>,</w:t>
      </w:r>
      <w:r>
        <w:t xml:space="preserve"> and taxes.</w:t>
      </w:r>
    </w:p>
    <w:p w14:paraId="4963EDA4" w14:textId="77777777" w:rsidR="00CF7E4D" w:rsidRDefault="00313C6B" w:rsidP="00246195">
      <w:pPr>
        <w:spacing w:line="360" w:lineRule="auto"/>
      </w:pPr>
      <w:r w:rsidRPr="009C0618">
        <w:rPr>
          <w:b/>
        </w:rPr>
        <w:t>Revenue Structur</w:t>
      </w:r>
      <w:r w:rsidRPr="009C0618">
        <w:rPr>
          <w:b/>
        </w:rPr>
        <w:t>e:</w:t>
      </w:r>
      <w:r>
        <w:t xml:space="preserve"> Sales and royalties of intellectual properties are </w:t>
      </w:r>
      <w:r w:rsidR="00A862ED">
        <w:t xml:space="preserve">the </w:t>
      </w:r>
      <w:r>
        <w:t>main sources of revenue of GSK. In crucial times contracted manufacturing is also play</w:t>
      </w:r>
      <w:r w:rsidR="00A862ED">
        <w:t>ing</w:t>
      </w:r>
      <w:r>
        <w:t xml:space="preserve"> a vital role in </w:t>
      </w:r>
      <w:r w:rsidR="00A862ED">
        <w:t xml:space="preserve">the </w:t>
      </w:r>
      <w:r>
        <w:t xml:space="preserve">revenue stream. </w:t>
      </w:r>
    </w:p>
    <w:p w14:paraId="19A0975B" w14:textId="77777777" w:rsidR="00CF7E4D" w:rsidRDefault="00313C6B" w:rsidP="00246195">
      <w:pPr>
        <w:spacing w:line="360" w:lineRule="auto"/>
      </w:pPr>
      <w:r>
        <w:t xml:space="preserve">Some of the major market players compete </w:t>
      </w:r>
      <w:r w:rsidR="00A862ED">
        <w:t xml:space="preserve">with </w:t>
      </w:r>
      <w:r>
        <w:t xml:space="preserve">GSK. The key competitors </w:t>
      </w:r>
      <w:r>
        <w:t>are Unilever, Reckitt Benckiser, B.P., AstraZeneca</w:t>
      </w:r>
      <w:r w:rsidR="00A862ED">
        <w:t>,</w:t>
      </w:r>
      <w:r>
        <w:t xml:space="preserve"> and Alliance Pharma. GSK is considered the</w:t>
      </w:r>
      <w:r w:rsidRPr="009C0618">
        <w:t xml:space="preserve"> largest vaccine company by revenue</w:t>
      </w:r>
      <w:r>
        <w:t xml:space="preserve"> and supplying </w:t>
      </w:r>
      <w:r w:rsidRPr="009C0618">
        <w:t>vaccines</w:t>
      </w:r>
      <w:r>
        <w:t>.</w:t>
      </w:r>
      <w:r w:rsidRPr="009C0618">
        <w:t xml:space="preserve"> Since the </w:t>
      </w:r>
      <w:r>
        <w:t xml:space="preserve">beginning of the </w:t>
      </w:r>
      <w:r w:rsidRPr="009C0618">
        <w:t>pandemi</w:t>
      </w:r>
      <w:r>
        <w:t>c</w:t>
      </w:r>
      <w:r w:rsidRPr="009C0618">
        <w:t xml:space="preserve">, </w:t>
      </w:r>
      <w:r>
        <w:t xml:space="preserve">GSK is continuously working on </w:t>
      </w:r>
      <w:r w:rsidR="00A862ED">
        <w:t>its</w:t>
      </w:r>
      <w:r w:rsidRPr="009C0618">
        <w:t xml:space="preserve"> scientific </w:t>
      </w:r>
      <w:r>
        <w:t>prowess</w:t>
      </w:r>
      <w:r w:rsidRPr="009C0618">
        <w:t xml:space="preserve"> and technol</w:t>
      </w:r>
      <w:r w:rsidRPr="009C0618">
        <w:t xml:space="preserve">ogy to </w:t>
      </w:r>
      <w:r>
        <w:t xml:space="preserve">ensure </w:t>
      </w:r>
      <w:r w:rsidRPr="009C0618">
        <w:t>a difference</w:t>
      </w:r>
      <w:r>
        <w:t xml:space="preserve">. Even GSK has partnered with several parties to introduce </w:t>
      </w:r>
      <w:r w:rsidRPr="009C0618">
        <w:t xml:space="preserve">COVID-19 vaccines and treatments as </w:t>
      </w:r>
      <w:r>
        <w:t>soon</w:t>
      </w:r>
      <w:r w:rsidRPr="009C0618">
        <w:t xml:space="preserve"> as </w:t>
      </w:r>
      <w:r w:rsidR="003907C8" w:rsidRPr="009C0618">
        <w:t>possible</w:t>
      </w:r>
      <w:r w:rsidR="003907C8">
        <w:t xml:space="preserve"> </w:t>
      </w:r>
      <w:r w:rsidR="003907C8">
        <w:rPr>
          <w:color w:val="000000"/>
        </w:rPr>
        <w:t>(Srithon, 2017)</w:t>
      </w:r>
      <w:r w:rsidR="003907C8">
        <w:t>.</w:t>
      </w:r>
      <w:r>
        <w:t xml:space="preserve"> In </w:t>
      </w:r>
      <w:r w:rsidRPr="009C0618">
        <w:t>2020</w:t>
      </w:r>
      <w:r>
        <w:t xml:space="preserve"> the company took</w:t>
      </w:r>
      <w:r w:rsidRPr="009C0618">
        <w:t xml:space="preserve"> a two-year program </w:t>
      </w:r>
      <w:r>
        <w:t xml:space="preserve">of separating GSK into two new leading companies. </w:t>
      </w:r>
    </w:p>
    <w:p w14:paraId="40DB2B51" w14:textId="77777777" w:rsidR="00CF7E4D" w:rsidRDefault="00CF7E4D" w:rsidP="00FB5261">
      <w:pPr>
        <w:spacing w:line="360" w:lineRule="auto"/>
        <w:rPr>
          <w:rFonts w:cs="Times New Roman"/>
          <w:szCs w:val="24"/>
        </w:rPr>
      </w:pPr>
    </w:p>
    <w:p w14:paraId="3319912D" w14:textId="77777777" w:rsidR="00B51816" w:rsidRPr="00FB5261" w:rsidRDefault="00B51816" w:rsidP="0069483E">
      <w:pPr>
        <w:jc w:val="left"/>
        <w:rPr>
          <w:rFonts w:cs="Times New Roman"/>
          <w:szCs w:val="24"/>
        </w:rPr>
      </w:pPr>
    </w:p>
    <w:p w14:paraId="76E34183" w14:textId="77777777" w:rsidR="0069483E" w:rsidRDefault="00313C6B">
      <w:pPr>
        <w:jc w:val="left"/>
        <w:rPr>
          <w:rFonts w:cs="Times New Roman"/>
          <w:szCs w:val="24"/>
        </w:rPr>
      </w:pPr>
      <w:r>
        <w:rPr>
          <w:rFonts w:cs="Times New Roman"/>
          <w:szCs w:val="24"/>
        </w:rPr>
        <w:br w:type="page"/>
      </w:r>
    </w:p>
    <w:p w14:paraId="07553A73" w14:textId="77777777" w:rsidR="0069483E" w:rsidRDefault="00313C6B" w:rsidP="00246195">
      <w:pPr>
        <w:pStyle w:val="Heading1"/>
      </w:pPr>
      <w:bookmarkStart w:id="2" w:name="_Toc61379988"/>
      <w:r>
        <w:lastRenderedPageBreak/>
        <w:t>3. Ratio Analysis of GSK</w:t>
      </w:r>
      <w:bookmarkEnd w:id="2"/>
    </w:p>
    <w:p w14:paraId="6BB00AFE" w14:textId="77777777" w:rsidR="00246195" w:rsidRDefault="00313C6B" w:rsidP="00246195">
      <w:pPr>
        <w:pStyle w:val="Heading2"/>
      </w:pPr>
      <w:bookmarkStart w:id="3" w:name="_Toc61379989"/>
      <w:r>
        <w:t>3.1 Calculation of Key Financial Ratios</w:t>
      </w:r>
      <w:bookmarkEnd w:id="3"/>
    </w:p>
    <w:p w14:paraId="5BA29B79" w14:textId="77777777" w:rsidR="00246195" w:rsidRPr="00246195" w:rsidRDefault="00313C6B" w:rsidP="00246195">
      <w:pPr>
        <w:pStyle w:val="Heading3"/>
      </w:pPr>
      <w:bookmarkStart w:id="4" w:name="_Toc61379990"/>
      <w:r>
        <w:t>3.1.1 Profitability Ratios</w:t>
      </w:r>
      <w:bookmarkEnd w:id="4"/>
    </w:p>
    <w:tbl>
      <w:tblPr>
        <w:tblW w:w="9181" w:type="dxa"/>
        <w:tblLook w:val="04A0" w:firstRow="1" w:lastRow="0" w:firstColumn="1" w:lastColumn="0" w:noHBand="0" w:noVBand="1"/>
      </w:tblPr>
      <w:tblGrid>
        <w:gridCol w:w="2662"/>
        <w:gridCol w:w="1303"/>
        <w:gridCol w:w="1303"/>
        <w:gridCol w:w="1303"/>
        <w:gridCol w:w="1303"/>
        <w:gridCol w:w="1307"/>
      </w:tblGrid>
      <w:tr w:rsidR="00304AE7" w14:paraId="19D3D9BC" w14:textId="77777777" w:rsidTr="00246195">
        <w:trPr>
          <w:trHeight w:val="310"/>
        </w:trPr>
        <w:tc>
          <w:tcPr>
            <w:tcW w:w="2662" w:type="dxa"/>
            <w:tcBorders>
              <w:top w:val="nil"/>
              <w:left w:val="nil"/>
              <w:bottom w:val="nil"/>
              <w:right w:val="nil"/>
            </w:tcBorders>
            <w:shd w:val="clear" w:color="auto" w:fill="auto"/>
            <w:noWrap/>
            <w:vAlign w:val="bottom"/>
            <w:hideMark/>
          </w:tcPr>
          <w:p w14:paraId="08334BB3" w14:textId="77777777" w:rsidR="00246195" w:rsidRPr="00246195" w:rsidRDefault="00246195" w:rsidP="00246195">
            <w:pPr>
              <w:spacing w:after="0" w:line="240" w:lineRule="auto"/>
              <w:jc w:val="left"/>
              <w:rPr>
                <w:rFonts w:eastAsia="Times New Roman" w:cs="Times New Roman"/>
                <w:sz w:val="20"/>
                <w:szCs w:val="24"/>
                <w:lang w:val="en-US"/>
              </w:rPr>
            </w:pPr>
          </w:p>
        </w:tc>
        <w:tc>
          <w:tcPr>
            <w:tcW w:w="6519" w:type="dxa"/>
            <w:gridSpan w:val="5"/>
            <w:tcBorders>
              <w:top w:val="nil"/>
              <w:left w:val="nil"/>
              <w:bottom w:val="nil"/>
              <w:right w:val="nil"/>
            </w:tcBorders>
            <w:shd w:val="clear" w:color="auto" w:fill="auto"/>
            <w:noWrap/>
            <w:vAlign w:val="bottom"/>
            <w:hideMark/>
          </w:tcPr>
          <w:p w14:paraId="32EBC43B" w14:textId="77777777" w:rsidR="00246195" w:rsidRPr="00246195" w:rsidRDefault="00313C6B" w:rsidP="00246195">
            <w:pPr>
              <w:spacing w:after="0" w:line="240" w:lineRule="auto"/>
              <w:jc w:val="center"/>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Profitability Ratios</w:t>
            </w:r>
          </w:p>
        </w:tc>
      </w:tr>
      <w:tr w:rsidR="00304AE7" w14:paraId="1445675D" w14:textId="77777777" w:rsidTr="00246195">
        <w:trPr>
          <w:trHeight w:val="324"/>
        </w:trPr>
        <w:tc>
          <w:tcPr>
            <w:tcW w:w="266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6F54D404" w14:textId="77777777" w:rsidR="00246195" w:rsidRPr="00246195" w:rsidRDefault="00313C6B" w:rsidP="00246195">
            <w:pPr>
              <w:spacing w:after="0" w:line="240" w:lineRule="auto"/>
              <w:jc w:val="lef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 </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24568BAD"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2015</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273926D1"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2016</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5692F7E4"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2017</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5F3CC91B"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2018</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39FC0480"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2019</w:t>
            </w:r>
          </w:p>
        </w:tc>
      </w:tr>
      <w:tr w:rsidR="00304AE7" w14:paraId="78E9E886" w14:textId="77777777" w:rsidTr="00246195">
        <w:trPr>
          <w:trHeight w:val="310"/>
        </w:trPr>
        <w:tc>
          <w:tcPr>
            <w:tcW w:w="2662" w:type="dxa"/>
            <w:tcBorders>
              <w:top w:val="nil"/>
              <w:left w:val="nil"/>
              <w:bottom w:val="nil"/>
              <w:right w:val="nil"/>
            </w:tcBorders>
            <w:shd w:val="clear" w:color="auto" w:fill="auto"/>
            <w:noWrap/>
            <w:vAlign w:val="bottom"/>
            <w:hideMark/>
          </w:tcPr>
          <w:p w14:paraId="459B0B7D" w14:textId="77777777" w:rsidR="00246195" w:rsidRPr="00246195" w:rsidRDefault="00246195" w:rsidP="00246195">
            <w:pPr>
              <w:spacing w:after="0" w:line="240" w:lineRule="auto"/>
              <w:jc w:val="right"/>
              <w:rPr>
                <w:rFonts w:ascii="Calibri" w:eastAsia="Times New Roman" w:hAnsi="Calibri" w:cs="Calibri"/>
                <w:b/>
                <w:bCs/>
                <w:color w:val="FFFFFF"/>
                <w:sz w:val="22"/>
                <w:lang w:val="en-US"/>
              </w:rPr>
            </w:pPr>
          </w:p>
        </w:tc>
        <w:tc>
          <w:tcPr>
            <w:tcW w:w="6519" w:type="dxa"/>
            <w:gridSpan w:val="5"/>
            <w:tcBorders>
              <w:top w:val="nil"/>
              <w:left w:val="nil"/>
              <w:bottom w:val="nil"/>
              <w:right w:val="nil"/>
            </w:tcBorders>
            <w:shd w:val="clear" w:color="auto" w:fill="auto"/>
            <w:noWrap/>
            <w:vAlign w:val="bottom"/>
            <w:hideMark/>
          </w:tcPr>
          <w:p w14:paraId="681496CB" w14:textId="77777777" w:rsidR="00246195" w:rsidRPr="00246195" w:rsidRDefault="00313C6B" w:rsidP="00246195">
            <w:pPr>
              <w:spacing w:after="0" w:line="240" w:lineRule="auto"/>
              <w:jc w:val="center"/>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Gross Profit Margin</w:t>
            </w:r>
          </w:p>
        </w:tc>
      </w:tr>
      <w:tr w:rsidR="00304AE7" w14:paraId="0F0EC8C9" w14:textId="77777777" w:rsidTr="00246195">
        <w:trPr>
          <w:trHeight w:val="295"/>
        </w:trPr>
        <w:tc>
          <w:tcPr>
            <w:tcW w:w="2662" w:type="dxa"/>
            <w:tcBorders>
              <w:top w:val="nil"/>
              <w:left w:val="nil"/>
              <w:bottom w:val="nil"/>
              <w:right w:val="nil"/>
            </w:tcBorders>
            <w:shd w:val="clear" w:color="auto" w:fill="auto"/>
            <w:noWrap/>
            <w:vAlign w:val="bottom"/>
            <w:hideMark/>
          </w:tcPr>
          <w:p w14:paraId="408A4368" w14:textId="77777777" w:rsidR="00246195" w:rsidRPr="00246195" w:rsidRDefault="00313C6B" w:rsidP="00246195">
            <w:pPr>
              <w:spacing w:after="0" w:line="240" w:lineRule="auto"/>
              <w:jc w:val="lef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Sales</w:t>
            </w:r>
          </w:p>
        </w:tc>
        <w:tc>
          <w:tcPr>
            <w:tcW w:w="1303" w:type="dxa"/>
            <w:tcBorders>
              <w:top w:val="nil"/>
              <w:left w:val="nil"/>
              <w:bottom w:val="nil"/>
              <w:right w:val="nil"/>
            </w:tcBorders>
            <w:shd w:val="clear" w:color="auto" w:fill="auto"/>
            <w:noWrap/>
            <w:vAlign w:val="bottom"/>
            <w:hideMark/>
          </w:tcPr>
          <w:p w14:paraId="1348C7D2"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23923</w:t>
            </w:r>
          </w:p>
        </w:tc>
        <w:tc>
          <w:tcPr>
            <w:tcW w:w="1303" w:type="dxa"/>
            <w:tcBorders>
              <w:top w:val="nil"/>
              <w:left w:val="nil"/>
              <w:bottom w:val="nil"/>
              <w:right w:val="nil"/>
            </w:tcBorders>
            <w:shd w:val="clear" w:color="auto" w:fill="auto"/>
            <w:noWrap/>
            <w:vAlign w:val="bottom"/>
            <w:hideMark/>
          </w:tcPr>
          <w:p w14:paraId="6A26915D"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27889</w:t>
            </w:r>
          </w:p>
        </w:tc>
        <w:tc>
          <w:tcPr>
            <w:tcW w:w="1303" w:type="dxa"/>
            <w:tcBorders>
              <w:top w:val="nil"/>
              <w:left w:val="nil"/>
              <w:bottom w:val="nil"/>
              <w:right w:val="nil"/>
            </w:tcBorders>
            <w:shd w:val="clear" w:color="auto" w:fill="auto"/>
            <w:noWrap/>
            <w:vAlign w:val="bottom"/>
            <w:hideMark/>
          </w:tcPr>
          <w:p w14:paraId="64A380F6"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30186</w:t>
            </w:r>
          </w:p>
        </w:tc>
        <w:tc>
          <w:tcPr>
            <w:tcW w:w="1303" w:type="dxa"/>
            <w:tcBorders>
              <w:top w:val="nil"/>
              <w:left w:val="nil"/>
              <w:bottom w:val="nil"/>
              <w:right w:val="nil"/>
            </w:tcBorders>
            <w:shd w:val="clear" w:color="auto" w:fill="auto"/>
            <w:noWrap/>
            <w:vAlign w:val="bottom"/>
            <w:hideMark/>
          </w:tcPr>
          <w:p w14:paraId="6F9757F3"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30821</w:t>
            </w:r>
          </w:p>
        </w:tc>
        <w:tc>
          <w:tcPr>
            <w:tcW w:w="1303" w:type="dxa"/>
            <w:tcBorders>
              <w:top w:val="nil"/>
              <w:left w:val="nil"/>
              <w:bottom w:val="nil"/>
              <w:right w:val="nil"/>
            </w:tcBorders>
            <w:shd w:val="clear" w:color="auto" w:fill="auto"/>
            <w:noWrap/>
            <w:vAlign w:val="bottom"/>
            <w:hideMark/>
          </w:tcPr>
          <w:p w14:paraId="1C15E56A"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33754</w:t>
            </w:r>
          </w:p>
        </w:tc>
      </w:tr>
      <w:tr w:rsidR="00304AE7" w14:paraId="090C39FA" w14:textId="77777777" w:rsidTr="00246195">
        <w:trPr>
          <w:trHeight w:val="310"/>
        </w:trPr>
        <w:tc>
          <w:tcPr>
            <w:tcW w:w="2662" w:type="dxa"/>
            <w:tcBorders>
              <w:top w:val="nil"/>
              <w:left w:val="nil"/>
              <w:bottom w:val="nil"/>
              <w:right w:val="nil"/>
            </w:tcBorders>
            <w:shd w:val="clear" w:color="auto" w:fill="auto"/>
            <w:noWrap/>
            <w:vAlign w:val="bottom"/>
            <w:hideMark/>
          </w:tcPr>
          <w:p w14:paraId="4539801D" w14:textId="77777777" w:rsidR="00246195" w:rsidRPr="00246195" w:rsidRDefault="00313C6B" w:rsidP="00246195">
            <w:pPr>
              <w:spacing w:after="0" w:line="240" w:lineRule="auto"/>
              <w:jc w:val="lef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Gross profit</w:t>
            </w:r>
          </w:p>
        </w:tc>
        <w:tc>
          <w:tcPr>
            <w:tcW w:w="1303" w:type="dxa"/>
            <w:tcBorders>
              <w:top w:val="nil"/>
              <w:left w:val="nil"/>
              <w:bottom w:val="nil"/>
              <w:right w:val="nil"/>
            </w:tcBorders>
            <w:shd w:val="clear" w:color="auto" w:fill="auto"/>
            <w:noWrap/>
            <w:vAlign w:val="bottom"/>
            <w:hideMark/>
          </w:tcPr>
          <w:p w14:paraId="49F4C21C"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15070</w:t>
            </w:r>
          </w:p>
        </w:tc>
        <w:tc>
          <w:tcPr>
            <w:tcW w:w="1303" w:type="dxa"/>
            <w:tcBorders>
              <w:top w:val="nil"/>
              <w:left w:val="nil"/>
              <w:bottom w:val="nil"/>
              <w:right w:val="nil"/>
            </w:tcBorders>
            <w:shd w:val="clear" w:color="auto" w:fill="auto"/>
            <w:noWrap/>
            <w:vAlign w:val="bottom"/>
            <w:hideMark/>
          </w:tcPr>
          <w:p w14:paraId="4DC78363"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18599</w:t>
            </w:r>
          </w:p>
        </w:tc>
        <w:tc>
          <w:tcPr>
            <w:tcW w:w="1303" w:type="dxa"/>
            <w:tcBorders>
              <w:top w:val="nil"/>
              <w:left w:val="nil"/>
              <w:bottom w:val="nil"/>
              <w:right w:val="nil"/>
            </w:tcBorders>
            <w:shd w:val="clear" w:color="auto" w:fill="auto"/>
            <w:noWrap/>
            <w:vAlign w:val="bottom"/>
            <w:hideMark/>
          </w:tcPr>
          <w:p w14:paraId="7A085749"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19844</w:t>
            </w:r>
          </w:p>
        </w:tc>
        <w:tc>
          <w:tcPr>
            <w:tcW w:w="1303" w:type="dxa"/>
            <w:tcBorders>
              <w:top w:val="nil"/>
              <w:left w:val="nil"/>
              <w:bottom w:val="nil"/>
              <w:right w:val="nil"/>
            </w:tcBorders>
            <w:shd w:val="clear" w:color="auto" w:fill="auto"/>
            <w:noWrap/>
            <w:vAlign w:val="bottom"/>
            <w:hideMark/>
          </w:tcPr>
          <w:p w14:paraId="2D09820F"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20580</w:t>
            </w:r>
          </w:p>
        </w:tc>
        <w:tc>
          <w:tcPr>
            <w:tcW w:w="1303" w:type="dxa"/>
            <w:tcBorders>
              <w:top w:val="nil"/>
              <w:left w:val="nil"/>
              <w:bottom w:val="nil"/>
              <w:right w:val="nil"/>
            </w:tcBorders>
            <w:shd w:val="clear" w:color="auto" w:fill="auto"/>
            <w:noWrap/>
            <w:vAlign w:val="bottom"/>
            <w:hideMark/>
          </w:tcPr>
          <w:p w14:paraId="60CF3AB6"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21891</w:t>
            </w:r>
          </w:p>
        </w:tc>
      </w:tr>
      <w:tr w:rsidR="00304AE7" w14:paraId="72682846" w14:textId="77777777" w:rsidTr="00246195">
        <w:trPr>
          <w:trHeight w:val="324"/>
        </w:trPr>
        <w:tc>
          <w:tcPr>
            <w:tcW w:w="266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518E7D7" w14:textId="77777777" w:rsidR="00246195" w:rsidRPr="00246195" w:rsidRDefault="00313C6B" w:rsidP="00246195">
            <w:pPr>
              <w:spacing w:after="0" w:line="240" w:lineRule="auto"/>
              <w:jc w:val="lef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Gross profit margin</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1782E98A"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63%</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14462316"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67%</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61BCAF33"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66%</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1E9A17D0"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67%</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189049B3"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65%</w:t>
            </w:r>
          </w:p>
        </w:tc>
      </w:tr>
      <w:tr w:rsidR="00304AE7" w14:paraId="7074366B" w14:textId="77777777" w:rsidTr="00246195">
        <w:trPr>
          <w:trHeight w:val="310"/>
        </w:trPr>
        <w:tc>
          <w:tcPr>
            <w:tcW w:w="2662" w:type="dxa"/>
            <w:tcBorders>
              <w:top w:val="nil"/>
              <w:left w:val="nil"/>
              <w:bottom w:val="nil"/>
              <w:right w:val="nil"/>
            </w:tcBorders>
            <w:shd w:val="clear" w:color="auto" w:fill="auto"/>
            <w:noWrap/>
            <w:vAlign w:val="bottom"/>
            <w:hideMark/>
          </w:tcPr>
          <w:p w14:paraId="20DDF3E0" w14:textId="77777777" w:rsidR="00246195" w:rsidRPr="00246195" w:rsidRDefault="00246195" w:rsidP="00246195">
            <w:pPr>
              <w:spacing w:after="0" w:line="240" w:lineRule="auto"/>
              <w:jc w:val="right"/>
              <w:rPr>
                <w:rFonts w:ascii="Calibri" w:eastAsia="Times New Roman" w:hAnsi="Calibri" w:cs="Calibri"/>
                <w:b/>
                <w:bCs/>
                <w:color w:val="FFFFFF"/>
                <w:sz w:val="22"/>
                <w:lang w:val="en-US"/>
              </w:rPr>
            </w:pPr>
          </w:p>
        </w:tc>
        <w:tc>
          <w:tcPr>
            <w:tcW w:w="1303" w:type="dxa"/>
            <w:tcBorders>
              <w:top w:val="nil"/>
              <w:left w:val="nil"/>
              <w:bottom w:val="nil"/>
              <w:right w:val="nil"/>
            </w:tcBorders>
            <w:shd w:val="clear" w:color="auto" w:fill="auto"/>
            <w:noWrap/>
            <w:vAlign w:val="bottom"/>
            <w:hideMark/>
          </w:tcPr>
          <w:p w14:paraId="7DE1A852" w14:textId="77777777" w:rsidR="00246195" w:rsidRPr="00246195" w:rsidRDefault="00246195" w:rsidP="00246195">
            <w:pPr>
              <w:spacing w:after="0" w:line="240" w:lineRule="auto"/>
              <w:jc w:val="left"/>
              <w:rPr>
                <w:rFonts w:eastAsia="Times New Roman" w:cs="Times New Roman"/>
                <w:sz w:val="20"/>
                <w:szCs w:val="20"/>
                <w:lang w:val="en-US"/>
              </w:rPr>
            </w:pPr>
          </w:p>
        </w:tc>
        <w:tc>
          <w:tcPr>
            <w:tcW w:w="1303" w:type="dxa"/>
            <w:tcBorders>
              <w:top w:val="nil"/>
              <w:left w:val="nil"/>
              <w:bottom w:val="nil"/>
              <w:right w:val="nil"/>
            </w:tcBorders>
            <w:shd w:val="clear" w:color="auto" w:fill="auto"/>
            <w:noWrap/>
            <w:vAlign w:val="bottom"/>
            <w:hideMark/>
          </w:tcPr>
          <w:p w14:paraId="55034AB9" w14:textId="77777777" w:rsidR="00246195" w:rsidRPr="00246195" w:rsidRDefault="00246195" w:rsidP="00246195">
            <w:pPr>
              <w:spacing w:after="0" w:line="240" w:lineRule="auto"/>
              <w:jc w:val="left"/>
              <w:rPr>
                <w:rFonts w:eastAsia="Times New Roman" w:cs="Times New Roman"/>
                <w:sz w:val="20"/>
                <w:szCs w:val="20"/>
                <w:lang w:val="en-US"/>
              </w:rPr>
            </w:pPr>
          </w:p>
        </w:tc>
        <w:tc>
          <w:tcPr>
            <w:tcW w:w="1303" w:type="dxa"/>
            <w:tcBorders>
              <w:top w:val="nil"/>
              <w:left w:val="nil"/>
              <w:bottom w:val="nil"/>
              <w:right w:val="nil"/>
            </w:tcBorders>
            <w:shd w:val="clear" w:color="auto" w:fill="auto"/>
            <w:noWrap/>
            <w:vAlign w:val="bottom"/>
            <w:hideMark/>
          </w:tcPr>
          <w:p w14:paraId="7A567BA3" w14:textId="77777777" w:rsidR="00246195" w:rsidRPr="00246195" w:rsidRDefault="00246195" w:rsidP="00246195">
            <w:pPr>
              <w:spacing w:after="0" w:line="240" w:lineRule="auto"/>
              <w:jc w:val="left"/>
              <w:rPr>
                <w:rFonts w:eastAsia="Times New Roman" w:cs="Times New Roman"/>
                <w:sz w:val="20"/>
                <w:szCs w:val="20"/>
                <w:lang w:val="en-US"/>
              </w:rPr>
            </w:pPr>
          </w:p>
        </w:tc>
        <w:tc>
          <w:tcPr>
            <w:tcW w:w="1303" w:type="dxa"/>
            <w:tcBorders>
              <w:top w:val="nil"/>
              <w:left w:val="nil"/>
              <w:bottom w:val="nil"/>
              <w:right w:val="nil"/>
            </w:tcBorders>
            <w:shd w:val="clear" w:color="auto" w:fill="auto"/>
            <w:noWrap/>
            <w:vAlign w:val="bottom"/>
            <w:hideMark/>
          </w:tcPr>
          <w:p w14:paraId="62D213A6" w14:textId="77777777" w:rsidR="00246195" w:rsidRPr="00246195" w:rsidRDefault="00246195" w:rsidP="00246195">
            <w:pPr>
              <w:spacing w:after="0" w:line="240" w:lineRule="auto"/>
              <w:jc w:val="left"/>
              <w:rPr>
                <w:rFonts w:eastAsia="Times New Roman" w:cs="Times New Roman"/>
                <w:sz w:val="20"/>
                <w:szCs w:val="20"/>
                <w:lang w:val="en-US"/>
              </w:rPr>
            </w:pPr>
          </w:p>
        </w:tc>
        <w:tc>
          <w:tcPr>
            <w:tcW w:w="1303" w:type="dxa"/>
            <w:tcBorders>
              <w:top w:val="nil"/>
              <w:left w:val="nil"/>
              <w:bottom w:val="nil"/>
              <w:right w:val="nil"/>
            </w:tcBorders>
            <w:shd w:val="clear" w:color="auto" w:fill="auto"/>
            <w:noWrap/>
            <w:vAlign w:val="bottom"/>
            <w:hideMark/>
          </w:tcPr>
          <w:p w14:paraId="3048B5D3" w14:textId="77777777" w:rsidR="00246195" w:rsidRPr="00246195" w:rsidRDefault="00246195" w:rsidP="00246195">
            <w:pPr>
              <w:spacing w:after="0" w:line="240" w:lineRule="auto"/>
              <w:jc w:val="left"/>
              <w:rPr>
                <w:rFonts w:eastAsia="Times New Roman" w:cs="Times New Roman"/>
                <w:sz w:val="20"/>
                <w:szCs w:val="20"/>
                <w:lang w:val="en-US"/>
              </w:rPr>
            </w:pPr>
          </w:p>
        </w:tc>
      </w:tr>
      <w:tr w:rsidR="00304AE7" w14:paraId="1900D29F" w14:textId="77777777" w:rsidTr="00246195">
        <w:trPr>
          <w:trHeight w:val="295"/>
        </w:trPr>
        <w:tc>
          <w:tcPr>
            <w:tcW w:w="2662" w:type="dxa"/>
            <w:tcBorders>
              <w:top w:val="nil"/>
              <w:left w:val="nil"/>
              <w:bottom w:val="nil"/>
              <w:right w:val="nil"/>
            </w:tcBorders>
            <w:shd w:val="clear" w:color="auto" w:fill="auto"/>
            <w:noWrap/>
            <w:vAlign w:val="bottom"/>
            <w:hideMark/>
          </w:tcPr>
          <w:p w14:paraId="35588DC0" w14:textId="77777777" w:rsidR="00246195" w:rsidRPr="00246195" w:rsidRDefault="00246195" w:rsidP="00246195">
            <w:pPr>
              <w:spacing w:after="0" w:line="240" w:lineRule="auto"/>
              <w:jc w:val="left"/>
              <w:rPr>
                <w:rFonts w:eastAsia="Times New Roman" w:cs="Times New Roman"/>
                <w:sz w:val="20"/>
                <w:szCs w:val="20"/>
                <w:lang w:val="en-US"/>
              </w:rPr>
            </w:pPr>
          </w:p>
        </w:tc>
        <w:tc>
          <w:tcPr>
            <w:tcW w:w="6519" w:type="dxa"/>
            <w:gridSpan w:val="5"/>
            <w:tcBorders>
              <w:top w:val="nil"/>
              <w:left w:val="nil"/>
              <w:bottom w:val="nil"/>
              <w:right w:val="nil"/>
            </w:tcBorders>
            <w:shd w:val="clear" w:color="auto" w:fill="auto"/>
            <w:noWrap/>
            <w:vAlign w:val="bottom"/>
            <w:hideMark/>
          </w:tcPr>
          <w:p w14:paraId="2142C15D" w14:textId="77777777" w:rsidR="00246195" w:rsidRPr="00246195" w:rsidRDefault="00313C6B" w:rsidP="00246195">
            <w:pPr>
              <w:spacing w:after="0" w:line="240" w:lineRule="auto"/>
              <w:jc w:val="center"/>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Net Profit Margin</w:t>
            </w:r>
          </w:p>
        </w:tc>
      </w:tr>
      <w:tr w:rsidR="00304AE7" w14:paraId="54D51E10" w14:textId="77777777" w:rsidTr="00246195">
        <w:trPr>
          <w:trHeight w:val="295"/>
        </w:trPr>
        <w:tc>
          <w:tcPr>
            <w:tcW w:w="2662" w:type="dxa"/>
            <w:tcBorders>
              <w:top w:val="nil"/>
              <w:left w:val="nil"/>
              <w:bottom w:val="nil"/>
              <w:right w:val="nil"/>
            </w:tcBorders>
            <w:shd w:val="clear" w:color="auto" w:fill="auto"/>
            <w:noWrap/>
            <w:vAlign w:val="bottom"/>
            <w:hideMark/>
          </w:tcPr>
          <w:p w14:paraId="4F9CDC54" w14:textId="77777777" w:rsidR="00246195" w:rsidRPr="00246195" w:rsidRDefault="00313C6B" w:rsidP="00246195">
            <w:pPr>
              <w:spacing w:after="0" w:line="240" w:lineRule="auto"/>
              <w:jc w:val="lef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Net profit</w:t>
            </w:r>
          </w:p>
        </w:tc>
        <w:tc>
          <w:tcPr>
            <w:tcW w:w="1303" w:type="dxa"/>
            <w:tcBorders>
              <w:top w:val="nil"/>
              <w:left w:val="nil"/>
              <w:bottom w:val="nil"/>
              <w:right w:val="nil"/>
            </w:tcBorders>
            <w:shd w:val="clear" w:color="auto" w:fill="auto"/>
            <w:noWrap/>
            <w:vAlign w:val="bottom"/>
            <w:hideMark/>
          </w:tcPr>
          <w:p w14:paraId="4FBD4FB1"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8372</w:t>
            </w:r>
          </w:p>
        </w:tc>
        <w:tc>
          <w:tcPr>
            <w:tcW w:w="1303" w:type="dxa"/>
            <w:tcBorders>
              <w:top w:val="nil"/>
              <w:left w:val="nil"/>
              <w:bottom w:val="nil"/>
              <w:right w:val="nil"/>
            </w:tcBorders>
            <w:shd w:val="clear" w:color="auto" w:fill="auto"/>
            <w:noWrap/>
            <w:vAlign w:val="bottom"/>
            <w:hideMark/>
          </w:tcPr>
          <w:p w14:paraId="2CA71697"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1062</w:t>
            </w:r>
          </w:p>
        </w:tc>
        <w:tc>
          <w:tcPr>
            <w:tcW w:w="1303" w:type="dxa"/>
            <w:tcBorders>
              <w:top w:val="nil"/>
              <w:left w:val="nil"/>
              <w:bottom w:val="nil"/>
              <w:right w:val="nil"/>
            </w:tcBorders>
            <w:shd w:val="clear" w:color="auto" w:fill="auto"/>
            <w:noWrap/>
            <w:vAlign w:val="bottom"/>
            <w:hideMark/>
          </w:tcPr>
          <w:p w14:paraId="211A57CE"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2169</w:t>
            </w:r>
          </w:p>
        </w:tc>
        <w:tc>
          <w:tcPr>
            <w:tcW w:w="1303" w:type="dxa"/>
            <w:tcBorders>
              <w:top w:val="nil"/>
              <w:left w:val="nil"/>
              <w:bottom w:val="nil"/>
              <w:right w:val="nil"/>
            </w:tcBorders>
            <w:shd w:val="clear" w:color="auto" w:fill="auto"/>
            <w:noWrap/>
            <w:vAlign w:val="bottom"/>
            <w:hideMark/>
          </w:tcPr>
          <w:p w14:paraId="0AA72F1D"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4046</w:t>
            </w:r>
          </w:p>
        </w:tc>
        <w:tc>
          <w:tcPr>
            <w:tcW w:w="1303" w:type="dxa"/>
            <w:tcBorders>
              <w:top w:val="nil"/>
              <w:left w:val="nil"/>
              <w:bottom w:val="nil"/>
              <w:right w:val="nil"/>
            </w:tcBorders>
            <w:shd w:val="clear" w:color="auto" w:fill="auto"/>
            <w:noWrap/>
            <w:vAlign w:val="bottom"/>
            <w:hideMark/>
          </w:tcPr>
          <w:p w14:paraId="4AC724A1"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5268</w:t>
            </w:r>
          </w:p>
        </w:tc>
      </w:tr>
      <w:tr w:rsidR="00304AE7" w14:paraId="3FB22026" w14:textId="77777777" w:rsidTr="00246195">
        <w:trPr>
          <w:trHeight w:val="310"/>
        </w:trPr>
        <w:tc>
          <w:tcPr>
            <w:tcW w:w="2662" w:type="dxa"/>
            <w:tcBorders>
              <w:top w:val="nil"/>
              <w:left w:val="nil"/>
              <w:bottom w:val="nil"/>
              <w:right w:val="nil"/>
            </w:tcBorders>
            <w:shd w:val="clear" w:color="auto" w:fill="auto"/>
            <w:noWrap/>
            <w:vAlign w:val="bottom"/>
            <w:hideMark/>
          </w:tcPr>
          <w:p w14:paraId="0EEF2308" w14:textId="77777777" w:rsidR="00246195" w:rsidRPr="00246195" w:rsidRDefault="00313C6B" w:rsidP="00246195">
            <w:pPr>
              <w:spacing w:after="0" w:line="240" w:lineRule="auto"/>
              <w:jc w:val="lef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Sales</w:t>
            </w:r>
          </w:p>
        </w:tc>
        <w:tc>
          <w:tcPr>
            <w:tcW w:w="1303" w:type="dxa"/>
            <w:tcBorders>
              <w:top w:val="nil"/>
              <w:left w:val="nil"/>
              <w:bottom w:val="nil"/>
              <w:right w:val="nil"/>
            </w:tcBorders>
            <w:shd w:val="clear" w:color="auto" w:fill="auto"/>
            <w:noWrap/>
            <w:vAlign w:val="bottom"/>
            <w:hideMark/>
          </w:tcPr>
          <w:p w14:paraId="071FADDF"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23923</w:t>
            </w:r>
          </w:p>
        </w:tc>
        <w:tc>
          <w:tcPr>
            <w:tcW w:w="1303" w:type="dxa"/>
            <w:tcBorders>
              <w:top w:val="nil"/>
              <w:left w:val="nil"/>
              <w:bottom w:val="nil"/>
              <w:right w:val="nil"/>
            </w:tcBorders>
            <w:shd w:val="clear" w:color="auto" w:fill="auto"/>
            <w:noWrap/>
            <w:vAlign w:val="bottom"/>
            <w:hideMark/>
          </w:tcPr>
          <w:p w14:paraId="655DEDD2"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27889</w:t>
            </w:r>
          </w:p>
        </w:tc>
        <w:tc>
          <w:tcPr>
            <w:tcW w:w="1303" w:type="dxa"/>
            <w:tcBorders>
              <w:top w:val="nil"/>
              <w:left w:val="nil"/>
              <w:bottom w:val="nil"/>
              <w:right w:val="nil"/>
            </w:tcBorders>
            <w:shd w:val="clear" w:color="auto" w:fill="auto"/>
            <w:noWrap/>
            <w:vAlign w:val="bottom"/>
            <w:hideMark/>
          </w:tcPr>
          <w:p w14:paraId="5F7978C3"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30186</w:t>
            </w:r>
          </w:p>
        </w:tc>
        <w:tc>
          <w:tcPr>
            <w:tcW w:w="1303" w:type="dxa"/>
            <w:tcBorders>
              <w:top w:val="nil"/>
              <w:left w:val="nil"/>
              <w:bottom w:val="nil"/>
              <w:right w:val="nil"/>
            </w:tcBorders>
            <w:shd w:val="clear" w:color="auto" w:fill="auto"/>
            <w:noWrap/>
            <w:vAlign w:val="bottom"/>
            <w:hideMark/>
          </w:tcPr>
          <w:p w14:paraId="521ACB1F"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30821</w:t>
            </w:r>
          </w:p>
        </w:tc>
        <w:tc>
          <w:tcPr>
            <w:tcW w:w="1303" w:type="dxa"/>
            <w:tcBorders>
              <w:top w:val="nil"/>
              <w:left w:val="nil"/>
              <w:bottom w:val="nil"/>
              <w:right w:val="nil"/>
            </w:tcBorders>
            <w:shd w:val="clear" w:color="auto" w:fill="auto"/>
            <w:noWrap/>
            <w:vAlign w:val="bottom"/>
            <w:hideMark/>
          </w:tcPr>
          <w:p w14:paraId="68EF4EE2"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33754</w:t>
            </w:r>
          </w:p>
        </w:tc>
      </w:tr>
      <w:tr w:rsidR="00304AE7" w14:paraId="5739D57D" w14:textId="77777777" w:rsidTr="00246195">
        <w:trPr>
          <w:trHeight w:val="324"/>
        </w:trPr>
        <w:tc>
          <w:tcPr>
            <w:tcW w:w="266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F8828CC" w14:textId="77777777" w:rsidR="00246195" w:rsidRPr="00246195" w:rsidRDefault="00313C6B" w:rsidP="00246195">
            <w:pPr>
              <w:spacing w:after="0" w:line="240" w:lineRule="auto"/>
              <w:jc w:val="lef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Net profit margin</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1591EF88"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35%</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1A9EEA95"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4%</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5D9A161E"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7%</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7B4F5B61"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13%</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2E719A51"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16%</w:t>
            </w:r>
          </w:p>
        </w:tc>
      </w:tr>
      <w:tr w:rsidR="00304AE7" w14:paraId="43BC422D" w14:textId="77777777" w:rsidTr="00246195">
        <w:trPr>
          <w:trHeight w:val="310"/>
        </w:trPr>
        <w:tc>
          <w:tcPr>
            <w:tcW w:w="2662" w:type="dxa"/>
            <w:tcBorders>
              <w:top w:val="nil"/>
              <w:left w:val="nil"/>
              <w:bottom w:val="nil"/>
              <w:right w:val="nil"/>
            </w:tcBorders>
            <w:shd w:val="clear" w:color="auto" w:fill="auto"/>
            <w:noWrap/>
            <w:vAlign w:val="bottom"/>
            <w:hideMark/>
          </w:tcPr>
          <w:p w14:paraId="60C001DD" w14:textId="77777777" w:rsidR="00246195" w:rsidRPr="00246195" w:rsidRDefault="00246195" w:rsidP="00246195">
            <w:pPr>
              <w:spacing w:after="0" w:line="240" w:lineRule="auto"/>
              <w:jc w:val="right"/>
              <w:rPr>
                <w:rFonts w:ascii="Calibri" w:eastAsia="Times New Roman" w:hAnsi="Calibri" w:cs="Calibri"/>
                <w:b/>
                <w:bCs/>
                <w:color w:val="FFFFFF"/>
                <w:sz w:val="22"/>
                <w:lang w:val="en-US"/>
              </w:rPr>
            </w:pPr>
          </w:p>
        </w:tc>
        <w:tc>
          <w:tcPr>
            <w:tcW w:w="6519" w:type="dxa"/>
            <w:gridSpan w:val="5"/>
            <w:tcBorders>
              <w:top w:val="nil"/>
              <w:left w:val="nil"/>
              <w:bottom w:val="nil"/>
              <w:right w:val="nil"/>
            </w:tcBorders>
            <w:shd w:val="clear" w:color="auto" w:fill="auto"/>
            <w:noWrap/>
            <w:vAlign w:val="bottom"/>
            <w:hideMark/>
          </w:tcPr>
          <w:p w14:paraId="411452E0" w14:textId="77777777" w:rsidR="00246195" w:rsidRPr="00246195" w:rsidRDefault="00313C6B" w:rsidP="00246195">
            <w:pPr>
              <w:spacing w:after="0" w:line="240" w:lineRule="auto"/>
              <w:jc w:val="center"/>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Return on Equity</w:t>
            </w:r>
          </w:p>
        </w:tc>
      </w:tr>
      <w:tr w:rsidR="00304AE7" w14:paraId="20E45F9E" w14:textId="77777777" w:rsidTr="00246195">
        <w:trPr>
          <w:trHeight w:val="295"/>
        </w:trPr>
        <w:tc>
          <w:tcPr>
            <w:tcW w:w="2662" w:type="dxa"/>
            <w:tcBorders>
              <w:top w:val="nil"/>
              <w:left w:val="nil"/>
              <w:bottom w:val="nil"/>
              <w:right w:val="nil"/>
            </w:tcBorders>
            <w:shd w:val="clear" w:color="auto" w:fill="auto"/>
            <w:noWrap/>
            <w:vAlign w:val="bottom"/>
            <w:hideMark/>
          </w:tcPr>
          <w:p w14:paraId="28439A48" w14:textId="77777777" w:rsidR="00246195" w:rsidRPr="00246195" w:rsidRDefault="00313C6B" w:rsidP="00246195">
            <w:pPr>
              <w:spacing w:after="0" w:line="240" w:lineRule="auto"/>
              <w:jc w:val="lef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 xml:space="preserve">Net </w:t>
            </w:r>
            <w:r w:rsidRPr="00246195">
              <w:rPr>
                <w:rFonts w:ascii="Calibri" w:eastAsia="Times New Roman" w:hAnsi="Calibri" w:cs="Calibri"/>
                <w:color w:val="000000"/>
                <w:sz w:val="22"/>
                <w:lang w:val="en-US"/>
              </w:rPr>
              <w:t>profit</w:t>
            </w:r>
          </w:p>
        </w:tc>
        <w:tc>
          <w:tcPr>
            <w:tcW w:w="1303" w:type="dxa"/>
            <w:tcBorders>
              <w:top w:val="nil"/>
              <w:left w:val="nil"/>
              <w:bottom w:val="nil"/>
              <w:right w:val="nil"/>
            </w:tcBorders>
            <w:shd w:val="clear" w:color="auto" w:fill="auto"/>
            <w:noWrap/>
            <w:vAlign w:val="bottom"/>
            <w:hideMark/>
          </w:tcPr>
          <w:p w14:paraId="44827F24"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8372</w:t>
            </w:r>
          </w:p>
        </w:tc>
        <w:tc>
          <w:tcPr>
            <w:tcW w:w="1303" w:type="dxa"/>
            <w:tcBorders>
              <w:top w:val="nil"/>
              <w:left w:val="nil"/>
              <w:bottom w:val="nil"/>
              <w:right w:val="nil"/>
            </w:tcBorders>
            <w:shd w:val="clear" w:color="auto" w:fill="auto"/>
            <w:noWrap/>
            <w:vAlign w:val="bottom"/>
            <w:hideMark/>
          </w:tcPr>
          <w:p w14:paraId="5D5470C0"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1062</w:t>
            </w:r>
          </w:p>
        </w:tc>
        <w:tc>
          <w:tcPr>
            <w:tcW w:w="1303" w:type="dxa"/>
            <w:tcBorders>
              <w:top w:val="nil"/>
              <w:left w:val="nil"/>
              <w:bottom w:val="nil"/>
              <w:right w:val="nil"/>
            </w:tcBorders>
            <w:shd w:val="clear" w:color="auto" w:fill="auto"/>
            <w:noWrap/>
            <w:vAlign w:val="bottom"/>
            <w:hideMark/>
          </w:tcPr>
          <w:p w14:paraId="0B766C71"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2169</w:t>
            </w:r>
          </w:p>
        </w:tc>
        <w:tc>
          <w:tcPr>
            <w:tcW w:w="1303" w:type="dxa"/>
            <w:tcBorders>
              <w:top w:val="nil"/>
              <w:left w:val="nil"/>
              <w:bottom w:val="nil"/>
              <w:right w:val="nil"/>
            </w:tcBorders>
            <w:shd w:val="clear" w:color="auto" w:fill="auto"/>
            <w:noWrap/>
            <w:vAlign w:val="bottom"/>
            <w:hideMark/>
          </w:tcPr>
          <w:p w14:paraId="592AD3BC"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4046</w:t>
            </w:r>
          </w:p>
        </w:tc>
        <w:tc>
          <w:tcPr>
            <w:tcW w:w="1303" w:type="dxa"/>
            <w:tcBorders>
              <w:top w:val="nil"/>
              <w:left w:val="nil"/>
              <w:bottom w:val="nil"/>
              <w:right w:val="nil"/>
            </w:tcBorders>
            <w:shd w:val="clear" w:color="auto" w:fill="auto"/>
            <w:noWrap/>
            <w:vAlign w:val="bottom"/>
            <w:hideMark/>
          </w:tcPr>
          <w:p w14:paraId="5B09C556"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5268</w:t>
            </w:r>
          </w:p>
        </w:tc>
      </w:tr>
      <w:tr w:rsidR="00304AE7" w14:paraId="0B37F782" w14:textId="77777777" w:rsidTr="00246195">
        <w:trPr>
          <w:trHeight w:val="310"/>
        </w:trPr>
        <w:tc>
          <w:tcPr>
            <w:tcW w:w="2662" w:type="dxa"/>
            <w:tcBorders>
              <w:top w:val="nil"/>
              <w:left w:val="nil"/>
              <w:bottom w:val="nil"/>
              <w:right w:val="nil"/>
            </w:tcBorders>
            <w:shd w:val="clear" w:color="auto" w:fill="auto"/>
            <w:noWrap/>
            <w:vAlign w:val="bottom"/>
            <w:hideMark/>
          </w:tcPr>
          <w:p w14:paraId="7434EF09" w14:textId="77777777" w:rsidR="00246195" w:rsidRPr="00246195" w:rsidRDefault="00313C6B" w:rsidP="00246195">
            <w:pPr>
              <w:spacing w:after="0" w:line="240" w:lineRule="auto"/>
              <w:jc w:val="lef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Total Equity</w:t>
            </w:r>
          </w:p>
        </w:tc>
        <w:tc>
          <w:tcPr>
            <w:tcW w:w="1303" w:type="dxa"/>
            <w:tcBorders>
              <w:top w:val="nil"/>
              <w:left w:val="nil"/>
              <w:bottom w:val="nil"/>
              <w:right w:val="nil"/>
            </w:tcBorders>
            <w:shd w:val="clear" w:color="auto" w:fill="auto"/>
            <w:noWrap/>
            <w:vAlign w:val="bottom"/>
            <w:hideMark/>
          </w:tcPr>
          <w:p w14:paraId="2DC326C7"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8878</w:t>
            </w:r>
          </w:p>
        </w:tc>
        <w:tc>
          <w:tcPr>
            <w:tcW w:w="1303" w:type="dxa"/>
            <w:tcBorders>
              <w:top w:val="nil"/>
              <w:left w:val="nil"/>
              <w:bottom w:val="nil"/>
              <w:right w:val="nil"/>
            </w:tcBorders>
            <w:shd w:val="clear" w:color="auto" w:fill="auto"/>
            <w:noWrap/>
            <w:vAlign w:val="bottom"/>
            <w:hideMark/>
          </w:tcPr>
          <w:p w14:paraId="32B37989"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4963</w:t>
            </w:r>
          </w:p>
        </w:tc>
        <w:tc>
          <w:tcPr>
            <w:tcW w:w="1303" w:type="dxa"/>
            <w:tcBorders>
              <w:top w:val="nil"/>
              <w:left w:val="nil"/>
              <w:bottom w:val="nil"/>
              <w:right w:val="nil"/>
            </w:tcBorders>
            <w:shd w:val="clear" w:color="auto" w:fill="auto"/>
            <w:noWrap/>
            <w:vAlign w:val="bottom"/>
            <w:hideMark/>
          </w:tcPr>
          <w:p w14:paraId="2A4A3D0F"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3489</w:t>
            </w:r>
          </w:p>
        </w:tc>
        <w:tc>
          <w:tcPr>
            <w:tcW w:w="1303" w:type="dxa"/>
            <w:tcBorders>
              <w:top w:val="nil"/>
              <w:left w:val="nil"/>
              <w:bottom w:val="nil"/>
              <w:right w:val="nil"/>
            </w:tcBorders>
            <w:shd w:val="clear" w:color="auto" w:fill="auto"/>
            <w:noWrap/>
            <w:vAlign w:val="bottom"/>
            <w:hideMark/>
          </w:tcPr>
          <w:p w14:paraId="7D153C71"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3672</w:t>
            </w:r>
          </w:p>
        </w:tc>
        <w:tc>
          <w:tcPr>
            <w:tcW w:w="1303" w:type="dxa"/>
            <w:tcBorders>
              <w:top w:val="nil"/>
              <w:left w:val="nil"/>
              <w:bottom w:val="nil"/>
              <w:right w:val="nil"/>
            </w:tcBorders>
            <w:shd w:val="clear" w:color="auto" w:fill="auto"/>
            <w:noWrap/>
            <w:vAlign w:val="bottom"/>
            <w:hideMark/>
          </w:tcPr>
          <w:p w14:paraId="32BCACA5"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18357</w:t>
            </w:r>
          </w:p>
        </w:tc>
      </w:tr>
      <w:tr w:rsidR="00304AE7" w14:paraId="05322D19" w14:textId="77777777" w:rsidTr="00246195">
        <w:trPr>
          <w:trHeight w:val="324"/>
        </w:trPr>
        <w:tc>
          <w:tcPr>
            <w:tcW w:w="266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7D1EE73A" w14:textId="77777777" w:rsidR="00246195" w:rsidRPr="00246195" w:rsidRDefault="00313C6B" w:rsidP="00246195">
            <w:pPr>
              <w:spacing w:after="0" w:line="240" w:lineRule="auto"/>
              <w:jc w:val="lef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Return on equity</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25999455"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94%</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0FDC48E3"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21%</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10E4F54C"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62%</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3AA32D5E"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110%</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211030F0"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29%</w:t>
            </w:r>
          </w:p>
        </w:tc>
      </w:tr>
      <w:tr w:rsidR="00304AE7" w14:paraId="326FA2E1" w14:textId="77777777" w:rsidTr="00246195">
        <w:trPr>
          <w:trHeight w:val="310"/>
        </w:trPr>
        <w:tc>
          <w:tcPr>
            <w:tcW w:w="2662" w:type="dxa"/>
            <w:tcBorders>
              <w:top w:val="nil"/>
              <w:left w:val="nil"/>
              <w:bottom w:val="nil"/>
              <w:right w:val="nil"/>
            </w:tcBorders>
            <w:shd w:val="clear" w:color="auto" w:fill="auto"/>
            <w:noWrap/>
            <w:vAlign w:val="bottom"/>
            <w:hideMark/>
          </w:tcPr>
          <w:p w14:paraId="70F8DD9D" w14:textId="77777777" w:rsidR="00246195" w:rsidRPr="00246195" w:rsidRDefault="00246195" w:rsidP="00246195">
            <w:pPr>
              <w:spacing w:after="0" w:line="240" w:lineRule="auto"/>
              <w:jc w:val="right"/>
              <w:rPr>
                <w:rFonts w:ascii="Calibri" w:eastAsia="Times New Roman" w:hAnsi="Calibri" w:cs="Calibri"/>
                <w:b/>
                <w:bCs/>
                <w:color w:val="FFFFFF"/>
                <w:sz w:val="22"/>
                <w:lang w:val="en-US"/>
              </w:rPr>
            </w:pPr>
          </w:p>
        </w:tc>
        <w:tc>
          <w:tcPr>
            <w:tcW w:w="6519" w:type="dxa"/>
            <w:gridSpan w:val="5"/>
            <w:tcBorders>
              <w:top w:val="nil"/>
              <w:left w:val="nil"/>
              <w:bottom w:val="nil"/>
              <w:right w:val="nil"/>
            </w:tcBorders>
            <w:shd w:val="clear" w:color="auto" w:fill="auto"/>
            <w:noWrap/>
            <w:vAlign w:val="bottom"/>
            <w:hideMark/>
          </w:tcPr>
          <w:p w14:paraId="165ABF75" w14:textId="77777777" w:rsidR="00246195" w:rsidRPr="00246195" w:rsidRDefault="00313C6B" w:rsidP="00246195">
            <w:pPr>
              <w:spacing w:after="0" w:line="240" w:lineRule="auto"/>
              <w:jc w:val="center"/>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Return on Asset</w:t>
            </w:r>
          </w:p>
        </w:tc>
      </w:tr>
      <w:tr w:rsidR="00304AE7" w14:paraId="657A844F" w14:textId="77777777" w:rsidTr="00246195">
        <w:trPr>
          <w:trHeight w:val="295"/>
        </w:trPr>
        <w:tc>
          <w:tcPr>
            <w:tcW w:w="2662" w:type="dxa"/>
            <w:tcBorders>
              <w:top w:val="nil"/>
              <w:left w:val="nil"/>
              <w:bottom w:val="nil"/>
              <w:right w:val="nil"/>
            </w:tcBorders>
            <w:shd w:val="clear" w:color="auto" w:fill="auto"/>
            <w:noWrap/>
            <w:vAlign w:val="bottom"/>
            <w:hideMark/>
          </w:tcPr>
          <w:p w14:paraId="7FC84E20" w14:textId="77777777" w:rsidR="00246195" w:rsidRPr="00246195" w:rsidRDefault="00313C6B" w:rsidP="00246195">
            <w:pPr>
              <w:spacing w:after="0" w:line="240" w:lineRule="auto"/>
              <w:jc w:val="lef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Net Income</w:t>
            </w:r>
          </w:p>
        </w:tc>
        <w:tc>
          <w:tcPr>
            <w:tcW w:w="1303" w:type="dxa"/>
            <w:tcBorders>
              <w:top w:val="nil"/>
              <w:left w:val="nil"/>
              <w:bottom w:val="nil"/>
              <w:right w:val="nil"/>
            </w:tcBorders>
            <w:shd w:val="clear" w:color="auto" w:fill="auto"/>
            <w:noWrap/>
            <w:vAlign w:val="bottom"/>
            <w:hideMark/>
          </w:tcPr>
          <w:p w14:paraId="426A3143"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8372</w:t>
            </w:r>
          </w:p>
        </w:tc>
        <w:tc>
          <w:tcPr>
            <w:tcW w:w="1303" w:type="dxa"/>
            <w:tcBorders>
              <w:top w:val="nil"/>
              <w:left w:val="nil"/>
              <w:bottom w:val="nil"/>
              <w:right w:val="nil"/>
            </w:tcBorders>
            <w:shd w:val="clear" w:color="auto" w:fill="auto"/>
            <w:noWrap/>
            <w:vAlign w:val="bottom"/>
            <w:hideMark/>
          </w:tcPr>
          <w:p w14:paraId="7EF0B91E"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1062</w:t>
            </w:r>
          </w:p>
        </w:tc>
        <w:tc>
          <w:tcPr>
            <w:tcW w:w="1303" w:type="dxa"/>
            <w:tcBorders>
              <w:top w:val="nil"/>
              <w:left w:val="nil"/>
              <w:bottom w:val="nil"/>
              <w:right w:val="nil"/>
            </w:tcBorders>
            <w:shd w:val="clear" w:color="auto" w:fill="auto"/>
            <w:noWrap/>
            <w:vAlign w:val="bottom"/>
            <w:hideMark/>
          </w:tcPr>
          <w:p w14:paraId="73FAB5AC"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2169</w:t>
            </w:r>
          </w:p>
        </w:tc>
        <w:tc>
          <w:tcPr>
            <w:tcW w:w="1303" w:type="dxa"/>
            <w:tcBorders>
              <w:top w:val="nil"/>
              <w:left w:val="nil"/>
              <w:bottom w:val="nil"/>
              <w:right w:val="nil"/>
            </w:tcBorders>
            <w:shd w:val="clear" w:color="auto" w:fill="auto"/>
            <w:noWrap/>
            <w:vAlign w:val="bottom"/>
            <w:hideMark/>
          </w:tcPr>
          <w:p w14:paraId="74187866"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4046</w:t>
            </w:r>
          </w:p>
        </w:tc>
        <w:tc>
          <w:tcPr>
            <w:tcW w:w="1303" w:type="dxa"/>
            <w:tcBorders>
              <w:top w:val="nil"/>
              <w:left w:val="nil"/>
              <w:bottom w:val="nil"/>
              <w:right w:val="nil"/>
            </w:tcBorders>
            <w:shd w:val="clear" w:color="auto" w:fill="auto"/>
            <w:noWrap/>
            <w:vAlign w:val="bottom"/>
            <w:hideMark/>
          </w:tcPr>
          <w:p w14:paraId="69CFD711"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5268</w:t>
            </w:r>
          </w:p>
        </w:tc>
      </w:tr>
      <w:tr w:rsidR="00304AE7" w14:paraId="077EB76E" w14:textId="77777777" w:rsidTr="00246195">
        <w:trPr>
          <w:trHeight w:val="310"/>
        </w:trPr>
        <w:tc>
          <w:tcPr>
            <w:tcW w:w="2662" w:type="dxa"/>
            <w:tcBorders>
              <w:top w:val="nil"/>
              <w:left w:val="nil"/>
              <w:bottom w:val="nil"/>
              <w:right w:val="nil"/>
            </w:tcBorders>
            <w:shd w:val="clear" w:color="auto" w:fill="auto"/>
            <w:noWrap/>
            <w:vAlign w:val="bottom"/>
            <w:hideMark/>
          </w:tcPr>
          <w:p w14:paraId="2832C270" w14:textId="77777777" w:rsidR="00246195" w:rsidRPr="00246195" w:rsidRDefault="00313C6B" w:rsidP="00246195">
            <w:pPr>
              <w:spacing w:after="0" w:line="240" w:lineRule="auto"/>
              <w:jc w:val="lef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Total Assets</w:t>
            </w:r>
          </w:p>
        </w:tc>
        <w:tc>
          <w:tcPr>
            <w:tcW w:w="1303" w:type="dxa"/>
            <w:tcBorders>
              <w:top w:val="nil"/>
              <w:left w:val="nil"/>
              <w:bottom w:val="nil"/>
              <w:right w:val="nil"/>
            </w:tcBorders>
            <w:shd w:val="clear" w:color="auto" w:fill="auto"/>
            <w:noWrap/>
            <w:vAlign w:val="bottom"/>
            <w:hideMark/>
          </w:tcPr>
          <w:p w14:paraId="3E5A0034"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53446</w:t>
            </w:r>
          </w:p>
        </w:tc>
        <w:tc>
          <w:tcPr>
            <w:tcW w:w="1303" w:type="dxa"/>
            <w:tcBorders>
              <w:top w:val="nil"/>
              <w:left w:val="nil"/>
              <w:bottom w:val="nil"/>
              <w:right w:val="nil"/>
            </w:tcBorders>
            <w:shd w:val="clear" w:color="auto" w:fill="auto"/>
            <w:noWrap/>
            <w:vAlign w:val="bottom"/>
            <w:hideMark/>
          </w:tcPr>
          <w:p w14:paraId="1DC6A99A"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59081</w:t>
            </w:r>
          </w:p>
        </w:tc>
        <w:tc>
          <w:tcPr>
            <w:tcW w:w="1303" w:type="dxa"/>
            <w:tcBorders>
              <w:top w:val="nil"/>
              <w:left w:val="nil"/>
              <w:bottom w:val="nil"/>
              <w:right w:val="nil"/>
            </w:tcBorders>
            <w:shd w:val="clear" w:color="auto" w:fill="auto"/>
            <w:noWrap/>
            <w:vAlign w:val="bottom"/>
            <w:hideMark/>
          </w:tcPr>
          <w:p w14:paraId="69654332"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56381</w:t>
            </w:r>
          </w:p>
        </w:tc>
        <w:tc>
          <w:tcPr>
            <w:tcW w:w="1303" w:type="dxa"/>
            <w:tcBorders>
              <w:top w:val="nil"/>
              <w:left w:val="nil"/>
              <w:bottom w:val="nil"/>
              <w:right w:val="nil"/>
            </w:tcBorders>
            <w:shd w:val="clear" w:color="auto" w:fill="auto"/>
            <w:noWrap/>
            <w:vAlign w:val="bottom"/>
            <w:hideMark/>
          </w:tcPr>
          <w:p w14:paraId="6CCFD597"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58066</w:t>
            </w:r>
          </w:p>
        </w:tc>
        <w:tc>
          <w:tcPr>
            <w:tcW w:w="1303" w:type="dxa"/>
            <w:tcBorders>
              <w:top w:val="nil"/>
              <w:left w:val="nil"/>
              <w:bottom w:val="nil"/>
              <w:right w:val="nil"/>
            </w:tcBorders>
            <w:shd w:val="clear" w:color="auto" w:fill="auto"/>
            <w:noWrap/>
            <w:vAlign w:val="bottom"/>
            <w:hideMark/>
          </w:tcPr>
          <w:p w14:paraId="7C41E86E" w14:textId="77777777" w:rsidR="00246195" w:rsidRPr="00246195" w:rsidRDefault="00313C6B" w:rsidP="00246195">
            <w:pPr>
              <w:spacing w:after="0" w:line="240" w:lineRule="auto"/>
              <w:jc w:val="right"/>
              <w:rPr>
                <w:rFonts w:ascii="Calibri" w:eastAsia="Times New Roman" w:hAnsi="Calibri" w:cs="Calibri"/>
                <w:color w:val="000000"/>
                <w:sz w:val="22"/>
                <w:lang w:val="en-US"/>
              </w:rPr>
            </w:pPr>
            <w:r w:rsidRPr="00246195">
              <w:rPr>
                <w:rFonts w:ascii="Calibri" w:eastAsia="Times New Roman" w:hAnsi="Calibri" w:cs="Calibri"/>
                <w:color w:val="000000"/>
                <w:sz w:val="22"/>
                <w:lang w:val="en-US"/>
              </w:rPr>
              <w:t>79692</w:t>
            </w:r>
          </w:p>
        </w:tc>
      </w:tr>
      <w:tr w:rsidR="00304AE7" w14:paraId="078B2615" w14:textId="77777777" w:rsidTr="00246195">
        <w:trPr>
          <w:trHeight w:val="324"/>
        </w:trPr>
        <w:tc>
          <w:tcPr>
            <w:tcW w:w="266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34FA6FE" w14:textId="77777777" w:rsidR="00246195" w:rsidRPr="00246195" w:rsidRDefault="00313C6B" w:rsidP="00246195">
            <w:pPr>
              <w:spacing w:after="0" w:line="240" w:lineRule="auto"/>
              <w:jc w:val="lef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Return on assets</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41C6224F"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16%</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691F07D7"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2%</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667CA675"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4%</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570AD129"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7%</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5506F8FF" w14:textId="77777777" w:rsidR="00246195" w:rsidRPr="00246195" w:rsidRDefault="00313C6B" w:rsidP="00246195">
            <w:pPr>
              <w:spacing w:after="0" w:line="240" w:lineRule="auto"/>
              <w:jc w:val="right"/>
              <w:rPr>
                <w:rFonts w:ascii="Calibri" w:eastAsia="Times New Roman" w:hAnsi="Calibri" w:cs="Calibri"/>
                <w:b/>
                <w:bCs/>
                <w:color w:val="FFFFFF"/>
                <w:sz w:val="22"/>
                <w:lang w:val="en-US"/>
              </w:rPr>
            </w:pPr>
            <w:r w:rsidRPr="00246195">
              <w:rPr>
                <w:rFonts w:ascii="Calibri" w:eastAsia="Times New Roman" w:hAnsi="Calibri" w:cs="Calibri"/>
                <w:b/>
                <w:bCs/>
                <w:color w:val="FFFFFF"/>
                <w:sz w:val="22"/>
                <w:lang w:val="en-US"/>
              </w:rPr>
              <w:t>7%</w:t>
            </w:r>
          </w:p>
        </w:tc>
      </w:tr>
    </w:tbl>
    <w:p w14:paraId="0040A623" w14:textId="77777777" w:rsidR="00246195" w:rsidRPr="00246195" w:rsidRDefault="00246195" w:rsidP="00246195"/>
    <w:p w14:paraId="4B322A29" w14:textId="77777777" w:rsidR="00F93B9D" w:rsidRPr="00246195" w:rsidRDefault="00313C6B" w:rsidP="00FB5261">
      <w:pPr>
        <w:spacing w:line="360" w:lineRule="auto"/>
        <w:rPr>
          <w:rFonts w:cs="Times New Roman"/>
          <w:b/>
          <w:bCs/>
          <w:szCs w:val="24"/>
        </w:rPr>
      </w:pPr>
      <w:r w:rsidRPr="00246195">
        <w:rPr>
          <w:rFonts w:cs="Times New Roman"/>
          <w:b/>
          <w:bCs/>
          <w:szCs w:val="24"/>
        </w:rPr>
        <w:t>Evaluation of profitability ratios:</w:t>
      </w:r>
    </w:p>
    <w:p w14:paraId="5E884F7F" w14:textId="77777777" w:rsidR="00D35E68" w:rsidRPr="00FB5261" w:rsidRDefault="00313C6B" w:rsidP="00FB5261">
      <w:pPr>
        <w:spacing w:line="360" w:lineRule="auto"/>
        <w:rPr>
          <w:rFonts w:cs="Times New Roman"/>
          <w:szCs w:val="24"/>
        </w:rPr>
      </w:pPr>
      <w:r w:rsidRPr="00246195">
        <w:rPr>
          <w:rFonts w:cs="Times New Roman"/>
          <w:b/>
          <w:bCs/>
          <w:szCs w:val="24"/>
        </w:rPr>
        <w:t>Gross profit margin:</w:t>
      </w:r>
      <w:r w:rsidRPr="00FB5261">
        <w:rPr>
          <w:rFonts w:cs="Times New Roman"/>
          <w:szCs w:val="24"/>
        </w:rPr>
        <w:t xml:space="preserve"> It </w:t>
      </w:r>
      <w:r w:rsidR="002A1477" w:rsidRPr="00FB5261">
        <w:rPr>
          <w:rFonts w:cs="Times New Roman"/>
          <w:szCs w:val="24"/>
        </w:rPr>
        <w:t xml:space="preserve">refers </w:t>
      </w:r>
      <w:r w:rsidR="00A862ED">
        <w:rPr>
          <w:rFonts w:cs="Times New Roman"/>
          <w:szCs w:val="24"/>
        </w:rPr>
        <w:t xml:space="preserve">to </w:t>
      </w:r>
      <w:r w:rsidR="002A1477" w:rsidRPr="00FB5261">
        <w:rPr>
          <w:rFonts w:cs="Times New Roman"/>
          <w:szCs w:val="24"/>
        </w:rPr>
        <w:t>the percentage of revenue from turnover that a company gets after meeting up all the direct costs involved with manufacturing the goods and services</w:t>
      </w:r>
      <w:r w:rsidR="003907C8">
        <w:rPr>
          <w:rFonts w:cs="Times New Roman"/>
          <w:szCs w:val="24"/>
        </w:rPr>
        <w:t xml:space="preserve"> </w:t>
      </w:r>
      <w:r w:rsidR="003907C8">
        <w:rPr>
          <w:color w:val="000000"/>
        </w:rPr>
        <w:t>(Robinson et al., 2012)</w:t>
      </w:r>
      <w:r w:rsidR="002A1477" w:rsidRPr="00FB5261">
        <w:rPr>
          <w:rFonts w:cs="Times New Roman"/>
          <w:szCs w:val="24"/>
        </w:rPr>
        <w:t xml:space="preserve">. The standard for gross profit margin is 30%-40%. In the above table, it is seen that GSK has </w:t>
      </w:r>
      <w:r w:rsidR="00A862ED">
        <w:rPr>
          <w:rFonts w:cs="Times New Roman"/>
          <w:szCs w:val="24"/>
        </w:rPr>
        <w:t xml:space="preserve">an </w:t>
      </w:r>
      <w:r w:rsidR="002A1477" w:rsidRPr="00FB5261">
        <w:rPr>
          <w:rFonts w:cs="Times New Roman"/>
          <w:szCs w:val="24"/>
        </w:rPr>
        <w:t>above-standard margin, which implies a profitable condition for the business.</w:t>
      </w:r>
    </w:p>
    <w:p w14:paraId="2E5E92E1" w14:textId="77777777" w:rsidR="00365CD6" w:rsidRPr="00FB5261" w:rsidRDefault="00313C6B" w:rsidP="00FB5261">
      <w:pPr>
        <w:spacing w:line="360" w:lineRule="auto"/>
        <w:rPr>
          <w:rFonts w:cs="Times New Roman"/>
          <w:szCs w:val="24"/>
        </w:rPr>
      </w:pPr>
      <w:r w:rsidRPr="00246195">
        <w:rPr>
          <w:rFonts w:cs="Times New Roman"/>
          <w:b/>
          <w:bCs/>
          <w:szCs w:val="24"/>
        </w:rPr>
        <w:t xml:space="preserve">Net profit margin: </w:t>
      </w:r>
      <w:r w:rsidRPr="00FB5261">
        <w:rPr>
          <w:rFonts w:cs="Times New Roman"/>
          <w:szCs w:val="24"/>
        </w:rPr>
        <w:t xml:space="preserve">It refers </w:t>
      </w:r>
      <w:r w:rsidR="00A862ED">
        <w:rPr>
          <w:rFonts w:cs="Times New Roman"/>
          <w:szCs w:val="24"/>
        </w:rPr>
        <w:t xml:space="preserve">to </w:t>
      </w:r>
      <w:r w:rsidRPr="00FB5261">
        <w:rPr>
          <w:rFonts w:cs="Times New Roman"/>
          <w:szCs w:val="24"/>
        </w:rPr>
        <w:t xml:space="preserve">the percentage of net profit against the total sales revenue. </w:t>
      </w:r>
      <w:r w:rsidRPr="00FB5261">
        <w:rPr>
          <w:rFonts w:cs="Times New Roman"/>
          <w:szCs w:val="24"/>
        </w:rPr>
        <w:t xml:space="preserve">The standard of net profit margin is 10%. The above table shows GSK has </w:t>
      </w:r>
      <w:r w:rsidR="00A862ED">
        <w:rPr>
          <w:rFonts w:cs="Times New Roman"/>
          <w:szCs w:val="24"/>
        </w:rPr>
        <w:t xml:space="preserve">an </w:t>
      </w:r>
      <w:r w:rsidRPr="00FB5261">
        <w:rPr>
          <w:rFonts w:cs="Times New Roman"/>
          <w:szCs w:val="24"/>
        </w:rPr>
        <w:t>above-standard net profit margin in 2015, 2018</w:t>
      </w:r>
      <w:r w:rsidR="00A862ED">
        <w:rPr>
          <w:rFonts w:cs="Times New Roman"/>
          <w:szCs w:val="24"/>
        </w:rPr>
        <w:t>,</w:t>
      </w:r>
      <w:r w:rsidRPr="00FB5261">
        <w:rPr>
          <w:rFonts w:cs="Times New Roman"/>
          <w:szCs w:val="24"/>
        </w:rPr>
        <w:t xml:space="preserve"> and 2019. In 2016 and 2017, the company incurred too much expense in operation, which led the net margin for those years </w:t>
      </w:r>
      <w:r w:rsidR="00A862ED">
        <w:rPr>
          <w:rFonts w:cs="Times New Roman"/>
          <w:szCs w:val="24"/>
        </w:rPr>
        <w:t xml:space="preserve">to </w:t>
      </w:r>
      <w:r w:rsidRPr="00FB5261">
        <w:rPr>
          <w:rFonts w:cs="Times New Roman"/>
          <w:szCs w:val="24"/>
        </w:rPr>
        <w:t>become lo</w:t>
      </w:r>
      <w:r w:rsidRPr="00FB5261">
        <w:rPr>
          <w:rFonts w:cs="Times New Roman"/>
          <w:szCs w:val="24"/>
        </w:rPr>
        <w:t>wer.</w:t>
      </w:r>
    </w:p>
    <w:p w14:paraId="7D35901C" w14:textId="77777777" w:rsidR="00411DB1" w:rsidRPr="00FB5261" w:rsidRDefault="00313C6B" w:rsidP="00FB5261">
      <w:pPr>
        <w:spacing w:line="360" w:lineRule="auto"/>
        <w:rPr>
          <w:rFonts w:cs="Times New Roman"/>
          <w:szCs w:val="24"/>
        </w:rPr>
      </w:pPr>
      <w:r w:rsidRPr="00246195">
        <w:rPr>
          <w:rFonts w:cs="Times New Roman"/>
          <w:b/>
          <w:bCs/>
          <w:szCs w:val="24"/>
        </w:rPr>
        <w:lastRenderedPageBreak/>
        <w:t xml:space="preserve">Return on Equity: </w:t>
      </w:r>
      <w:r w:rsidRPr="00FB5261">
        <w:rPr>
          <w:rFonts w:cs="Times New Roman"/>
          <w:szCs w:val="24"/>
        </w:rPr>
        <w:t>It implies the</w:t>
      </w:r>
      <w:r w:rsidR="00B12BEB" w:rsidRPr="00FB5261">
        <w:rPr>
          <w:rFonts w:cs="Times New Roman"/>
          <w:szCs w:val="24"/>
        </w:rPr>
        <w:t xml:space="preserve"> amount of profit earned against each pound of shareholders’ equity</w:t>
      </w:r>
      <w:r w:rsidR="003907C8">
        <w:rPr>
          <w:rFonts w:cs="Times New Roman"/>
          <w:szCs w:val="24"/>
        </w:rPr>
        <w:t xml:space="preserve"> </w:t>
      </w:r>
      <w:r w:rsidR="003907C8">
        <w:rPr>
          <w:color w:val="000000"/>
        </w:rPr>
        <w:t>(Octavia and Aidina, 2020)</w:t>
      </w:r>
      <w:r w:rsidR="00B12BEB" w:rsidRPr="00FB5261">
        <w:rPr>
          <w:rFonts w:cs="Times New Roman"/>
          <w:szCs w:val="24"/>
        </w:rPr>
        <w:t>.</w:t>
      </w:r>
      <w:r w:rsidR="00110BE5" w:rsidRPr="00FB5261">
        <w:rPr>
          <w:rFonts w:cs="Times New Roman"/>
          <w:szCs w:val="24"/>
        </w:rPr>
        <w:t xml:space="preserve"> In 2015 and 2018, GSK was seen to generate abnormally higher ROE. But all of the ratios are higher than the standard of 14%.</w:t>
      </w:r>
    </w:p>
    <w:p w14:paraId="0AE6823A" w14:textId="77777777" w:rsidR="0040210E" w:rsidRPr="00FB5261" w:rsidRDefault="00313C6B" w:rsidP="00FB5261">
      <w:pPr>
        <w:spacing w:line="360" w:lineRule="auto"/>
        <w:rPr>
          <w:rFonts w:cs="Times New Roman"/>
          <w:szCs w:val="24"/>
        </w:rPr>
      </w:pPr>
      <w:r w:rsidRPr="00246195">
        <w:rPr>
          <w:rFonts w:cs="Times New Roman"/>
          <w:b/>
          <w:bCs/>
          <w:szCs w:val="24"/>
        </w:rPr>
        <w:t>Return on Asset:</w:t>
      </w:r>
      <w:r w:rsidRPr="00FB5261">
        <w:rPr>
          <w:rFonts w:cs="Times New Roman"/>
          <w:szCs w:val="24"/>
        </w:rPr>
        <w:t xml:space="preserve"> It helps investors have a bird’s eye view o</w:t>
      </w:r>
      <w:r w:rsidR="00A862ED">
        <w:rPr>
          <w:rFonts w:cs="Times New Roman"/>
          <w:szCs w:val="24"/>
        </w:rPr>
        <w:t>f</w:t>
      </w:r>
      <w:r w:rsidRPr="00FB5261">
        <w:rPr>
          <w:rFonts w:cs="Times New Roman"/>
          <w:szCs w:val="24"/>
        </w:rPr>
        <w:t xml:space="preserve"> a company’s strength in generating net income against the money inve</w:t>
      </w:r>
      <w:r w:rsidRPr="00FB5261">
        <w:rPr>
          <w:rFonts w:cs="Times New Roman"/>
          <w:szCs w:val="24"/>
        </w:rPr>
        <w:t xml:space="preserve">sted. </w:t>
      </w:r>
      <w:r w:rsidR="006F7A46" w:rsidRPr="00FB5261">
        <w:rPr>
          <w:rFonts w:cs="Times New Roman"/>
          <w:szCs w:val="24"/>
        </w:rPr>
        <w:t>ROA less than 5% is considered to be an asset-intensive company. Thus, it can be said that GSK was asset-intensive in the year</w:t>
      </w:r>
      <w:r w:rsidR="00A862ED">
        <w:rPr>
          <w:rFonts w:cs="Times New Roman"/>
          <w:szCs w:val="24"/>
        </w:rPr>
        <w:t>s</w:t>
      </w:r>
      <w:r w:rsidR="006F7A46" w:rsidRPr="00FB5261">
        <w:rPr>
          <w:rFonts w:cs="Times New Roman"/>
          <w:szCs w:val="24"/>
        </w:rPr>
        <w:t xml:space="preserve"> 2016 and 2017.</w:t>
      </w:r>
    </w:p>
    <w:p w14:paraId="481EAEE1" w14:textId="77777777" w:rsidR="00D35E68" w:rsidRPr="00FB5261" w:rsidRDefault="00D35E68" w:rsidP="00FB5261">
      <w:pPr>
        <w:spacing w:line="360" w:lineRule="auto"/>
        <w:rPr>
          <w:rFonts w:cs="Times New Roman"/>
          <w:szCs w:val="24"/>
        </w:rPr>
      </w:pPr>
    </w:p>
    <w:p w14:paraId="5C27D656" w14:textId="77777777" w:rsidR="00F93B9D" w:rsidRPr="00FB5261" w:rsidRDefault="00313C6B" w:rsidP="00246195">
      <w:pPr>
        <w:pStyle w:val="Heading3"/>
      </w:pPr>
      <w:bookmarkStart w:id="5" w:name="_Toc61379991"/>
      <w:r>
        <w:t>3.1.2 Liquidity Ratios</w:t>
      </w:r>
      <w:bookmarkEnd w:id="5"/>
    </w:p>
    <w:tbl>
      <w:tblPr>
        <w:tblW w:w="9434" w:type="dxa"/>
        <w:tblLook w:val="04A0" w:firstRow="1" w:lastRow="0" w:firstColumn="1" w:lastColumn="0" w:noHBand="0" w:noVBand="1"/>
      </w:tblPr>
      <w:tblGrid>
        <w:gridCol w:w="3331"/>
        <w:gridCol w:w="1220"/>
        <w:gridCol w:w="1220"/>
        <w:gridCol w:w="1220"/>
        <w:gridCol w:w="1220"/>
        <w:gridCol w:w="1223"/>
      </w:tblGrid>
      <w:tr w:rsidR="00304AE7" w14:paraId="146645F6" w14:textId="77777777" w:rsidTr="00F93B9D">
        <w:trPr>
          <w:trHeight w:val="309"/>
        </w:trPr>
        <w:tc>
          <w:tcPr>
            <w:tcW w:w="3331" w:type="dxa"/>
            <w:tcBorders>
              <w:top w:val="nil"/>
              <w:left w:val="nil"/>
              <w:bottom w:val="nil"/>
              <w:right w:val="nil"/>
            </w:tcBorders>
            <w:shd w:val="clear" w:color="auto" w:fill="auto"/>
            <w:noWrap/>
            <w:vAlign w:val="bottom"/>
            <w:hideMark/>
          </w:tcPr>
          <w:p w14:paraId="7F5690F5" w14:textId="77777777" w:rsidR="00F93B9D" w:rsidRPr="00FB5261" w:rsidRDefault="00F93B9D" w:rsidP="00FB5261">
            <w:pPr>
              <w:spacing w:after="0" w:line="360" w:lineRule="auto"/>
              <w:rPr>
                <w:rFonts w:eastAsia="Times New Roman" w:cs="Times New Roman"/>
                <w:szCs w:val="24"/>
                <w:lang w:val="en-US"/>
              </w:rPr>
            </w:pPr>
          </w:p>
        </w:tc>
        <w:tc>
          <w:tcPr>
            <w:tcW w:w="6103" w:type="dxa"/>
            <w:gridSpan w:val="5"/>
            <w:tcBorders>
              <w:top w:val="nil"/>
              <w:left w:val="nil"/>
              <w:bottom w:val="nil"/>
              <w:right w:val="nil"/>
            </w:tcBorders>
            <w:shd w:val="clear" w:color="auto" w:fill="auto"/>
            <w:noWrap/>
            <w:vAlign w:val="bottom"/>
            <w:hideMark/>
          </w:tcPr>
          <w:p w14:paraId="3704008A" w14:textId="77777777" w:rsidR="0040210E" w:rsidRPr="00FB5261" w:rsidRDefault="0040210E" w:rsidP="00FB5261">
            <w:pPr>
              <w:spacing w:after="0" w:line="360" w:lineRule="auto"/>
              <w:rPr>
                <w:rFonts w:eastAsia="Times New Roman" w:cs="Times New Roman"/>
                <w:color w:val="000000"/>
                <w:szCs w:val="24"/>
                <w:lang w:val="en-US"/>
              </w:rPr>
            </w:pPr>
          </w:p>
          <w:p w14:paraId="2F957996"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Liquidity Ratios</w:t>
            </w:r>
          </w:p>
        </w:tc>
      </w:tr>
      <w:tr w:rsidR="00304AE7" w14:paraId="0940DAA0" w14:textId="77777777" w:rsidTr="00F93B9D">
        <w:trPr>
          <w:trHeight w:val="323"/>
        </w:trPr>
        <w:tc>
          <w:tcPr>
            <w:tcW w:w="3331"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296B95F"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 </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5B524488"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2015</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7E1BF922"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2016</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1231847E"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2017</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10B4820F"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2018</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77EE3A56"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2019</w:t>
            </w:r>
          </w:p>
        </w:tc>
      </w:tr>
      <w:tr w:rsidR="00304AE7" w14:paraId="3AB75821" w14:textId="77777777" w:rsidTr="00F93B9D">
        <w:trPr>
          <w:trHeight w:val="309"/>
        </w:trPr>
        <w:tc>
          <w:tcPr>
            <w:tcW w:w="3331" w:type="dxa"/>
            <w:tcBorders>
              <w:top w:val="nil"/>
              <w:left w:val="nil"/>
              <w:bottom w:val="nil"/>
              <w:right w:val="nil"/>
            </w:tcBorders>
            <w:shd w:val="clear" w:color="auto" w:fill="auto"/>
            <w:noWrap/>
            <w:vAlign w:val="bottom"/>
            <w:hideMark/>
          </w:tcPr>
          <w:p w14:paraId="180FD676" w14:textId="77777777" w:rsidR="00F93B9D" w:rsidRPr="00FB5261" w:rsidRDefault="00F93B9D" w:rsidP="00FB5261">
            <w:pPr>
              <w:spacing w:after="0" w:line="360" w:lineRule="auto"/>
              <w:rPr>
                <w:rFonts w:eastAsia="Times New Roman" w:cs="Times New Roman"/>
                <w:b/>
                <w:bCs/>
                <w:color w:val="FFFFFF"/>
                <w:szCs w:val="24"/>
                <w:lang w:val="en-US"/>
              </w:rPr>
            </w:pPr>
          </w:p>
        </w:tc>
        <w:tc>
          <w:tcPr>
            <w:tcW w:w="6103" w:type="dxa"/>
            <w:gridSpan w:val="5"/>
            <w:tcBorders>
              <w:top w:val="nil"/>
              <w:left w:val="nil"/>
              <w:bottom w:val="nil"/>
              <w:right w:val="nil"/>
            </w:tcBorders>
            <w:shd w:val="clear" w:color="auto" w:fill="auto"/>
            <w:noWrap/>
            <w:vAlign w:val="bottom"/>
            <w:hideMark/>
          </w:tcPr>
          <w:p w14:paraId="32A33865"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Current Ratios</w:t>
            </w:r>
          </w:p>
        </w:tc>
      </w:tr>
      <w:tr w:rsidR="00304AE7" w14:paraId="5D0080F2" w14:textId="77777777" w:rsidTr="00F93B9D">
        <w:trPr>
          <w:trHeight w:val="294"/>
        </w:trPr>
        <w:tc>
          <w:tcPr>
            <w:tcW w:w="3331" w:type="dxa"/>
            <w:tcBorders>
              <w:top w:val="nil"/>
              <w:left w:val="nil"/>
              <w:bottom w:val="nil"/>
              <w:right w:val="nil"/>
            </w:tcBorders>
            <w:shd w:val="clear" w:color="auto" w:fill="auto"/>
            <w:noWrap/>
            <w:vAlign w:val="bottom"/>
            <w:hideMark/>
          </w:tcPr>
          <w:p w14:paraId="26BCB0DF"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 xml:space="preserve">Current </w:t>
            </w:r>
            <w:r w:rsidRPr="00FB5261">
              <w:rPr>
                <w:rFonts w:eastAsia="Times New Roman" w:cs="Times New Roman"/>
                <w:color w:val="000000"/>
                <w:szCs w:val="24"/>
                <w:lang w:val="en-US"/>
              </w:rPr>
              <w:t>assets</w:t>
            </w:r>
          </w:p>
        </w:tc>
        <w:tc>
          <w:tcPr>
            <w:tcW w:w="1220" w:type="dxa"/>
            <w:tcBorders>
              <w:top w:val="nil"/>
              <w:left w:val="nil"/>
              <w:bottom w:val="nil"/>
              <w:right w:val="nil"/>
            </w:tcBorders>
            <w:shd w:val="clear" w:color="auto" w:fill="auto"/>
            <w:noWrap/>
            <w:vAlign w:val="bottom"/>
            <w:hideMark/>
          </w:tcPr>
          <w:p w14:paraId="2FDA2E69"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16587</w:t>
            </w:r>
          </w:p>
        </w:tc>
        <w:tc>
          <w:tcPr>
            <w:tcW w:w="1220" w:type="dxa"/>
            <w:tcBorders>
              <w:top w:val="nil"/>
              <w:left w:val="nil"/>
              <w:bottom w:val="nil"/>
              <w:right w:val="nil"/>
            </w:tcBorders>
            <w:shd w:val="clear" w:color="auto" w:fill="auto"/>
            <w:noWrap/>
            <w:vAlign w:val="bottom"/>
            <w:hideMark/>
          </w:tcPr>
          <w:p w14:paraId="60332BFD"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16711</w:t>
            </w:r>
          </w:p>
        </w:tc>
        <w:tc>
          <w:tcPr>
            <w:tcW w:w="1220" w:type="dxa"/>
            <w:tcBorders>
              <w:top w:val="nil"/>
              <w:left w:val="nil"/>
              <w:bottom w:val="nil"/>
              <w:right w:val="nil"/>
            </w:tcBorders>
            <w:shd w:val="clear" w:color="auto" w:fill="auto"/>
            <w:noWrap/>
            <w:vAlign w:val="bottom"/>
            <w:hideMark/>
          </w:tcPr>
          <w:p w14:paraId="262B6B71"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15907</w:t>
            </w:r>
          </w:p>
        </w:tc>
        <w:tc>
          <w:tcPr>
            <w:tcW w:w="1220" w:type="dxa"/>
            <w:tcBorders>
              <w:top w:val="nil"/>
              <w:left w:val="nil"/>
              <w:bottom w:val="nil"/>
              <w:right w:val="nil"/>
            </w:tcBorders>
            <w:shd w:val="clear" w:color="auto" w:fill="auto"/>
            <w:noWrap/>
            <w:vAlign w:val="bottom"/>
            <w:hideMark/>
          </w:tcPr>
          <w:p w14:paraId="6AC5A26B"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16927</w:t>
            </w:r>
          </w:p>
        </w:tc>
        <w:tc>
          <w:tcPr>
            <w:tcW w:w="1220" w:type="dxa"/>
            <w:tcBorders>
              <w:top w:val="nil"/>
              <w:left w:val="nil"/>
              <w:bottom w:val="nil"/>
              <w:right w:val="nil"/>
            </w:tcBorders>
            <w:shd w:val="clear" w:color="auto" w:fill="auto"/>
            <w:noWrap/>
            <w:vAlign w:val="bottom"/>
            <w:hideMark/>
          </w:tcPr>
          <w:p w14:paraId="3AF4D0F1"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19491</w:t>
            </w:r>
          </w:p>
        </w:tc>
      </w:tr>
      <w:tr w:rsidR="00304AE7" w14:paraId="2A1FE498" w14:textId="77777777" w:rsidTr="00F93B9D">
        <w:trPr>
          <w:trHeight w:val="309"/>
        </w:trPr>
        <w:tc>
          <w:tcPr>
            <w:tcW w:w="3331" w:type="dxa"/>
            <w:tcBorders>
              <w:top w:val="nil"/>
              <w:left w:val="nil"/>
              <w:bottom w:val="nil"/>
              <w:right w:val="nil"/>
            </w:tcBorders>
            <w:shd w:val="clear" w:color="auto" w:fill="auto"/>
            <w:noWrap/>
            <w:vAlign w:val="bottom"/>
            <w:hideMark/>
          </w:tcPr>
          <w:p w14:paraId="775FA41E"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Current liabilities</w:t>
            </w:r>
          </w:p>
        </w:tc>
        <w:tc>
          <w:tcPr>
            <w:tcW w:w="1220" w:type="dxa"/>
            <w:tcBorders>
              <w:top w:val="nil"/>
              <w:left w:val="nil"/>
              <w:bottom w:val="nil"/>
              <w:right w:val="nil"/>
            </w:tcBorders>
            <w:shd w:val="clear" w:color="auto" w:fill="auto"/>
            <w:noWrap/>
            <w:vAlign w:val="bottom"/>
            <w:hideMark/>
          </w:tcPr>
          <w:p w14:paraId="2B281BCB"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13417</w:t>
            </w:r>
          </w:p>
        </w:tc>
        <w:tc>
          <w:tcPr>
            <w:tcW w:w="1220" w:type="dxa"/>
            <w:tcBorders>
              <w:top w:val="nil"/>
              <w:left w:val="nil"/>
              <w:bottom w:val="nil"/>
              <w:right w:val="nil"/>
            </w:tcBorders>
            <w:shd w:val="clear" w:color="auto" w:fill="auto"/>
            <w:noWrap/>
            <w:vAlign w:val="bottom"/>
            <w:hideMark/>
          </w:tcPr>
          <w:p w14:paraId="3CBF0F31"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19001</w:t>
            </w:r>
          </w:p>
        </w:tc>
        <w:tc>
          <w:tcPr>
            <w:tcW w:w="1220" w:type="dxa"/>
            <w:tcBorders>
              <w:top w:val="nil"/>
              <w:left w:val="nil"/>
              <w:bottom w:val="nil"/>
              <w:right w:val="nil"/>
            </w:tcBorders>
            <w:shd w:val="clear" w:color="auto" w:fill="auto"/>
            <w:noWrap/>
            <w:vAlign w:val="bottom"/>
            <w:hideMark/>
          </w:tcPr>
          <w:p w14:paraId="08B6997B"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26569</w:t>
            </w:r>
          </w:p>
        </w:tc>
        <w:tc>
          <w:tcPr>
            <w:tcW w:w="1220" w:type="dxa"/>
            <w:tcBorders>
              <w:top w:val="nil"/>
              <w:left w:val="nil"/>
              <w:bottom w:val="nil"/>
              <w:right w:val="nil"/>
            </w:tcBorders>
            <w:shd w:val="clear" w:color="auto" w:fill="auto"/>
            <w:noWrap/>
            <w:vAlign w:val="bottom"/>
            <w:hideMark/>
          </w:tcPr>
          <w:p w14:paraId="602AAC85"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22491</w:t>
            </w:r>
          </w:p>
        </w:tc>
        <w:tc>
          <w:tcPr>
            <w:tcW w:w="1220" w:type="dxa"/>
            <w:tcBorders>
              <w:top w:val="nil"/>
              <w:left w:val="nil"/>
              <w:bottom w:val="nil"/>
              <w:right w:val="nil"/>
            </w:tcBorders>
            <w:shd w:val="clear" w:color="auto" w:fill="auto"/>
            <w:noWrap/>
            <w:vAlign w:val="bottom"/>
            <w:hideMark/>
          </w:tcPr>
          <w:p w14:paraId="602943EE"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24050</w:t>
            </w:r>
          </w:p>
        </w:tc>
      </w:tr>
      <w:tr w:rsidR="00304AE7" w14:paraId="7C097C8C" w14:textId="77777777" w:rsidTr="00F93B9D">
        <w:trPr>
          <w:trHeight w:val="323"/>
        </w:trPr>
        <w:tc>
          <w:tcPr>
            <w:tcW w:w="3331"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4915A9C"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Current ratio</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774DDFC5"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1.24</w:t>
            </w:r>
            <w:r w:rsidR="003959F3" w:rsidRPr="00FB5261">
              <w:rPr>
                <w:rFonts w:eastAsia="Times New Roman" w:cs="Times New Roman"/>
                <w:b/>
                <w:bCs/>
                <w:color w:val="FFFFFF"/>
                <w:szCs w:val="24"/>
                <w:lang w:val="en-US"/>
              </w:rPr>
              <w:t>:1</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018E8540"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0.88</w:t>
            </w:r>
            <w:r w:rsidR="003959F3" w:rsidRPr="00FB5261">
              <w:rPr>
                <w:rFonts w:eastAsia="Times New Roman" w:cs="Times New Roman"/>
                <w:b/>
                <w:bCs/>
                <w:color w:val="FFFFFF"/>
                <w:szCs w:val="24"/>
                <w:lang w:val="en-US"/>
              </w:rPr>
              <w:t>:1</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539AA551"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0.60</w:t>
            </w:r>
            <w:r w:rsidR="003959F3" w:rsidRPr="00FB5261">
              <w:rPr>
                <w:rFonts w:eastAsia="Times New Roman" w:cs="Times New Roman"/>
                <w:b/>
                <w:bCs/>
                <w:color w:val="FFFFFF"/>
                <w:szCs w:val="24"/>
                <w:lang w:val="en-US"/>
              </w:rPr>
              <w:t>:1</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6EC4EFB0"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0.75</w:t>
            </w:r>
            <w:r w:rsidR="003959F3" w:rsidRPr="00FB5261">
              <w:rPr>
                <w:rFonts w:eastAsia="Times New Roman" w:cs="Times New Roman"/>
                <w:b/>
                <w:bCs/>
                <w:color w:val="FFFFFF"/>
                <w:szCs w:val="24"/>
                <w:lang w:val="en-US"/>
              </w:rPr>
              <w:t>:1</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142C2163"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0.81</w:t>
            </w:r>
            <w:r w:rsidR="003959F3" w:rsidRPr="00FB5261">
              <w:rPr>
                <w:rFonts w:eastAsia="Times New Roman" w:cs="Times New Roman"/>
                <w:b/>
                <w:bCs/>
                <w:color w:val="FFFFFF"/>
                <w:szCs w:val="24"/>
                <w:lang w:val="en-US"/>
              </w:rPr>
              <w:t>:1</w:t>
            </w:r>
          </w:p>
        </w:tc>
      </w:tr>
      <w:tr w:rsidR="00304AE7" w14:paraId="1B3488C9" w14:textId="77777777" w:rsidTr="00F93B9D">
        <w:trPr>
          <w:trHeight w:val="309"/>
        </w:trPr>
        <w:tc>
          <w:tcPr>
            <w:tcW w:w="3331" w:type="dxa"/>
            <w:tcBorders>
              <w:top w:val="nil"/>
              <w:left w:val="nil"/>
              <w:bottom w:val="nil"/>
              <w:right w:val="nil"/>
            </w:tcBorders>
            <w:shd w:val="clear" w:color="auto" w:fill="auto"/>
            <w:noWrap/>
            <w:vAlign w:val="bottom"/>
            <w:hideMark/>
          </w:tcPr>
          <w:p w14:paraId="12FBFFCC" w14:textId="77777777" w:rsidR="00F93B9D" w:rsidRPr="00FB5261" w:rsidRDefault="00F93B9D" w:rsidP="00FB5261">
            <w:pPr>
              <w:spacing w:after="0" w:line="360" w:lineRule="auto"/>
              <w:rPr>
                <w:rFonts w:eastAsia="Times New Roman" w:cs="Times New Roman"/>
                <w:b/>
                <w:bCs/>
                <w:color w:val="FFFFFF"/>
                <w:szCs w:val="24"/>
                <w:lang w:val="en-US"/>
              </w:rPr>
            </w:pPr>
          </w:p>
        </w:tc>
        <w:tc>
          <w:tcPr>
            <w:tcW w:w="6103" w:type="dxa"/>
            <w:gridSpan w:val="5"/>
            <w:tcBorders>
              <w:top w:val="nil"/>
              <w:left w:val="nil"/>
              <w:bottom w:val="nil"/>
              <w:right w:val="nil"/>
            </w:tcBorders>
            <w:shd w:val="clear" w:color="auto" w:fill="auto"/>
            <w:noWrap/>
            <w:vAlign w:val="bottom"/>
            <w:hideMark/>
          </w:tcPr>
          <w:p w14:paraId="6890EF2D"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Quick Ratio</w:t>
            </w:r>
          </w:p>
        </w:tc>
      </w:tr>
      <w:tr w:rsidR="00304AE7" w14:paraId="6086255B" w14:textId="77777777" w:rsidTr="00F93B9D">
        <w:trPr>
          <w:trHeight w:val="294"/>
        </w:trPr>
        <w:tc>
          <w:tcPr>
            <w:tcW w:w="3331" w:type="dxa"/>
            <w:tcBorders>
              <w:top w:val="nil"/>
              <w:left w:val="nil"/>
              <w:bottom w:val="nil"/>
              <w:right w:val="nil"/>
            </w:tcBorders>
            <w:shd w:val="clear" w:color="auto" w:fill="auto"/>
            <w:noWrap/>
            <w:vAlign w:val="bottom"/>
            <w:hideMark/>
          </w:tcPr>
          <w:p w14:paraId="49704F06"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Quick Assets</w:t>
            </w:r>
          </w:p>
        </w:tc>
        <w:tc>
          <w:tcPr>
            <w:tcW w:w="1220" w:type="dxa"/>
            <w:tcBorders>
              <w:top w:val="nil"/>
              <w:left w:val="nil"/>
              <w:bottom w:val="nil"/>
              <w:right w:val="nil"/>
            </w:tcBorders>
            <w:shd w:val="clear" w:color="auto" w:fill="auto"/>
            <w:noWrap/>
            <w:vAlign w:val="bottom"/>
            <w:hideMark/>
          </w:tcPr>
          <w:p w14:paraId="7494885F"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11871</w:t>
            </w:r>
          </w:p>
        </w:tc>
        <w:tc>
          <w:tcPr>
            <w:tcW w:w="1220" w:type="dxa"/>
            <w:tcBorders>
              <w:top w:val="nil"/>
              <w:left w:val="nil"/>
              <w:bottom w:val="nil"/>
              <w:right w:val="nil"/>
            </w:tcBorders>
            <w:shd w:val="clear" w:color="auto" w:fill="auto"/>
            <w:noWrap/>
            <w:vAlign w:val="bottom"/>
            <w:hideMark/>
          </w:tcPr>
          <w:p w14:paraId="014093A2"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11609</w:t>
            </w:r>
          </w:p>
        </w:tc>
        <w:tc>
          <w:tcPr>
            <w:tcW w:w="1220" w:type="dxa"/>
            <w:tcBorders>
              <w:top w:val="nil"/>
              <w:left w:val="nil"/>
              <w:bottom w:val="nil"/>
              <w:right w:val="nil"/>
            </w:tcBorders>
            <w:shd w:val="clear" w:color="auto" w:fill="auto"/>
            <w:noWrap/>
            <w:vAlign w:val="bottom"/>
            <w:hideMark/>
          </w:tcPr>
          <w:p w14:paraId="256C6FB7"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10350</w:t>
            </w:r>
          </w:p>
        </w:tc>
        <w:tc>
          <w:tcPr>
            <w:tcW w:w="1220" w:type="dxa"/>
            <w:tcBorders>
              <w:top w:val="nil"/>
              <w:left w:val="nil"/>
              <w:bottom w:val="nil"/>
              <w:right w:val="nil"/>
            </w:tcBorders>
            <w:shd w:val="clear" w:color="auto" w:fill="auto"/>
            <w:noWrap/>
            <w:vAlign w:val="bottom"/>
            <w:hideMark/>
          </w:tcPr>
          <w:p w14:paraId="4C068C5C"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11451</w:t>
            </w:r>
          </w:p>
        </w:tc>
        <w:tc>
          <w:tcPr>
            <w:tcW w:w="1220" w:type="dxa"/>
            <w:tcBorders>
              <w:top w:val="nil"/>
              <w:left w:val="nil"/>
              <w:bottom w:val="nil"/>
              <w:right w:val="nil"/>
            </w:tcBorders>
            <w:shd w:val="clear" w:color="auto" w:fill="auto"/>
            <w:noWrap/>
            <w:vAlign w:val="bottom"/>
            <w:hideMark/>
          </w:tcPr>
          <w:p w14:paraId="32437256"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13544</w:t>
            </w:r>
          </w:p>
        </w:tc>
      </w:tr>
      <w:tr w:rsidR="00304AE7" w14:paraId="541853E5" w14:textId="77777777" w:rsidTr="00F93B9D">
        <w:trPr>
          <w:trHeight w:val="309"/>
        </w:trPr>
        <w:tc>
          <w:tcPr>
            <w:tcW w:w="3331" w:type="dxa"/>
            <w:tcBorders>
              <w:top w:val="nil"/>
              <w:left w:val="nil"/>
              <w:bottom w:val="nil"/>
              <w:right w:val="nil"/>
            </w:tcBorders>
            <w:shd w:val="clear" w:color="auto" w:fill="auto"/>
            <w:noWrap/>
            <w:vAlign w:val="bottom"/>
            <w:hideMark/>
          </w:tcPr>
          <w:p w14:paraId="15540547"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Current Liabilities</w:t>
            </w:r>
          </w:p>
        </w:tc>
        <w:tc>
          <w:tcPr>
            <w:tcW w:w="1220" w:type="dxa"/>
            <w:tcBorders>
              <w:top w:val="nil"/>
              <w:left w:val="nil"/>
              <w:bottom w:val="nil"/>
              <w:right w:val="nil"/>
            </w:tcBorders>
            <w:shd w:val="clear" w:color="auto" w:fill="auto"/>
            <w:noWrap/>
            <w:vAlign w:val="bottom"/>
            <w:hideMark/>
          </w:tcPr>
          <w:p w14:paraId="535B39E0"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13417</w:t>
            </w:r>
          </w:p>
        </w:tc>
        <w:tc>
          <w:tcPr>
            <w:tcW w:w="1220" w:type="dxa"/>
            <w:tcBorders>
              <w:top w:val="nil"/>
              <w:left w:val="nil"/>
              <w:bottom w:val="nil"/>
              <w:right w:val="nil"/>
            </w:tcBorders>
            <w:shd w:val="clear" w:color="auto" w:fill="auto"/>
            <w:noWrap/>
            <w:vAlign w:val="bottom"/>
            <w:hideMark/>
          </w:tcPr>
          <w:p w14:paraId="6DC83258"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19001</w:t>
            </w:r>
          </w:p>
        </w:tc>
        <w:tc>
          <w:tcPr>
            <w:tcW w:w="1220" w:type="dxa"/>
            <w:tcBorders>
              <w:top w:val="nil"/>
              <w:left w:val="nil"/>
              <w:bottom w:val="nil"/>
              <w:right w:val="nil"/>
            </w:tcBorders>
            <w:shd w:val="clear" w:color="auto" w:fill="auto"/>
            <w:noWrap/>
            <w:vAlign w:val="bottom"/>
            <w:hideMark/>
          </w:tcPr>
          <w:p w14:paraId="3440505B"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26569</w:t>
            </w:r>
          </w:p>
        </w:tc>
        <w:tc>
          <w:tcPr>
            <w:tcW w:w="1220" w:type="dxa"/>
            <w:tcBorders>
              <w:top w:val="nil"/>
              <w:left w:val="nil"/>
              <w:bottom w:val="nil"/>
              <w:right w:val="nil"/>
            </w:tcBorders>
            <w:shd w:val="clear" w:color="auto" w:fill="auto"/>
            <w:noWrap/>
            <w:vAlign w:val="bottom"/>
            <w:hideMark/>
          </w:tcPr>
          <w:p w14:paraId="22578C9A"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22491</w:t>
            </w:r>
          </w:p>
        </w:tc>
        <w:tc>
          <w:tcPr>
            <w:tcW w:w="1220" w:type="dxa"/>
            <w:tcBorders>
              <w:top w:val="nil"/>
              <w:left w:val="nil"/>
              <w:bottom w:val="nil"/>
              <w:right w:val="nil"/>
            </w:tcBorders>
            <w:shd w:val="clear" w:color="auto" w:fill="auto"/>
            <w:noWrap/>
            <w:vAlign w:val="bottom"/>
            <w:hideMark/>
          </w:tcPr>
          <w:p w14:paraId="13B9A5BF"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24050</w:t>
            </w:r>
          </w:p>
        </w:tc>
      </w:tr>
      <w:tr w:rsidR="00304AE7" w14:paraId="3DBFE8F8" w14:textId="77777777" w:rsidTr="00F93B9D">
        <w:trPr>
          <w:trHeight w:val="323"/>
        </w:trPr>
        <w:tc>
          <w:tcPr>
            <w:tcW w:w="3331"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4576B48"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Quick Ratio</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68BB82FE"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0.88</w:t>
            </w:r>
            <w:r w:rsidR="003959F3" w:rsidRPr="00FB5261">
              <w:rPr>
                <w:rFonts w:eastAsia="Times New Roman" w:cs="Times New Roman"/>
                <w:b/>
                <w:bCs/>
                <w:color w:val="FFFFFF"/>
                <w:szCs w:val="24"/>
                <w:lang w:val="en-US"/>
              </w:rPr>
              <w:t>:1</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7C9D424E"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0.61</w:t>
            </w:r>
            <w:r w:rsidR="003959F3" w:rsidRPr="00FB5261">
              <w:rPr>
                <w:rFonts w:eastAsia="Times New Roman" w:cs="Times New Roman"/>
                <w:b/>
                <w:bCs/>
                <w:color w:val="FFFFFF"/>
                <w:szCs w:val="24"/>
                <w:lang w:val="en-US"/>
              </w:rPr>
              <w:t>:1</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3805AA17"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0.39</w:t>
            </w:r>
            <w:r w:rsidR="003959F3" w:rsidRPr="00FB5261">
              <w:rPr>
                <w:rFonts w:eastAsia="Times New Roman" w:cs="Times New Roman"/>
                <w:b/>
                <w:bCs/>
                <w:color w:val="FFFFFF"/>
                <w:szCs w:val="24"/>
                <w:lang w:val="en-US"/>
              </w:rPr>
              <w:t>:1</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4C5B02A8"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0.51</w:t>
            </w:r>
            <w:r w:rsidR="003959F3" w:rsidRPr="00FB5261">
              <w:rPr>
                <w:rFonts w:eastAsia="Times New Roman" w:cs="Times New Roman"/>
                <w:b/>
                <w:bCs/>
                <w:color w:val="FFFFFF"/>
                <w:szCs w:val="24"/>
                <w:lang w:val="en-US"/>
              </w:rPr>
              <w:t>:1</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5A81B9C0"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0.56</w:t>
            </w:r>
            <w:r w:rsidR="003959F3" w:rsidRPr="00FB5261">
              <w:rPr>
                <w:rFonts w:eastAsia="Times New Roman" w:cs="Times New Roman"/>
                <w:b/>
                <w:bCs/>
                <w:color w:val="FFFFFF"/>
                <w:szCs w:val="24"/>
                <w:lang w:val="en-US"/>
              </w:rPr>
              <w:t>:1</w:t>
            </w:r>
          </w:p>
        </w:tc>
      </w:tr>
      <w:tr w:rsidR="00304AE7" w14:paraId="368C91B4" w14:textId="77777777" w:rsidTr="00F93B9D">
        <w:trPr>
          <w:trHeight w:val="309"/>
        </w:trPr>
        <w:tc>
          <w:tcPr>
            <w:tcW w:w="3331" w:type="dxa"/>
            <w:tcBorders>
              <w:top w:val="nil"/>
              <w:left w:val="nil"/>
              <w:bottom w:val="nil"/>
              <w:right w:val="nil"/>
            </w:tcBorders>
            <w:shd w:val="clear" w:color="auto" w:fill="auto"/>
            <w:noWrap/>
            <w:vAlign w:val="bottom"/>
            <w:hideMark/>
          </w:tcPr>
          <w:p w14:paraId="0659535B" w14:textId="77777777" w:rsidR="00F93B9D" w:rsidRPr="00FB5261" w:rsidRDefault="00F93B9D" w:rsidP="00FB5261">
            <w:pPr>
              <w:spacing w:after="0" w:line="360" w:lineRule="auto"/>
              <w:rPr>
                <w:rFonts w:eastAsia="Times New Roman" w:cs="Times New Roman"/>
                <w:b/>
                <w:bCs/>
                <w:color w:val="FFFFFF"/>
                <w:szCs w:val="24"/>
                <w:lang w:val="en-US"/>
              </w:rPr>
            </w:pPr>
          </w:p>
        </w:tc>
        <w:tc>
          <w:tcPr>
            <w:tcW w:w="6103" w:type="dxa"/>
            <w:gridSpan w:val="5"/>
            <w:tcBorders>
              <w:top w:val="nil"/>
              <w:left w:val="nil"/>
              <w:bottom w:val="nil"/>
              <w:right w:val="nil"/>
            </w:tcBorders>
            <w:shd w:val="clear" w:color="auto" w:fill="auto"/>
            <w:noWrap/>
            <w:vAlign w:val="bottom"/>
            <w:hideMark/>
          </w:tcPr>
          <w:p w14:paraId="2BDF74B2"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Cash Ratio</w:t>
            </w:r>
          </w:p>
        </w:tc>
      </w:tr>
      <w:tr w:rsidR="00304AE7" w14:paraId="18536372" w14:textId="77777777" w:rsidTr="00F93B9D">
        <w:trPr>
          <w:trHeight w:val="294"/>
        </w:trPr>
        <w:tc>
          <w:tcPr>
            <w:tcW w:w="3331" w:type="dxa"/>
            <w:tcBorders>
              <w:top w:val="nil"/>
              <w:left w:val="nil"/>
              <w:bottom w:val="nil"/>
              <w:right w:val="nil"/>
            </w:tcBorders>
            <w:shd w:val="clear" w:color="auto" w:fill="auto"/>
            <w:noWrap/>
            <w:vAlign w:val="bottom"/>
            <w:hideMark/>
          </w:tcPr>
          <w:p w14:paraId="49BE7357"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Cash and cash equivalent</w:t>
            </w:r>
          </w:p>
        </w:tc>
        <w:tc>
          <w:tcPr>
            <w:tcW w:w="1220" w:type="dxa"/>
            <w:tcBorders>
              <w:top w:val="nil"/>
              <w:left w:val="nil"/>
              <w:bottom w:val="nil"/>
              <w:right w:val="nil"/>
            </w:tcBorders>
            <w:shd w:val="clear" w:color="auto" w:fill="auto"/>
            <w:noWrap/>
            <w:vAlign w:val="bottom"/>
            <w:hideMark/>
          </w:tcPr>
          <w:p w14:paraId="2A5BBF5A"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5830</w:t>
            </w:r>
          </w:p>
        </w:tc>
        <w:tc>
          <w:tcPr>
            <w:tcW w:w="1220" w:type="dxa"/>
            <w:tcBorders>
              <w:top w:val="nil"/>
              <w:left w:val="nil"/>
              <w:bottom w:val="nil"/>
              <w:right w:val="nil"/>
            </w:tcBorders>
            <w:shd w:val="clear" w:color="auto" w:fill="auto"/>
            <w:noWrap/>
            <w:vAlign w:val="bottom"/>
            <w:hideMark/>
          </w:tcPr>
          <w:p w14:paraId="1CC8A502"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4897</w:t>
            </w:r>
          </w:p>
        </w:tc>
        <w:tc>
          <w:tcPr>
            <w:tcW w:w="1220" w:type="dxa"/>
            <w:tcBorders>
              <w:top w:val="nil"/>
              <w:left w:val="nil"/>
              <w:bottom w:val="nil"/>
              <w:right w:val="nil"/>
            </w:tcBorders>
            <w:shd w:val="clear" w:color="auto" w:fill="auto"/>
            <w:noWrap/>
            <w:vAlign w:val="bottom"/>
            <w:hideMark/>
          </w:tcPr>
          <w:p w14:paraId="586EF1E0"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3833</w:t>
            </w:r>
          </w:p>
        </w:tc>
        <w:tc>
          <w:tcPr>
            <w:tcW w:w="1220" w:type="dxa"/>
            <w:tcBorders>
              <w:top w:val="nil"/>
              <w:left w:val="nil"/>
              <w:bottom w:val="nil"/>
              <w:right w:val="nil"/>
            </w:tcBorders>
            <w:shd w:val="clear" w:color="auto" w:fill="auto"/>
            <w:noWrap/>
            <w:vAlign w:val="bottom"/>
            <w:hideMark/>
          </w:tcPr>
          <w:p w14:paraId="33420866"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3874</w:t>
            </w:r>
          </w:p>
        </w:tc>
        <w:tc>
          <w:tcPr>
            <w:tcW w:w="1220" w:type="dxa"/>
            <w:tcBorders>
              <w:top w:val="nil"/>
              <w:left w:val="nil"/>
              <w:bottom w:val="nil"/>
              <w:right w:val="nil"/>
            </w:tcBorders>
            <w:shd w:val="clear" w:color="auto" w:fill="auto"/>
            <w:noWrap/>
            <w:vAlign w:val="bottom"/>
            <w:hideMark/>
          </w:tcPr>
          <w:p w14:paraId="07490BB9"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4707</w:t>
            </w:r>
          </w:p>
        </w:tc>
      </w:tr>
      <w:tr w:rsidR="00304AE7" w14:paraId="34C6B639" w14:textId="77777777" w:rsidTr="00F93B9D">
        <w:trPr>
          <w:trHeight w:val="309"/>
        </w:trPr>
        <w:tc>
          <w:tcPr>
            <w:tcW w:w="3331" w:type="dxa"/>
            <w:tcBorders>
              <w:top w:val="nil"/>
              <w:left w:val="nil"/>
              <w:bottom w:val="nil"/>
              <w:right w:val="nil"/>
            </w:tcBorders>
            <w:shd w:val="clear" w:color="auto" w:fill="auto"/>
            <w:noWrap/>
            <w:vAlign w:val="bottom"/>
            <w:hideMark/>
          </w:tcPr>
          <w:p w14:paraId="521AB879"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Current liabilities</w:t>
            </w:r>
          </w:p>
        </w:tc>
        <w:tc>
          <w:tcPr>
            <w:tcW w:w="1220" w:type="dxa"/>
            <w:tcBorders>
              <w:top w:val="nil"/>
              <w:left w:val="nil"/>
              <w:bottom w:val="nil"/>
              <w:right w:val="nil"/>
            </w:tcBorders>
            <w:shd w:val="clear" w:color="auto" w:fill="auto"/>
            <w:noWrap/>
            <w:vAlign w:val="bottom"/>
            <w:hideMark/>
          </w:tcPr>
          <w:p w14:paraId="6623CC4D"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13417</w:t>
            </w:r>
          </w:p>
        </w:tc>
        <w:tc>
          <w:tcPr>
            <w:tcW w:w="1220" w:type="dxa"/>
            <w:tcBorders>
              <w:top w:val="nil"/>
              <w:left w:val="nil"/>
              <w:bottom w:val="nil"/>
              <w:right w:val="nil"/>
            </w:tcBorders>
            <w:shd w:val="clear" w:color="auto" w:fill="auto"/>
            <w:noWrap/>
            <w:vAlign w:val="bottom"/>
            <w:hideMark/>
          </w:tcPr>
          <w:p w14:paraId="066197B8"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19001</w:t>
            </w:r>
          </w:p>
        </w:tc>
        <w:tc>
          <w:tcPr>
            <w:tcW w:w="1220" w:type="dxa"/>
            <w:tcBorders>
              <w:top w:val="nil"/>
              <w:left w:val="nil"/>
              <w:bottom w:val="nil"/>
              <w:right w:val="nil"/>
            </w:tcBorders>
            <w:shd w:val="clear" w:color="auto" w:fill="auto"/>
            <w:noWrap/>
            <w:vAlign w:val="bottom"/>
            <w:hideMark/>
          </w:tcPr>
          <w:p w14:paraId="690616FA"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26569</w:t>
            </w:r>
          </w:p>
        </w:tc>
        <w:tc>
          <w:tcPr>
            <w:tcW w:w="1220" w:type="dxa"/>
            <w:tcBorders>
              <w:top w:val="nil"/>
              <w:left w:val="nil"/>
              <w:bottom w:val="nil"/>
              <w:right w:val="nil"/>
            </w:tcBorders>
            <w:shd w:val="clear" w:color="auto" w:fill="auto"/>
            <w:noWrap/>
            <w:vAlign w:val="bottom"/>
            <w:hideMark/>
          </w:tcPr>
          <w:p w14:paraId="29AC6A4F"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22491</w:t>
            </w:r>
          </w:p>
        </w:tc>
        <w:tc>
          <w:tcPr>
            <w:tcW w:w="1220" w:type="dxa"/>
            <w:tcBorders>
              <w:top w:val="nil"/>
              <w:left w:val="nil"/>
              <w:bottom w:val="nil"/>
              <w:right w:val="nil"/>
            </w:tcBorders>
            <w:shd w:val="clear" w:color="auto" w:fill="auto"/>
            <w:noWrap/>
            <w:vAlign w:val="bottom"/>
            <w:hideMark/>
          </w:tcPr>
          <w:p w14:paraId="56772B58"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24050</w:t>
            </w:r>
          </w:p>
        </w:tc>
      </w:tr>
      <w:tr w:rsidR="00304AE7" w14:paraId="06C9D0A0" w14:textId="77777777" w:rsidTr="00F93B9D">
        <w:trPr>
          <w:trHeight w:val="323"/>
        </w:trPr>
        <w:tc>
          <w:tcPr>
            <w:tcW w:w="3331"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64967B9"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Cash Ratio</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091CF4D5"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0.43</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36E953F0"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0.26</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3045FFBF"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0.14</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087108E6"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0.17</w:t>
            </w:r>
          </w:p>
        </w:tc>
        <w:tc>
          <w:tcPr>
            <w:tcW w:w="1220" w:type="dxa"/>
            <w:tcBorders>
              <w:top w:val="double" w:sz="6" w:space="0" w:color="3F3F3F"/>
              <w:left w:val="nil"/>
              <w:bottom w:val="double" w:sz="6" w:space="0" w:color="3F3F3F"/>
              <w:right w:val="double" w:sz="6" w:space="0" w:color="3F3F3F"/>
            </w:tcBorders>
            <w:shd w:val="clear" w:color="000000" w:fill="A5A5A5"/>
            <w:noWrap/>
            <w:vAlign w:val="bottom"/>
            <w:hideMark/>
          </w:tcPr>
          <w:p w14:paraId="736F101B"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0.20</w:t>
            </w:r>
          </w:p>
        </w:tc>
      </w:tr>
    </w:tbl>
    <w:p w14:paraId="0755447F" w14:textId="77777777" w:rsidR="00F93B9D" w:rsidRPr="00FB5261" w:rsidRDefault="00F93B9D" w:rsidP="00FB5261">
      <w:pPr>
        <w:spacing w:line="360" w:lineRule="auto"/>
        <w:rPr>
          <w:rFonts w:cs="Times New Roman"/>
          <w:szCs w:val="24"/>
        </w:rPr>
      </w:pPr>
    </w:p>
    <w:p w14:paraId="6D3182B7" w14:textId="77777777" w:rsidR="00A2056C" w:rsidRPr="00246195" w:rsidRDefault="00313C6B" w:rsidP="00FB5261">
      <w:pPr>
        <w:spacing w:line="360" w:lineRule="auto"/>
        <w:rPr>
          <w:rFonts w:cs="Times New Roman"/>
          <w:b/>
          <w:bCs/>
          <w:szCs w:val="24"/>
        </w:rPr>
      </w:pPr>
      <w:r w:rsidRPr="00246195">
        <w:rPr>
          <w:rFonts w:cs="Times New Roman"/>
          <w:b/>
          <w:bCs/>
          <w:szCs w:val="24"/>
        </w:rPr>
        <w:t xml:space="preserve">Evaluation of Liquidity Ratio: </w:t>
      </w:r>
    </w:p>
    <w:p w14:paraId="1F70AABB" w14:textId="77777777" w:rsidR="00A2056C" w:rsidRPr="00FB5261" w:rsidRDefault="00313C6B" w:rsidP="00FB5261">
      <w:pPr>
        <w:spacing w:line="360" w:lineRule="auto"/>
        <w:rPr>
          <w:rFonts w:cs="Times New Roman"/>
          <w:szCs w:val="24"/>
        </w:rPr>
      </w:pPr>
      <w:r w:rsidRPr="00246195">
        <w:rPr>
          <w:rFonts w:cs="Times New Roman"/>
          <w:b/>
          <w:bCs/>
          <w:szCs w:val="24"/>
        </w:rPr>
        <w:t>Current ratio:</w:t>
      </w:r>
      <w:r w:rsidRPr="00FB5261">
        <w:rPr>
          <w:rFonts w:cs="Times New Roman"/>
          <w:szCs w:val="24"/>
        </w:rPr>
        <w:t xml:space="preserve"> It is a method of measuring </w:t>
      </w:r>
      <w:r w:rsidR="003959F3" w:rsidRPr="00FB5261">
        <w:rPr>
          <w:rFonts w:cs="Times New Roman"/>
          <w:szCs w:val="24"/>
        </w:rPr>
        <w:t xml:space="preserve">the liquidity standard of a company. </w:t>
      </w:r>
      <w:r w:rsidR="00A862ED">
        <w:rPr>
          <w:rFonts w:cs="Times New Roman"/>
          <w:szCs w:val="24"/>
        </w:rPr>
        <w:t>The h</w:t>
      </w:r>
      <w:r w:rsidR="003959F3" w:rsidRPr="00FB5261">
        <w:rPr>
          <w:rFonts w:cs="Times New Roman"/>
          <w:szCs w:val="24"/>
        </w:rPr>
        <w:t xml:space="preserve">igher the ratio, </w:t>
      </w:r>
      <w:r w:rsidR="00A862ED">
        <w:rPr>
          <w:rFonts w:cs="Times New Roman"/>
          <w:szCs w:val="24"/>
        </w:rPr>
        <w:t xml:space="preserve">the </w:t>
      </w:r>
      <w:r w:rsidR="003959F3" w:rsidRPr="00FB5261">
        <w:rPr>
          <w:rFonts w:cs="Times New Roman"/>
          <w:szCs w:val="24"/>
        </w:rPr>
        <w:t>higher the liquidity of the company is</w:t>
      </w:r>
      <w:r w:rsidR="003907C8">
        <w:rPr>
          <w:rFonts w:cs="Times New Roman"/>
          <w:szCs w:val="24"/>
        </w:rPr>
        <w:t xml:space="preserve"> </w:t>
      </w:r>
      <w:r w:rsidR="003907C8">
        <w:rPr>
          <w:color w:val="000000"/>
        </w:rPr>
        <w:t>(Martyn, 2021)</w:t>
      </w:r>
      <w:r w:rsidR="003959F3" w:rsidRPr="00FB5261">
        <w:rPr>
          <w:rFonts w:cs="Times New Roman"/>
          <w:szCs w:val="24"/>
        </w:rPr>
        <w:t xml:space="preserve">. The standard liquidity ratio is 2:1. </w:t>
      </w:r>
      <w:r w:rsidR="003959F3" w:rsidRPr="00FB5261">
        <w:rPr>
          <w:rFonts w:cs="Times New Roman"/>
          <w:szCs w:val="24"/>
        </w:rPr>
        <w:lastRenderedPageBreak/>
        <w:t xml:space="preserve">The above-mentioned table shows that GSK has </w:t>
      </w:r>
      <w:r w:rsidR="00A862ED">
        <w:rPr>
          <w:rFonts w:cs="Times New Roman"/>
          <w:szCs w:val="24"/>
        </w:rPr>
        <w:t xml:space="preserve">a </w:t>
      </w:r>
      <w:r w:rsidR="003959F3" w:rsidRPr="00FB5261">
        <w:rPr>
          <w:rFonts w:cs="Times New Roman"/>
          <w:szCs w:val="24"/>
        </w:rPr>
        <w:t>below-standard current ratio all the five years. It implies that the liquidity condition of GSK is not satisfactory at all.</w:t>
      </w:r>
    </w:p>
    <w:p w14:paraId="40529256" w14:textId="77777777" w:rsidR="009905DF" w:rsidRPr="00FB5261" w:rsidRDefault="00313C6B" w:rsidP="00FB5261">
      <w:pPr>
        <w:spacing w:line="360" w:lineRule="auto"/>
        <w:rPr>
          <w:rFonts w:cs="Times New Roman"/>
          <w:szCs w:val="24"/>
        </w:rPr>
      </w:pPr>
      <w:r w:rsidRPr="00246195">
        <w:rPr>
          <w:rFonts w:cs="Times New Roman"/>
          <w:b/>
          <w:bCs/>
          <w:szCs w:val="24"/>
        </w:rPr>
        <w:t>Quick ratio:</w:t>
      </w:r>
      <w:r w:rsidRPr="00FB5261">
        <w:rPr>
          <w:rFonts w:cs="Times New Roman"/>
          <w:szCs w:val="24"/>
        </w:rPr>
        <w:t xml:space="preserve"> It is considered to be an updated</w:t>
      </w:r>
      <w:r w:rsidRPr="00FB5261">
        <w:rPr>
          <w:rFonts w:cs="Times New Roman"/>
          <w:szCs w:val="24"/>
        </w:rPr>
        <w:t xml:space="preserve"> form of </w:t>
      </w:r>
      <w:r w:rsidR="00A862ED">
        <w:rPr>
          <w:rFonts w:cs="Times New Roman"/>
          <w:szCs w:val="24"/>
        </w:rPr>
        <w:t xml:space="preserve">the </w:t>
      </w:r>
      <w:r w:rsidRPr="00FB5261">
        <w:rPr>
          <w:rFonts w:cs="Times New Roman"/>
          <w:szCs w:val="24"/>
        </w:rPr>
        <w:t xml:space="preserve">current ratio. It also measures the liquidity of a business for </w:t>
      </w:r>
      <w:r w:rsidR="00A862ED">
        <w:rPr>
          <w:rFonts w:cs="Times New Roman"/>
          <w:szCs w:val="24"/>
        </w:rPr>
        <w:t xml:space="preserve">a </w:t>
      </w:r>
      <w:r w:rsidRPr="00FB5261">
        <w:rPr>
          <w:rFonts w:cs="Times New Roman"/>
          <w:szCs w:val="24"/>
        </w:rPr>
        <w:t>shorter period.</w:t>
      </w:r>
      <w:r w:rsidR="002F20AB" w:rsidRPr="00FB5261">
        <w:rPr>
          <w:rFonts w:cs="Times New Roman"/>
          <w:szCs w:val="24"/>
        </w:rPr>
        <w:t xml:space="preserve"> The standard is 1:1. From the above-mentioned table, it can be seen that</w:t>
      </w:r>
      <w:r w:rsidR="00AF0A0C" w:rsidRPr="00FB5261">
        <w:rPr>
          <w:rFonts w:cs="Times New Roman"/>
          <w:szCs w:val="24"/>
        </w:rPr>
        <w:t xml:space="preserve"> all the ratios are below standards implying that GSK is poorly dealing with its liquidity concern.</w:t>
      </w:r>
    </w:p>
    <w:p w14:paraId="3AC4D53E" w14:textId="77777777" w:rsidR="00C9662F" w:rsidRPr="00FB5261" w:rsidRDefault="00313C6B" w:rsidP="00FB5261">
      <w:pPr>
        <w:spacing w:line="360" w:lineRule="auto"/>
        <w:rPr>
          <w:rFonts w:cs="Times New Roman"/>
          <w:szCs w:val="24"/>
        </w:rPr>
      </w:pPr>
      <w:r w:rsidRPr="00246195">
        <w:rPr>
          <w:rFonts w:cs="Times New Roman"/>
          <w:b/>
          <w:bCs/>
          <w:szCs w:val="24"/>
        </w:rPr>
        <w:t>Cash ratio</w:t>
      </w:r>
      <w:r w:rsidRPr="00FB5261">
        <w:rPr>
          <w:rFonts w:cs="Times New Roman"/>
          <w:szCs w:val="24"/>
        </w:rPr>
        <w:t xml:space="preserve">: It implies a company’s ability </w:t>
      </w:r>
      <w:r w:rsidR="00A862ED">
        <w:rPr>
          <w:rFonts w:cs="Times New Roman"/>
          <w:szCs w:val="24"/>
        </w:rPr>
        <w:t>to pay</w:t>
      </w:r>
      <w:r w:rsidRPr="00FB5261">
        <w:rPr>
          <w:rFonts w:cs="Times New Roman"/>
          <w:szCs w:val="24"/>
        </w:rPr>
        <w:t xml:space="preserve"> its short-term liabilities. In all the year</w:t>
      </w:r>
      <w:r w:rsidR="00A862ED">
        <w:rPr>
          <w:rFonts w:cs="Times New Roman"/>
          <w:szCs w:val="24"/>
        </w:rPr>
        <w:t>s</w:t>
      </w:r>
      <w:r w:rsidRPr="00FB5261">
        <w:rPr>
          <w:rFonts w:cs="Times New Roman"/>
          <w:szCs w:val="24"/>
        </w:rPr>
        <w:t xml:space="preserve">, the cash ratio is less than. It suggests that GSK has insufficient cash and cash-like items to pay its short-term liabilities </w:t>
      </w:r>
      <w:r w:rsidR="00A862ED">
        <w:rPr>
          <w:rFonts w:cs="Times New Roman"/>
          <w:szCs w:val="24"/>
        </w:rPr>
        <w:t xml:space="preserve">in </w:t>
      </w:r>
      <w:r w:rsidRPr="00FB5261">
        <w:rPr>
          <w:rFonts w:cs="Times New Roman"/>
          <w:szCs w:val="24"/>
        </w:rPr>
        <w:t>real-time.</w:t>
      </w:r>
    </w:p>
    <w:p w14:paraId="2C3589DC" w14:textId="77777777" w:rsidR="007E0371" w:rsidRDefault="007E0371" w:rsidP="00FB5261">
      <w:pPr>
        <w:spacing w:line="360" w:lineRule="auto"/>
        <w:rPr>
          <w:rFonts w:cs="Times New Roman"/>
          <w:szCs w:val="24"/>
        </w:rPr>
      </w:pPr>
    </w:p>
    <w:p w14:paraId="1CF68AB3" w14:textId="77777777" w:rsidR="00246195" w:rsidRPr="00FB5261" w:rsidRDefault="00313C6B" w:rsidP="00246195">
      <w:pPr>
        <w:pStyle w:val="Heading3"/>
      </w:pPr>
      <w:bookmarkStart w:id="6" w:name="_Toc61379992"/>
      <w:r>
        <w:t>3.1.3 Ge</w:t>
      </w:r>
      <w:r>
        <w:t>aring Ratios</w:t>
      </w:r>
      <w:bookmarkEnd w:id="6"/>
    </w:p>
    <w:p w14:paraId="3933BD55" w14:textId="77777777" w:rsidR="00A2056C" w:rsidRPr="00FB5261" w:rsidRDefault="00A2056C" w:rsidP="00FB5261">
      <w:pPr>
        <w:spacing w:line="360" w:lineRule="auto"/>
        <w:rPr>
          <w:rFonts w:cs="Times New Roman"/>
          <w:szCs w:val="24"/>
        </w:rPr>
      </w:pPr>
    </w:p>
    <w:tbl>
      <w:tblPr>
        <w:tblW w:w="9495" w:type="dxa"/>
        <w:tblLook w:val="04A0" w:firstRow="1" w:lastRow="0" w:firstColumn="1" w:lastColumn="0" w:noHBand="0" w:noVBand="1"/>
      </w:tblPr>
      <w:tblGrid>
        <w:gridCol w:w="2589"/>
        <w:gridCol w:w="1381"/>
        <w:gridCol w:w="1381"/>
        <w:gridCol w:w="1381"/>
        <w:gridCol w:w="1381"/>
        <w:gridCol w:w="1382"/>
      </w:tblGrid>
      <w:tr w:rsidR="00304AE7" w14:paraId="5306667D" w14:textId="77777777" w:rsidTr="00F93B9D">
        <w:trPr>
          <w:trHeight w:val="328"/>
        </w:trPr>
        <w:tc>
          <w:tcPr>
            <w:tcW w:w="2589" w:type="dxa"/>
            <w:tcBorders>
              <w:top w:val="nil"/>
              <w:left w:val="nil"/>
              <w:bottom w:val="nil"/>
              <w:right w:val="nil"/>
            </w:tcBorders>
            <w:shd w:val="clear" w:color="auto" w:fill="auto"/>
            <w:noWrap/>
            <w:vAlign w:val="bottom"/>
            <w:hideMark/>
          </w:tcPr>
          <w:p w14:paraId="10F34A96" w14:textId="77777777" w:rsidR="00F93B9D" w:rsidRPr="00FB5261" w:rsidRDefault="00F93B9D" w:rsidP="00FB5261">
            <w:pPr>
              <w:spacing w:after="0" w:line="360" w:lineRule="auto"/>
              <w:rPr>
                <w:rFonts w:eastAsia="Times New Roman" w:cs="Times New Roman"/>
                <w:szCs w:val="24"/>
                <w:lang w:val="en-US"/>
              </w:rPr>
            </w:pPr>
          </w:p>
        </w:tc>
        <w:tc>
          <w:tcPr>
            <w:tcW w:w="6906" w:type="dxa"/>
            <w:gridSpan w:val="5"/>
            <w:tcBorders>
              <w:top w:val="nil"/>
              <w:left w:val="nil"/>
              <w:bottom w:val="nil"/>
              <w:right w:val="nil"/>
            </w:tcBorders>
            <w:shd w:val="clear" w:color="auto" w:fill="auto"/>
            <w:noWrap/>
            <w:vAlign w:val="bottom"/>
            <w:hideMark/>
          </w:tcPr>
          <w:p w14:paraId="608114C3"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Gearing Ratios</w:t>
            </w:r>
          </w:p>
        </w:tc>
      </w:tr>
      <w:tr w:rsidR="00304AE7" w14:paraId="31208275" w14:textId="77777777" w:rsidTr="00F93B9D">
        <w:trPr>
          <w:trHeight w:val="344"/>
        </w:trPr>
        <w:tc>
          <w:tcPr>
            <w:tcW w:w="2589"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796A799"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 </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29A8586C"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2015</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3A54F7C8"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2016</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68B2979C"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2017</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266F215A"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2018</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105F3FD5"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2019</w:t>
            </w:r>
          </w:p>
        </w:tc>
      </w:tr>
      <w:tr w:rsidR="00304AE7" w14:paraId="17265E81" w14:textId="77777777" w:rsidTr="00F93B9D">
        <w:trPr>
          <w:trHeight w:val="328"/>
        </w:trPr>
        <w:tc>
          <w:tcPr>
            <w:tcW w:w="2589" w:type="dxa"/>
            <w:tcBorders>
              <w:top w:val="nil"/>
              <w:left w:val="nil"/>
              <w:bottom w:val="nil"/>
              <w:right w:val="nil"/>
            </w:tcBorders>
            <w:shd w:val="clear" w:color="auto" w:fill="auto"/>
            <w:noWrap/>
            <w:vAlign w:val="bottom"/>
            <w:hideMark/>
          </w:tcPr>
          <w:p w14:paraId="47397F32" w14:textId="77777777" w:rsidR="00F93B9D" w:rsidRPr="00FB5261" w:rsidRDefault="00F93B9D" w:rsidP="00FB5261">
            <w:pPr>
              <w:spacing w:after="0" w:line="360" w:lineRule="auto"/>
              <w:rPr>
                <w:rFonts w:eastAsia="Times New Roman" w:cs="Times New Roman"/>
                <w:b/>
                <w:bCs/>
                <w:color w:val="FFFFFF"/>
                <w:szCs w:val="24"/>
                <w:lang w:val="en-US"/>
              </w:rPr>
            </w:pPr>
          </w:p>
        </w:tc>
        <w:tc>
          <w:tcPr>
            <w:tcW w:w="6906" w:type="dxa"/>
            <w:gridSpan w:val="5"/>
            <w:tcBorders>
              <w:top w:val="nil"/>
              <w:left w:val="nil"/>
              <w:bottom w:val="nil"/>
              <w:right w:val="nil"/>
            </w:tcBorders>
            <w:shd w:val="clear" w:color="auto" w:fill="auto"/>
            <w:noWrap/>
            <w:vAlign w:val="bottom"/>
            <w:hideMark/>
          </w:tcPr>
          <w:p w14:paraId="03D17FF4"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Debt-equity ratio</w:t>
            </w:r>
          </w:p>
        </w:tc>
      </w:tr>
      <w:tr w:rsidR="00304AE7" w14:paraId="3EDE36B6" w14:textId="77777777" w:rsidTr="00F93B9D">
        <w:trPr>
          <w:trHeight w:val="313"/>
        </w:trPr>
        <w:tc>
          <w:tcPr>
            <w:tcW w:w="2589" w:type="dxa"/>
            <w:tcBorders>
              <w:top w:val="nil"/>
              <w:left w:val="nil"/>
              <w:bottom w:val="nil"/>
              <w:right w:val="nil"/>
            </w:tcBorders>
            <w:shd w:val="clear" w:color="auto" w:fill="auto"/>
            <w:noWrap/>
            <w:vAlign w:val="bottom"/>
            <w:hideMark/>
          </w:tcPr>
          <w:p w14:paraId="36042A72"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Total debt</w:t>
            </w:r>
          </w:p>
        </w:tc>
        <w:tc>
          <w:tcPr>
            <w:tcW w:w="1381" w:type="dxa"/>
            <w:tcBorders>
              <w:top w:val="nil"/>
              <w:left w:val="nil"/>
              <w:bottom w:val="nil"/>
              <w:right w:val="nil"/>
            </w:tcBorders>
            <w:shd w:val="clear" w:color="auto" w:fill="auto"/>
            <w:noWrap/>
            <w:vAlign w:val="bottom"/>
            <w:hideMark/>
          </w:tcPr>
          <w:p w14:paraId="58DD1800"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18726</w:t>
            </w:r>
          </w:p>
        </w:tc>
        <w:tc>
          <w:tcPr>
            <w:tcW w:w="1381" w:type="dxa"/>
            <w:tcBorders>
              <w:top w:val="nil"/>
              <w:left w:val="nil"/>
              <w:bottom w:val="nil"/>
              <w:right w:val="nil"/>
            </w:tcBorders>
            <w:shd w:val="clear" w:color="auto" w:fill="auto"/>
            <w:noWrap/>
            <w:vAlign w:val="bottom"/>
            <w:hideMark/>
          </w:tcPr>
          <w:p w14:paraId="34EEA7DE"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16562</w:t>
            </w:r>
          </w:p>
        </w:tc>
        <w:tc>
          <w:tcPr>
            <w:tcW w:w="1381" w:type="dxa"/>
            <w:tcBorders>
              <w:top w:val="nil"/>
              <w:left w:val="nil"/>
              <w:bottom w:val="nil"/>
              <w:right w:val="nil"/>
            </w:tcBorders>
            <w:shd w:val="clear" w:color="auto" w:fill="auto"/>
            <w:noWrap/>
            <w:vAlign w:val="bottom"/>
            <w:hideMark/>
          </w:tcPr>
          <w:p w14:paraId="42AAD0C1"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17023</w:t>
            </w:r>
          </w:p>
        </w:tc>
        <w:tc>
          <w:tcPr>
            <w:tcW w:w="1381" w:type="dxa"/>
            <w:tcBorders>
              <w:top w:val="nil"/>
              <w:left w:val="nil"/>
              <w:bottom w:val="nil"/>
              <w:right w:val="nil"/>
            </w:tcBorders>
            <w:shd w:val="clear" w:color="auto" w:fill="auto"/>
            <w:noWrap/>
            <w:vAlign w:val="bottom"/>
            <w:hideMark/>
          </w:tcPr>
          <w:p w14:paraId="2E17658A"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25996</w:t>
            </w:r>
          </w:p>
        </w:tc>
        <w:tc>
          <w:tcPr>
            <w:tcW w:w="1381" w:type="dxa"/>
            <w:tcBorders>
              <w:top w:val="nil"/>
              <w:left w:val="nil"/>
              <w:bottom w:val="nil"/>
              <w:right w:val="nil"/>
            </w:tcBorders>
            <w:shd w:val="clear" w:color="auto" w:fill="auto"/>
            <w:noWrap/>
            <w:vAlign w:val="bottom"/>
            <w:hideMark/>
          </w:tcPr>
          <w:p w14:paraId="529F2869"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29258</w:t>
            </w:r>
          </w:p>
        </w:tc>
      </w:tr>
      <w:tr w:rsidR="00304AE7" w14:paraId="303F2712" w14:textId="77777777" w:rsidTr="00F93B9D">
        <w:trPr>
          <w:trHeight w:val="328"/>
        </w:trPr>
        <w:tc>
          <w:tcPr>
            <w:tcW w:w="2589" w:type="dxa"/>
            <w:tcBorders>
              <w:top w:val="nil"/>
              <w:left w:val="nil"/>
              <w:bottom w:val="nil"/>
              <w:right w:val="nil"/>
            </w:tcBorders>
            <w:shd w:val="clear" w:color="auto" w:fill="auto"/>
            <w:noWrap/>
            <w:vAlign w:val="bottom"/>
            <w:hideMark/>
          </w:tcPr>
          <w:p w14:paraId="6DE5B38A"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Total equity</w:t>
            </w:r>
          </w:p>
        </w:tc>
        <w:tc>
          <w:tcPr>
            <w:tcW w:w="1381" w:type="dxa"/>
            <w:tcBorders>
              <w:top w:val="nil"/>
              <w:left w:val="nil"/>
              <w:bottom w:val="nil"/>
              <w:right w:val="nil"/>
            </w:tcBorders>
            <w:shd w:val="clear" w:color="auto" w:fill="auto"/>
            <w:noWrap/>
            <w:vAlign w:val="bottom"/>
            <w:hideMark/>
          </w:tcPr>
          <w:p w14:paraId="2025A3A8"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8878</w:t>
            </w:r>
          </w:p>
        </w:tc>
        <w:tc>
          <w:tcPr>
            <w:tcW w:w="1381" w:type="dxa"/>
            <w:tcBorders>
              <w:top w:val="nil"/>
              <w:left w:val="nil"/>
              <w:bottom w:val="nil"/>
              <w:right w:val="nil"/>
            </w:tcBorders>
            <w:shd w:val="clear" w:color="auto" w:fill="auto"/>
            <w:noWrap/>
            <w:vAlign w:val="bottom"/>
            <w:hideMark/>
          </w:tcPr>
          <w:p w14:paraId="5F041482"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4963</w:t>
            </w:r>
          </w:p>
        </w:tc>
        <w:tc>
          <w:tcPr>
            <w:tcW w:w="1381" w:type="dxa"/>
            <w:tcBorders>
              <w:top w:val="nil"/>
              <w:left w:val="nil"/>
              <w:bottom w:val="nil"/>
              <w:right w:val="nil"/>
            </w:tcBorders>
            <w:shd w:val="clear" w:color="auto" w:fill="auto"/>
            <w:noWrap/>
            <w:vAlign w:val="bottom"/>
            <w:hideMark/>
          </w:tcPr>
          <w:p w14:paraId="3A93AD12"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3489</w:t>
            </w:r>
          </w:p>
        </w:tc>
        <w:tc>
          <w:tcPr>
            <w:tcW w:w="1381" w:type="dxa"/>
            <w:tcBorders>
              <w:top w:val="nil"/>
              <w:left w:val="nil"/>
              <w:bottom w:val="nil"/>
              <w:right w:val="nil"/>
            </w:tcBorders>
            <w:shd w:val="clear" w:color="auto" w:fill="auto"/>
            <w:noWrap/>
            <w:vAlign w:val="bottom"/>
            <w:hideMark/>
          </w:tcPr>
          <w:p w14:paraId="4E637051"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3672</w:t>
            </w:r>
          </w:p>
        </w:tc>
        <w:tc>
          <w:tcPr>
            <w:tcW w:w="1381" w:type="dxa"/>
            <w:tcBorders>
              <w:top w:val="nil"/>
              <w:left w:val="nil"/>
              <w:bottom w:val="nil"/>
              <w:right w:val="nil"/>
            </w:tcBorders>
            <w:shd w:val="clear" w:color="auto" w:fill="auto"/>
            <w:noWrap/>
            <w:vAlign w:val="bottom"/>
            <w:hideMark/>
          </w:tcPr>
          <w:p w14:paraId="57D8B907"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18357</w:t>
            </w:r>
          </w:p>
        </w:tc>
      </w:tr>
      <w:tr w:rsidR="00304AE7" w14:paraId="5DA238B3" w14:textId="77777777" w:rsidTr="00F93B9D">
        <w:trPr>
          <w:trHeight w:val="344"/>
        </w:trPr>
        <w:tc>
          <w:tcPr>
            <w:tcW w:w="2589"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1CABC1A"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Debt-equity ratio</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599EEDC3"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2.11</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41143426"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3.34</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3F216C46"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4.88</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00438470"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7.08</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393C6958"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1.59</w:t>
            </w:r>
          </w:p>
        </w:tc>
      </w:tr>
      <w:tr w:rsidR="00304AE7" w14:paraId="1FA20CE3" w14:textId="77777777" w:rsidTr="00F93B9D">
        <w:trPr>
          <w:trHeight w:val="328"/>
        </w:trPr>
        <w:tc>
          <w:tcPr>
            <w:tcW w:w="2589" w:type="dxa"/>
            <w:tcBorders>
              <w:top w:val="nil"/>
              <w:left w:val="nil"/>
              <w:bottom w:val="nil"/>
              <w:right w:val="nil"/>
            </w:tcBorders>
            <w:shd w:val="clear" w:color="auto" w:fill="auto"/>
            <w:noWrap/>
            <w:vAlign w:val="bottom"/>
            <w:hideMark/>
          </w:tcPr>
          <w:p w14:paraId="33660A30" w14:textId="77777777" w:rsidR="00F93B9D" w:rsidRPr="00FB5261" w:rsidRDefault="00F93B9D" w:rsidP="00FB5261">
            <w:pPr>
              <w:spacing w:after="0" w:line="360" w:lineRule="auto"/>
              <w:rPr>
                <w:rFonts w:eastAsia="Times New Roman" w:cs="Times New Roman"/>
                <w:b/>
                <w:bCs/>
                <w:color w:val="FFFFFF"/>
                <w:szCs w:val="24"/>
                <w:lang w:val="en-US"/>
              </w:rPr>
            </w:pPr>
          </w:p>
        </w:tc>
        <w:tc>
          <w:tcPr>
            <w:tcW w:w="1381" w:type="dxa"/>
            <w:tcBorders>
              <w:top w:val="nil"/>
              <w:left w:val="nil"/>
              <w:bottom w:val="nil"/>
              <w:right w:val="nil"/>
            </w:tcBorders>
            <w:shd w:val="clear" w:color="auto" w:fill="auto"/>
            <w:noWrap/>
            <w:vAlign w:val="bottom"/>
            <w:hideMark/>
          </w:tcPr>
          <w:p w14:paraId="6CA1A123" w14:textId="77777777" w:rsidR="00F93B9D" w:rsidRPr="00FB5261" w:rsidRDefault="00F93B9D" w:rsidP="00FB5261">
            <w:pPr>
              <w:spacing w:after="0" w:line="360" w:lineRule="auto"/>
              <w:rPr>
                <w:rFonts w:eastAsia="Times New Roman" w:cs="Times New Roman"/>
                <w:szCs w:val="24"/>
                <w:lang w:val="en-US"/>
              </w:rPr>
            </w:pPr>
          </w:p>
        </w:tc>
        <w:tc>
          <w:tcPr>
            <w:tcW w:w="1381" w:type="dxa"/>
            <w:tcBorders>
              <w:top w:val="nil"/>
              <w:left w:val="nil"/>
              <w:bottom w:val="nil"/>
              <w:right w:val="nil"/>
            </w:tcBorders>
            <w:shd w:val="clear" w:color="auto" w:fill="auto"/>
            <w:noWrap/>
            <w:vAlign w:val="bottom"/>
            <w:hideMark/>
          </w:tcPr>
          <w:p w14:paraId="0FAFA36B" w14:textId="77777777" w:rsidR="00F93B9D" w:rsidRPr="00FB5261" w:rsidRDefault="00F93B9D" w:rsidP="00FB5261">
            <w:pPr>
              <w:spacing w:after="0" w:line="360" w:lineRule="auto"/>
              <w:rPr>
                <w:rFonts w:eastAsia="Times New Roman" w:cs="Times New Roman"/>
                <w:szCs w:val="24"/>
                <w:lang w:val="en-US"/>
              </w:rPr>
            </w:pPr>
          </w:p>
        </w:tc>
        <w:tc>
          <w:tcPr>
            <w:tcW w:w="2762" w:type="dxa"/>
            <w:gridSpan w:val="2"/>
            <w:tcBorders>
              <w:top w:val="nil"/>
              <w:left w:val="nil"/>
              <w:bottom w:val="nil"/>
              <w:right w:val="nil"/>
            </w:tcBorders>
            <w:shd w:val="clear" w:color="auto" w:fill="auto"/>
            <w:noWrap/>
            <w:vAlign w:val="bottom"/>
            <w:hideMark/>
          </w:tcPr>
          <w:p w14:paraId="601D0255"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Equity ratio</w:t>
            </w:r>
          </w:p>
        </w:tc>
        <w:tc>
          <w:tcPr>
            <w:tcW w:w="1381" w:type="dxa"/>
            <w:tcBorders>
              <w:top w:val="nil"/>
              <w:left w:val="nil"/>
              <w:bottom w:val="nil"/>
              <w:right w:val="nil"/>
            </w:tcBorders>
            <w:shd w:val="clear" w:color="auto" w:fill="auto"/>
            <w:noWrap/>
            <w:vAlign w:val="bottom"/>
            <w:hideMark/>
          </w:tcPr>
          <w:p w14:paraId="53EF5523" w14:textId="77777777" w:rsidR="00F93B9D" w:rsidRPr="00FB5261" w:rsidRDefault="00F93B9D" w:rsidP="00FB5261">
            <w:pPr>
              <w:spacing w:after="0" w:line="360" w:lineRule="auto"/>
              <w:rPr>
                <w:rFonts w:eastAsia="Times New Roman" w:cs="Times New Roman"/>
                <w:color w:val="000000"/>
                <w:szCs w:val="24"/>
                <w:lang w:val="en-US"/>
              </w:rPr>
            </w:pPr>
          </w:p>
        </w:tc>
      </w:tr>
      <w:tr w:rsidR="00304AE7" w14:paraId="1908BE38" w14:textId="77777777" w:rsidTr="00F93B9D">
        <w:trPr>
          <w:trHeight w:val="313"/>
        </w:trPr>
        <w:tc>
          <w:tcPr>
            <w:tcW w:w="2589" w:type="dxa"/>
            <w:tcBorders>
              <w:top w:val="nil"/>
              <w:left w:val="nil"/>
              <w:bottom w:val="nil"/>
              <w:right w:val="nil"/>
            </w:tcBorders>
            <w:shd w:val="clear" w:color="auto" w:fill="auto"/>
            <w:noWrap/>
            <w:vAlign w:val="bottom"/>
            <w:hideMark/>
          </w:tcPr>
          <w:p w14:paraId="26D52CE5"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Total equity</w:t>
            </w:r>
          </w:p>
        </w:tc>
        <w:tc>
          <w:tcPr>
            <w:tcW w:w="1381" w:type="dxa"/>
            <w:tcBorders>
              <w:top w:val="nil"/>
              <w:left w:val="nil"/>
              <w:bottom w:val="nil"/>
              <w:right w:val="nil"/>
            </w:tcBorders>
            <w:shd w:val="clear" w:color="auto" w:fill="auto"/>
            <w:noWrap/>
            <w:vAlign w:val="bottom"/>
            <w:hideMark/>
          </w:tcPr>
          <w:p w14:paraId="5B280B28"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8878</w:t>
            </w:r>
          </w:p>
        </w:tc>
        <w:tc>
          <w:tcPr>
            <w:tcW w:w="1381" w:type="dxa"/>
            <w:tcBorders>
              <w:top w:val="nil"/>
              <w:left w:val="nil"/>
              <w:bottom w:val="nil"/>
              <w:right w:val="nil"/>
            </w:tcBorders>
            <w:shd w:val="clear" w:color="auto" w:fill="auto"/>
            <w:noWrap/>
            <w:vAlign w:val="bottom"/>
            <w:hideMark/>
          </w:tcPr>
          <w:p w14:paraId="2A40DFB0"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4963</w:t>
            </w:r>
          </w:p>
        </w:tc>
        <w:tc>
          <w:tcPr>
            <w:tcW w:w="1381" w:type="dxa"/>
            <w:tcBorders>
              <w:top w:val="nil"/>
              <w:left w:val="nil"/>
              <w:bottom w:val="nil"/>
              <w:right w:val="nil"/>
            </w:tcBorders>
            <w:shd w:val="clear" w:color="auto" w:fill="auto"/>
            <w:noWrap/>
            <w:vAlign w:val="bottom"/>
            <w:hideMark/>
          </w:tcPr>
          <w:p w14:paraId="15D23AD5"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3489</w:t>
            </w:r>
          </w:p>
        </w:tc>
        <w:tc>
          <w:tcPr>
            <w:tcW w:w="1381" w:type="dxa"/>
            <w:tcBorders>
              <w:top w:val="nil"/>
              <w:left w:val="nil"/>
              <w:bottom w:val="nil"/>
              <w:right w:val="nil"/>
            </w:tcBorders>
            <w:shd w:val="clear" w:color="auto" w:fill="auto"/>
            <w:noWrap/>
            <w:vAlign w:val="bottom"/>
            <w:hideMark/>
          </w:tcPr>
          <w:p w14:paraId="3D27B354"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3672</w:t>
            </w:r>
          </w:p>
        </w:tc>
        <w:tc>
          <w:tcPr>
            <w:tcW w:w="1381" w:type="dxa"/>
            <w:tcBorders>
              <w:top w:val="nil"/>
              <w:left w:val="nil"/>
              <w:bottom w:val="nil"/>
              <w:right w:val="nil"/>
            </w:tcBorders>
            <w:shd w:val="clear" w:color="auto" w:fill="auto"/>
            <w:noWrap/>
            <w:vAlign w:val="bottom"/>
            <w:hideMark/>
          </w:tcPr>
          <w:p w14:paraId="37176EF7"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18357</w:t>
            </w:r>
          </w:p>
        </w:tc>
      </w:tr>
      <w:tr w:rsidR="00304AE7" w14:paraId="3ECC6380" w14:textId="77777777" w:rsidTr="00F93B9D">
        <w:trPr>
          <w:trHeight w:val="328"/>
        </w:trPr>
        <w:tc>
          <w:tcPr>
            <w:tcW w:w="2589" w:type="dxa"/>
            <w:tcBorders>
              <w:top w:val="nil"/>
              <w:left w:val="nil"/>
              <w:bottom w:val="nil"/>
              <w:right w:val="nil"/>
            </w:tcBorders>
            <w:shd w:val="clear" w:color="auto" w:fill="auto"/>
            <w:noWrap/>
            <w:vAlign w:val="bottom"/>
            <w:hideMark/>
          </w:tcPr>
          <w:p w14:paraId="7F761E91"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Total asset</w:t>
            </w:r>
          </w:p>
        </w:tc>
        <w:tc>
          <w:tcPr>
            <w:tcW w:w="1381" w:type="dxa"/>
            <w:tcBorders>
              <w:top w:val="nil"/>
              <w:left w:val="nil"/>
              <w:bottom w:val="nil"/>
              <w:right w:val="nil"/>
            </w:tcBorders>
            <w:shd w:val="clear" w:color="auto" w:fill="auto"/>
            <w:noWrap/>
            <w:vAlign w:val="bottom"/>
            <w:hideMark/>
          </w:tcPr>
          <w:p w14:paraId="717F91AA"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53446</w:t>
            </w:r>
          </w:p>
        </w:tc>
        <w:tc>
          <w:tcPr>
            <w:tcW w:w="1381" w:type="dxa"/>
            <w:tcBorders>
              <w:top w:val="nil"/>
              <w:left w:val="nil"/>
              <w:bottom w:val="nil"/>
              <w:right w:val="nil"/>
            </w:tcBorders>
            <w:shd w:val="clear" w:color="auto" w:fill="auto"/>
            <w:noWrap/>
            <w:vAlign w:val="bottom"/>
            <w:hideMark/>
          </w:tcPr>
          <w:p w14:paraId="460423AA"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59081</w:t>
            </w:r>
          </w:p>
        </w:tc>
        <w:tc>
          <w:tcPr>
            <w:tcW w:w="1381" w:type="dxa"/>
            <w:tcBorders>
              <w:top w:val="nil"/>
              <w:left w:val="nil"/>
              <w:bottom w:val="nil"/>
              <w:right w:val="nil"/>
            </w:tcBorders>
            <w:shd w:val="clear" w:color="auto" w:fill="auto"/>
            <w:noWrap/>
            <w:vAlign w:val="bottom"/>
            <w:hideMark/>
          </w:tcPr>
          <w:p w14:paraId="27D902CE"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56381</w:t>
            </w:r>
          </w:p>
        </w:tc>
        <w:tc>
          <w:tcPr>
            <w:tcW w:w="1381" w:type="dxa"/>
            <w:tcBorders>
              <w:top w:val="nil"/>
              <w:left w:val="nil"/>
              <w:bottom w:val="nil"/>
              <w:right w:val="nil"/>
            </w:tcBorders>
            <w:shd w:val="clear" w:color="auto" w:fill="auto"/>
            <w:noWrap/>
            <w:vAlign w:val="bottom"/>
            <w:hideMark/>
          </w:tcPr>
          <w:p w14:paraId="4B4D6EB4"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58066</w:t>
            </w:r>
          </w:p>
        </w:tc>
        <w:tc>
          <w:tcPr>
            <w:tcW w:w="1381" w:type="dxa"/>
            <w:tcBorders>
              <w:top w:val="nil"/>
              <w:left w:val="nil"/>
              <w:bottom w:val="nil"/>
              <w:right w:val="nil"/>
            </w:tcBorders>
            <w:shd w:val="clear" w:color="auto" w:fill="auto"/>
            <w:noWrap/>
            <w:vAlign w:val="bottom"/>
            <w:hideMark/>
          </w:tcPr>
          <w:p w14:paraId="749CCF5F"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79692</w:t>
            </w:r>
          </w:p>
        </w:tc>
      </w:tr>
      <w:tr w:rsidR="00304AE7" w14:paraId="76B3B619" w14:textId="77777777" w:rsidTr="00F93B9D">
        <w:trPr>
          <w:trHeight w:val="344"/>
        </w:trPr>
        <w:tc>
          <w:tcPr>
            <w:tcW w:w="2589"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212063C"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Equity ratio</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4885F261"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0.17</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55B0511F"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0.08</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682502F4"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0.06</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6EEF2BAC"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0.06</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686B47F0"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0.23</w:t>
            </w:r>
          </w:p>
        </w:tc>
      </w:tr>
      <w:tr w:rsidR="00304AE7" w14:paraId="333CD96B" w14:textId="77777777" w:rsidTr="00F93B9D">
        <w:trPr>
          <w:trHeight w:val="328"/>
        </w:trPr>
        <w:tc>
          <w:tcPr>
            <w:tcW w:w="2589" w:type="dxa"/>
            <w:tcBorders>
              <w:top w:val="nil"/>
              <w:left w:val="nil"/>
              <w:bottom w:val="nil"/>
              <w:right w:val="nil"/>
            </w:tcBorders>
            <w:shd w:val="clear" w:color="auto" w:fill="auto"/>
            <w:noWrap/>
            <w:vAlign w:val="bottom"/>
            <w:hideMark/>
          </w:tcPr>
          <w:p w14:paraId="675DDD35" w14:textId="77777777" w:rsidR="00F93B9D" w:rsidRPr="00FB5261" w:rsidRDefault="00F93B9D" w:rsidP="00FB5261">
            <w:pPr>
              <w:spacing w:after="0" w:line="360" w:lineRule="auto"/>
              <w:rPr>
                <w:rFonts w:eastAsia="Times New Roman" w:cs="Times New Roman"/>
                <w:b/>
                <w:bCs/>
                <w:color w:val="FFFFFF"/>
                <w:szCs w:val="24"/>
                <w:lang w:val="en-US"/>
              </w:rPr>
            </w:pPr>
          </w:p>
        </w:tc>
        <w:tc>
          <w:tcPr>
            <w:tcW w:w="1381" w:type="dxa"/>
            <w:tcBorders>
              <w:top w:val="nil"/>
              <w:left w:val="nil"/>
              <w:bottom w:val="nil"/>
              <w:right w:val="nil"/>
            </w:tcBorders>
            <w:shd w:val="clear" w:color="auto" w:fill="auto"/>
            <w:noWrap/>
            <w:vAlign w:val="bottom"/>
            <w:hideMark/>
          </w:tcPr>
          <w:p w14:paraId="16FC2B79" w14:textId="77777777" w:rsidR="00F93B9D" w:rsidRPr="00FB5261" w:rsidRDefault="00F93B9D" w:rsidP="00FB5261">
            <w:pPr>
              <w:spacing w:after="0" w:line="360" w:lineRule="auto"/>
              <w:rPr>
                <w:rFonts w:eastAsia="Times New Roman" w:cs="Times New Roman"/>
                <w:szCs w:val="24"/>
                <w:lang w:val="en-US"/>
              </w:rPr>
            </w:pPr>
          </w:p>
        </w:tc>
        <w:tc>
          <w:tcPr>
            <w:tcW w:w="1381" w:type="dxa"/>
            <w:tcBorders>
              <w:top w:val="nil"/>
              <w:left w:val="nil"/>
              <w:bottom w:val="nil"/>
              <w:right w:val="nil"/>
            </w:tcBorders>
            <w:shd w:val="clear" w:color="auto" w:fill="auto"/>
            <w:noWrap/>
            <w:vAlign w:val="bottom"/>
            <w:hideMark/>
          </w:tcPr>
          <w:p w14:paraId="631C860A" w14:textId="77777777" w:rsidR="00F93B9D" w:rsidRPr="00FB5261" w:rsidRDefault="00F93B9D" w:rsidP="00FB5261">
            <w:pPr>
              <w:spacing w:after="0" w:line="360" w:lineRule="auto"/>
              <w:rPr>
                <w:rFonts w:eastAsia="Times New Roman" w:cs="Times New Roman"/>
                <w:szCs w:val="24"/>
                <w:lang w:val="en-US"/>
              </w:rPr>
            </w:pPr>
          </w:p>
        </w:tc>
        <w:tc>
          <w:tcPr>
            <w:tcW w:w="2762" w:type="dxa"/>
            <w:gridSpan w:val="2"/>
            <w:tcBorders>
              <w:top w:val="nil"/>
              <w:left w:val="nil"/>
              <w:bottom w:val="nil"/>
              <w:right w:val="nil"/>
            </w:tcBorders>
            <w:shd w:val="clear" w:color="auto" w:fill="auto"/>
            <w:noWrap/>
            <w:vAlign w:val="bottom"/>
            <w:hideMark/>
          </w:tcPr>
          <w:p w14:paraId="584F199A"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Debt ratio</w:t>
            </w:r>
          </w:p>
        </w:tc>
        <w:tc>
          <w:tcPr>
            <w:tcW w:w="1381" w:type="dxa"/>
            <w:tcBorders>
              <w:top w:val="nil"/>
              <w:left w:val="nil"/>
              <w:bottom w:val="nil"/>
              <w:right w:val="nil"/>
            </w:tcBorders>
            <w:shd w:val="clear" w:color="auto" w:fill="auto"/>
            <w:noWrap/>
            <w:vAlign w:val="bottom"/>
            <w:hideMark/>
          </w:tcPr>
          <w:p w14:paraId="6D961F54" w14:textId="77777777" w:rsidR="00F93B9D" w:rsidRPr="00FB5261" w:rsidRDefault="00F93B9D" w:rsidP="00FB5261">
            <w:pPr>
              <w:spacing w:after="0" w:line="360" w:lineRule="auto"/>
              <w:rPr>
                <w:rFonts w:eastAsia="Times New Roman" w:cs="Times New Roman"/>
                <w:color w:val="000000"/>
                <w:szCs w:val="24"/>
                <w:lang w:val="en-US"/>
              </w:rPr>
            </w:pPr>
          </w:p>
        </w:tc>
      </w:tr>
      <w:tr w:rsidR="00304AE7" w14:paraId="77F3DDF5" w14:textId="77777777" w:rsidTr="00F93B9D">
        <w:trPr>
          <w:trHeight w:val="313"/>
        </w:trPr>
        <w:tc>
          <w:tcPr>
            <w:tcW w:w="2589" w:type="dxa"/>
            <w:tcBorders>
              <w:top w:val="nil"/>
              <w:left w:val="nil"/>
              <w:bottom w:val="nil"/>
              <w:right w:val="nil"/>
            </w:tcBorders>
            <w:shd w:val="clear" w:color="auto" w:fill="auto"/>
            <w:noWrap/>
            <w:vAlign w:val="bottom"/>
            <w:hideMark/>
          </w:tcPr>
          <w:p w14:paraId="406DBA1C"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Total debt</w:t>
            </w:r>
          </w:p>
        </w:tc>
        <w:tc>
          <w:tcPr>
            <w:tcW w:w="1381" w:type="dxa"/>
            <w:tcBorders>
              <w:top w:val="nil"/>
              <w:left w:val="nil"/>
              <w:bottom w:val="nil"/>
              <w:right w:val="nil"/>
            </w:tcBorders>
            <w:shd w:val="clear" w:color="auto" w:fill="auto"/>
            <w:noWrap/>
            <w:vAlign w:val="bottom"/>
            <w:hideMark/>
          </w:tcPr>
          <w:p w14:paraId="4C898EA6"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18726</w:t>
            </w:r>
          </w:p>
        </w:tc>
        <w:tc>
          <w:tcPr>
            <w:tcW w:w="1381" w:type="dxa"/>
            <w:tcBorders>
              <w:top w:val="nil"/>
              <w:left w:val="nil"/>
              <w:bottom w:val="nil"/>
              <w:right w:val="nil"/>
            </w:tcBorders>
            <w:shd w:val="clear" w:color="auto" w:fill="auto"/>
            <w:noWrap/>
            <w:vAlign w:val="bottom"/>
            <w:hideMark/>
          </w:tcPr>
          <w:p w14:paraId="54326546"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16562</w:t>
            </w:r>
          </w:p>
        </w:tc>
        <w:tc>
          <w:tcPr>
            <w:tcW w:w="1381" w:type="dxa"/>
            <w:tcBorders>
              <w:top w:val="nil"/>
              <w:left w:val="nil"/>
              <w:bottom w:val="nil"/>
              <w:right w:val="nil"/>
            </w:tcBorders>
            <w:shd w:val="clear" w:color="auto" w:fill="auto"/>
            <w:noWrap/>
            <w:vAlign w:val="bottom"/>
            <w:hideMark/>
          </w:tcPr>
          <w:p w14:paraId="2C6408A5"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17023</w:t>
            </w:r>
          </w:p>
        </w:tc>
        <w:tc>
          <w:tcPr>
            <w:tcW w:w="1381" w:type="dxa"/>
            <w:tcBorders>
              <w:top w:val="nil"/>
              <w:left w:val="nil"/>
              <w:bottom w:val="nil"/>
              <w:right w:val="nil"/>
            </w:tcBorders>
            <w:shd w:val="clear" w:color="auto" w:fill="auto"/>
            <w:noWrap/>
            <w:vAlign w:val="bottom"/>
            <w:hideMark/>
          </w:tcPr>
          <w:p w14:paraId="14AC7018"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25996</w:t>
            </w:r>
          </w:p>
        </w:tc>
        <w:tc>
          <w:tcPr>
            <w:tcW w:w="1381" w:type="dxa"/>
            <w:tcBorders>
              <w:top w:val="nil"/>
              <w:left w:val="nil"/>
              <w:bottom w:val="nil"/>
              <w:right w:val="nil"/>
            </w:tcBorders>
            <w:shd w:val="clear" w:color="auto" w:fill="auto"/>
            <w:noWrap/>
            <w:vAlign w:val="bottom"/>
            <w:hideMark/>
          </w:tcPr>
          <w:p w14:paraId="36550D81"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29258</w:t>
            </w:r>
          </w:p>
        </w:tc>
      </w:tr>
      <w:tr w:rsidR="00304AE7" w14:paraId="7A5BF59C" w14:textId="77777777" w:rsidTr="00F93B9D">
        <w:trPr>
          <w:trHeight w:val="328"/>
        </w:trPr>
        <w:tc>
          <w:tcPr>
            <w:tcW w:w="2589" w:type="dxa"/>
            <w:tcBorders>
              <w:top w:val="nil"/>
              <w:left w:val="nil"/>
              <w:bottom w:val="nil"/>
              <w:right w:val="nil"/>
            </w:tcBorders>
            <w:shd w:val="clear" w:color="auto" w:fill="auto"/>
            <w:noWrap/>
            <w:vAlign w:val="bottom"/>
            <w:hideMark/>
          </w:tcPr>
          <w:p w14:paraId="619706E0"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Total assets</w:t>
            </w:r>
          </w:p>
        </w:tc>
        <w:tc>
          <w:tcPr>
            <w:tcW w:w="1381" w:type="dxa"/>
            <w:tcBorders>
              <w:top w:val="nil"/>
              <w:left w:val="nil"/>
              <w:bottom w:val="nil"/>
              <w:right w:val="nil"/>
            </w:tcBorders>
            <w:shd w:val="clear" w:color="auto" w:fill="auto"/>
            <w:noWrap/>
            <w:vAlign w:val="bottom"/>
            <w:hideMark/>
          </w:tcPr>
          <w:p w14:paraId="79EF976A"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53446</w:t>
            </w:r>
          </w:p>
        </w:tc>
        <w:tc>
          <w:tcPr>
            <w:tcW w:w="1381" w:type="dxa"/>
            <w:tcBorders>
              <w:top w:val="nil"/>
              <w:left w:val="nil"/>
              <w:bottom w:val="nil"/>
              <w:right w:val="nil"/>
            </w:tcBorders>
            <w:shd w:val="clear" w:color="auto" w:fill="auto"/>
            <w:noWrap/>
            <w:vAlign w:val="bottom"/>
            <w:hideMark/>
          </w:tcPr>
          <w:p w14:paraId="7790A7C1"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59081</w:t>
            </w:r>
          </w:p>
        </w:tc>
        <w:tc>
          <w:tcPr>
            <w:tcW w:w="1381" w:type="dxa"/>
            <w:tcBorders>
              <w:top w:val="nil"/>
              <w:left w:val="nil"/>
              <w:bottom w:val="nil"/>
              <w:right w:val="nil"/>
            </w:tcBorders>
            <w:shd w:val="clear" w:color="auto" w:fill="auto"/>
            <w:noWrap/>
            <w:vAlign w:val="bottom"/>
            <w:hideMark/>
          </w:tcPr>
          <w:p w14:paraId="038086D6"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56381</w:t>
            </w:r>
          </w:p>
        </w:tc>
        <w:tc>
          <w:tcPr>
            <w:tcW w:w="1381" w:type="dxa"/>
            <w:tcBorders>
              <w:top w:val="nil"/>
              <w:left w:val="nil"/>
              <w:bottom w:val="nil"/>
              <w:right w:val="nil"/>
            </w:tcBorders>
            <w:shd w:val="clear" w:color="auto" w:fill="auto"/>
            <w:noWrap/>
            <w:vAlign w:val="bottom"/>
            <w:hideMark/>
          </w:tcPr>
          <w:p w14:paraId="74C16C9F"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58066</w:t>
            </w:r>
          </w:p>
        </w:tc>
        <w:tc>
          <w:tcPr>
            <w:tcW w:w="1381" w:type="dxa"/>
            <w:tcBorders>
              <w:top w:val="nil"/>
              <w:left w:val="nil"/>
              <w:bottom w:val="nil"/>
              <w:right w:val="nil"/>
            </w:tcBorders>
            <w:shd w:val="clear" w:color="auto" w:fill="auto"/>
            <w:noWrap/>
            <w:vAlign w:val="bottom"/>
            <w:hideMark/>
          </w:tcPr>
          <w:p w14:paraId="3B710866"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79692</w:t>
            </w:r>
          </w:p>
        </w:tc>
      </w:tr>
      <w:tr w:rsidR="00304AE7" w14:paraId="35C26CEB" w14:textId="77777777" w:rsidTr="00F93B9D">
        <w:trPr>
          <w:trHeight w:val="344"/>
        </w:trPr>
        <w:tc>
          <w:tcPr>
            <w:tcW w:w="2589"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4EA6998"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Debt ratio</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1FE1B2E1"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0.35</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3098203B"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0.28</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57193DA4"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0.30</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7E5E9DFB"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0.45</w:t>
            </w:r>
          </w:p>
        </w:tc>
        <w:tc>
          <w:tcPr>
            <w:tcW w:w="1381" w:type="dxa"/>
            <w:tcBorders>
              <w:top w:val="double" w:sz="6" w:space="0" w:color="3F3F3F"/>
              <w:left w:val="nil"/>
              <w:bottom w:val="double" w:sz="6" w:space="0" w:color="3F3F3F"/>
              <w:right w:val="double" w:sz="6" w:space="0" w:color="3F3F3F"/>
            </w:tcBorders>
            <w:shd w:val="clear" w:color="000000" w:fill="A5A5A5"/>
            <w:noWrap/>
            <w:vAlign w:val="bottom"/>
            <w:hideMark/>
          </w:tcPr>
          <w:p w14:paraId="0EDFAB7C"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0.37</w:t>
            </w:r>
          </w:p>
        </w:tc>
      </w:tr>
    </w:tbl>
    <w:p w14:paraId="7ED94809" w14:textId="77777777" w:rsidR="00F93B9D" w:rsidRPr="00FB5261" w:rsidRDefault="00F93B9D" w:rsidP="00FB5261">
      <w:pPr>
        <w:spacing w:line="360" w:lineRule="auto"/>
        <w:rPr>
          <w:rFonts w:cs="Times New Roman"/>
          <w:szCs w:val="24"/>
        </w:rPr>
      </w:pPr>
    </w:p>
    <w:p w14:paraId="70AD8B36" w14:textId="77777777" w:rsidR="00FB5261" w:rsidRDefault="00FB5261" w:rsidP="00FB5261">
      <w:pPr>
        <w:spacing w:line="360" w:lineRule="auto"/>
        <w:rPr>
          <w:rFonts w:cs="Times New Roman"/>
          <w:szCs w:val="24"/>
        </w:rPr>
      </w:pPr>
    </w:p>
    <w:p w14:paraId="4CC27FE4" w14:textId="77777777" w:rsidR="00F93B9D" w:rsidRPr="00246195" w:rsidRDefault="00313C6B" w:rsidP="00FB5261">
      <w:pPr>
        <w:spacing w:line="360" w:lineRule="auto"/>
        <w:rPr>
          <w:rFonts w:cs="Times New Roman"/>
          <w:b/>
          <w:bCs/>
          <w:szCs w:val="24"/>
        </w:rPr>
      </w:pPr>
      <w:r w:rsidRPr="00246195">
        <w:rPr>
          <w:rFonts w:cs="Times New Roman"/>
          <w:b/>
          <w:bCs/>
          <w:szCs w:val="24"/>
        </w:rPr>
        <w:lastRenderedPageBreak/>
        <w:t xml:space="preserve">Evaluation of </w:t>
      </w:r>
      <w:r w:rsidRPr="00246195">
        <w:rPr>
          <w:rFonts w:cs="Times New Roman"/>
          <w:b/>
          <w:bCs/>
          <w:szCs w:val="24"/>
        </w:rPr>
        <w:t>Gearing Ratios</w:t>
      </w:r>
    </w:p>
    <w:p w14:paraId="5CB12F9C" w14:textId="77777777" w:rsidR="007E0371" w:rsidRPr="00FB5261" w:rsidRDefault="00313C6B" w:rsidP="00FB5261">
      <w:pPr>
        <w:spacing w:line="360" w:lineRule="auto"/>
        <w:rPr>
          <w:rFonts w:cs="Times New Roman"/>
          <w:szCs w:val="24"/>
        </w:rPr>
      </w:pPr>
      <w:r w:rsidRPr="00246195">
        <w:rPr>
          <w:rFonts w:cs="Times New Roman"/>
          <w:b/>
          <w:bCs/>
          <w:szCs w:val="24"/>
        </w:rPr>
        <w:t>Debt-Equity ratio:</w:t>
      </w:r>
      <w:r w:rsidRPr="00FB5261">
        <w:rPr>
          <w:rFonts w:cs="Times New Roman"/>
          <w:szCs w:val="24"/>
        </w:rPr>
        <w:t xml:space="preserve"> </w:t>
      </w:r>
      <w:r w:rsidR="000A421A" w:rsidRPr="00FB5261">
        <w:rPr>
          <w:rFonts w:cs="Times New Roman"/>
          <w:szCs w:val="24"/>
        </w:rPr>
        <w:t xml:space="preserve">It measures how much a company’s financing is dependent on debt or own funds. </w:t>
      </w:r>
      <w:r w:rsidR="00A862ED">
        <w:rPr>
          <w:rFonts w:cs="Times New Roman"/>
          <w:szCs w:val="24"/>
        </w:rPr>
        <w:t>The h</w:t>
      </w:r>
      <w:r w:rsidR="00E137EE" w:rsidRPr="00FB5261">
        <w:rPr>
          <w:rFonts w:cs="Times New Roman"/>
          <w:szCs w:val="24"/>
        </w:rPr>
        <w:t xml:space="preserve">igher the debt-equity ratio, </w:t>
      </w:r>
      <w:r w:rsidR="00A862ED">
        <w:rPr>
          <w:rFonts w:cs="Times New Roman"/>
          <w:szCs w:val="24"/>
        </w:rPr>
        <w:t xml:space="preserve">the </w:t>
      </w:r>
      <w:r w:rsidR="00E137EE" w:rsidRPr="00FB5261">
        <w:rPr>
          <w:rFonts w:cs="Times New Roman"/>
          <w:szCs w:val="24"/>
        </w:rPr>
        <w:t>more would be the interference of the lender parties</w:t>
      </w:r>
      <w:r w:rsidR="003907C8">
        <w:rPr>
          <w:rFonts w:cs="Times New Roman"/>
          <w:szCs w:val="24"/>
        </w:rPr>
        <w:t xml:space="preserve"> </w:t>
      </w:r>
      <w:r w:rsidR="003907C8">
        <w:rPr>
          <w:color w:val="000000"/>
        </w:rPr>
        <w:t>(Jenkinson, 2014)</w:t>
      </w:r>
      <w:r w:rsidR="005143EE" w:rsidRPr="00FB5261">
        <w:rPr>
          <w:rFonts w:cs="Times New Roman"/>
          <w:szCs w:val="24"/>
        </w:rPr>
        <w:t xml:space="preserve">. </w:t>
      </w:r>
      <w:r w:rsidR="00A862ED">
        <w:rPr>
          <w:rFonts w:cs="Times New Roman"/>
          <w:szCs w:val="24"/>
        </w:rPr>
        <w:t>A h</w:t>
      </w:r>
      <w:r w:rsidR="005143EE" w:rsidRPr="00FB5261">
        <w:rPr>
          <w:rFonts w:cs="Times New Roman"/>
          <w:szCs w:val="24"/>
        </w:rPr>
        <w:t xml:space="preserve">igher ratio also indicates higher risk. Thus, the standard is not more than 2. The above-mentioned table shows that GSK had </w:t>
      </w:r>
      <w:r w:rsidR="00A862ED">
        <w:rPr>
          <w:rFonts w:cs="Times New Roman"/>
          <w:szCs w:val="24"/>
        </w:rPr>
        <w:t xml:space="preserve">an </w:t>
      </w:r>
      <w:r w:rsidR="005143EE" w:rsidRPr="00FB5261">
        <w:rPr>
          <w:rFonts w:cs="Times New Roman"/>
          <w:szCs w:val="24"/>
        </w:rPr>
        <w:t xml:space="preserve">above-standard debt-equity ratio in 2015, 2016. 2017 and 2018. But in 2019, the company could manage to reduce the ratio significantly. </w:t>
      </w:r>
    </w:p>
    <w:p w14:paraId="147C4F16" w14:textId="77777777" w:rsidR="003A19CE" w:rsidRPr="00FB5261" w:rsidRDefault="00313C6B" w:rsidP="00FB5261">
      <w:pPr>
        <w:spacing w:line="360" w:lineRule="auto"/>
        <w:rPr>
          <w:rFonts w:cs="Times New Roman"/>
          <w:szCs w:val="24"/>
        </w:rPr>
      </w:pPr>
      <w:r w:rsidRPr="00246195">
        <w:rPr>
          <w:rFonts w:cs="Times New Roman"/>
          <w:b/>
          <w:bCs/>
          <w:szCs w:val="24"/>
        </w:rPr>
        <w:t>Equity ratio:</w:t>
      </w:r>
      <w:r w:rsidRPr="00FB5261">
        <w:rPr>
          <w:rFonts w:cs="Times New Roman"/>
          <w:szCs w:val="24"/>
        </w:rPr>
        <w:t xml:space="preserve"> </w:t>
      </w:r>
      <w:r w:rsidR="00D02623" w:rsidRPr="00FB5261">
        <w:rPr>
          <w:rFonts w:cs="Times New Roman"/>
          <w:szCs w:val="24"/>
        </w:rPr>
        <w:t>It implies how efficiently a company manages its debt funds and its assets requirements</w:t>
      </w:r>
      <w:r w:rsidR="003907C8">
        <w:rPr>
          <w:rFonts w:cs="Times New Roman"/>
          <w:szCs w:val="24"/>
        </w:rPr>
        <w:t xml:space="preserve"> </w:t>
      </w:r>
      <w:r w:rsidR="003907C8">
        <w:rPr>
          <w:color w:val="000000"/>
        </w:rPr>
        <w:t>(Higgins, 2019)</w:t>
      </w:r>
      <w:r w:rsidR="00D02623" w:rsidRPr="00FB5261">
        <w:rPr>
          <w:rFonts w:cs="Times New Roman"/>
          <w:szCs w:val="24"/>
        </w:rPr>
        <w:t xml:space="preserve">. </w:t>
      </w:r>
      <w:r w:rsidR="00A862ED">
        <w:rPr>
          <w:rFonts w:cs="Times New Roman"/>
          <w:szCs w:val="24"/>
        </w:rPr>
        <w:t>The e</w:t>
      </w:r>
      <w:r w:rsidR="00C357A9" w:rsidRPr="00FB5261">
        <w:rPr>
          <w:rFonts w:cs="Times New Roman"/>
          <w:szCs w:val="24"/>
        </w:rPr>
        <w:t xml:space="preserve">quity ratio of GSK over </w:t>
      </w:r>
      <w:r w:rsidR="00A862ED">
        <w:rPr>
          <w:rFonts w:cs="Times New Roman"/>
          <w:szCs w:val="24"/>
        </w:rPr>
        <w:t>five years</w:t>
      </w:r>
      <w:r w:rsidR="00C357A9" w:rsidRPr="00FB5261">
        <w:rPr>
          <w:rFonts w:cs="Times New Roman"/>
          <w:szCs w:val="24"/>
        </w:rPr>
        <w:t xml:space="preserve"> seem</w:t>
      </w:r>
      <w:r w:rsidR="00A862ED">
        <w:rPr>
          <w:rFonts w:cs="Times New Roman"/>
          <w:szCs w:val="24"/>
        </w:rPr>
        <w:t>s</w:t>
      </w:r>
      <w:r w:rsidR="00C357A9" w:rsidRPr="00FB5261">
        <w:rPr>
          <w:rFonts w:cs="Times New Roman"/>
          <w:szCs w:val="24"/>
        </w:rPr>
        <w:t xml:space="preserve"> to be constant and is unsatisfactory.</w:t>
      </w:r>
    </w:p>
    <w:p w14:paraId="7FF2C98B" w14:textId="77777777" w:rsidR="00385A7E" w:rsidRPr="00FB5261" w:rsidRDefault="00313C6B" w:rsidP="00FB5261">
      <w:pPr>
        <w:spacing w:line="360" w:lineRule="auto"/>
        <w:rPr>
          <w:rFonts w:cs="Times New Roman"/>
          <w:szCs w:val="24"/>
        </w:rPr>
      </w:pPr>
      <w:r w:rsidRPr="00246195">
        <w:rPr>
          <w:rFonts w:cs="Times New Roman"/>
          <w:b/>
          <w:bCs/>
          <w:szCs w:val="24"/>
        </w:rPr>
        <w:t>Debt ratio:</w:t>
      </w:r>
      <w:r w:rsidRPr="00FB5261">
        <w:rPr>
          <w:rFonts w:cs="Times New Roman"/>
          <w:szCs w:val="24"/>
        </w:rPr>
        <w:t xml:space="preserve"> it measures the level o</w:t>
      </w:r>
      <w:r w:rsidR="00A862ED">
        <w:rPr>
          <w:rFonts w:cs="Times New Roman"/>
          <w:szCs w:val="24"/>
        </w:rPr>
        <w:t>f</w:t>
      </w:r>
      <w:r w:rsidRPr="00FB5261">
        <w:rPr>
          <w:rFonts w:cs="Times New Roman"/>
          <w:szCs w:val="24"/>
        </w:rPr>
        <w:t xml:space="preserve"> leverage</w:t>
      </w:r>
      <w:r w:rsidRPr="00FB5261">
        <w:rPr>
          <w:rFonts w:cs="Times New Roman"/>
          <w:szCs w:val="24"/>
        </w:rPr>
        <w:t xml:space="preserve"> a company utilizes, taking into consideration its total debt and total assets.</w:t>
      </w:r>
      <w:r w:rsidR="00607F5F" w:rsidRPr="00FB5261">
        <w:rPr>
          <w:rFonts w:cs="Times New Roman"/>
          <w:szCs w:val="24"/>
        </w:rPr>
        <w:t xml:space="preserve"> </w:t>
      </w:r>
      <w:r w:rsidR="00A862ED">
        <w:rPr>
          <w:rFonts w:cs="Times New Roman"/>
          <w:szCs w:val="24"/>
        </w:rPr>
        <w:t>A d</w:t>
      </w:r>
      <w:r w:rsidR="00607F5F" w:rsidRPr="00FB5261">
        <w:rPr>
          <w:rFonts w:cs="Times New Roman"/>
          <w:szCs w:val="24"/>
        </w:rPr>
        <w:t>ebt ratio lower than .40 is considered a good ratio.</w:t>
      </w:r>
      <w:r w:rsidR="000721D4" w:rsidRPr="00FB5261">
        <w:rPr>
          <w:rFonts w:cs="Times New Roman"/>
          <w:szCs w:val="24"/>
        </w:rPr>
        <w:t xml:space="preserve"> In </w:t>
      </w:r>
      <w:r w:rsidR="00A862ED">
        <w:rPr>
          <w:rFonts w:cs="Times New Roman"/>
          <w:szCs w:val="24"/>
        </w:rPr>
        <w:t xml:space="preserve">the </w:t>
      </w:r>
      <w:r w:rsidR="000721D4" w:rsidRPr="00FB5261">
        <w:rPr>
          <w:rFonts w:cs="Times New Roman"/>
          <w:szCs w:val="24"/>
        </w:rPr>
        <w:t xml:space="preserve">case of </w:t>
      </w:r>
      <w:r w:rsidR="00A862ED">
        <w:rPr>
          <w:rFonts w:cs="Times New Roman"/>
          <w:szCs w:val="24"/>
        </w:rPr>
        <w:t xml:space="preserve">the </w:t>
      </w:r>
      <w:r w:rsidR="000721D4" w:rsidRPr="00FB5261">
        <w:rPr>
          <w:rFonts w:cs="Times New Roman"/>
          <w:szCs w:val="24"/>
        </w:rPr>
        <w:t>debt ratio, GSK seems to perform</w:t>
      </w:r>
      <w:r w:rsidR="00907F39" w:rsidRPr="00FB5261">
        <w:rPr>
          <w:rFonts w:cs="Times New Roman"/>
          <w:szCs w:val="24"/>
        </w:rPr>
        <w:t xml:space="preserve"> relatively</w:t>
      </w:r>
      <w:r w:rsidR="000721D4" w:rsidRPr="00FB5261">
        <w:rPr>
          <w:rFonts w:cs="Times New Roman"/>
          <w:szCs w:val="24"/>
        </w:rPr>
        <w:t xml:space="preserve"> well.</w:t>
      </w:r>
    </w:p>
    <w:p w14:paraId="202ACF6F" w14:textId="77777777" w:rsidR="007E0371" w:rsidRPr="00FB5261" w:rsidRDefault="00313C6B" w:rsidP="00246195">
      <w:pPr>
        <w:pStyle w:val="Heading3"/>
      </w:pPr>
      <w:bookmarkStart w:id="7" w:name="_Toc61379993"/>
      <w:r>
        <w:t>3.1.4 Efficiency Ratio</w:t>
      </w:r>
      <w:bookmarkEnd w:id="7"/>
    </w:p>
    <w:p w14:paraId="2564AB92" w14:textId="77777777" w:rsidR="00F93B9D" w:rsidRPr="00FB5261" w:rsidRDefault="00F93B9D" w:rsidP="00FB5261">
      <w:pPr>
        <w:spacing w:line="360" w:lineRule="auto"/>
        <w:rPr>
          <w:rFonts w:cs="Times New Roman"/>
          <w:szCs w:val="24"/>
        </w:rPr>
      </w:pPr>
    </w:p>
    <w:tbl>
      <w:tblPr>
        <w:tblW w:w="9583" w:type="dxa"/>
        <w:tblLook w:val="04A0" w:firstRow="1" w:lastRow="0" w:firstColumn="1" w:lastColumn="0" w:noHBand="0" w:noVBand="1"/>
      </w:tblPr>
      <w:tblGrid>
        <w:gridCol w:w="3073"/>
        <w:gridCol w:w="1301"/>
        <w:gridCol w:w="1301"/>
        <w:gridCol w:w="1301"/>
        <w:gridCol w:w="1301"/>
        <w:gridCol w:w="1306"/>
      </w:tblGrid>
      <w:tr w:rsidR="00304AE7" w14:paraId="734C6DAF" w14:textId="77777777" w:rsidTr="00F93B9D">
        <w:trPr>
          <w:trHeight w:val="343"/>
        </w:trPr>
        <w:tc>
          <w:tcPr>
            <w:tcW w:w="3073" w:type="dxa"/>
            <w:tcBorders>
              <w:top w:val="nil"/>
              <w:left w:val="nil"/>
              <w:bottom w:val="nil"/>
              <w:right w:val="nil"/>
            </w:tcBorders>
            <w:shd w:val="clear" w:color="auto" w:fill="auto"/>
            <w:noWrap/>
            <w:vAlign w:val="bottom"/>
            <w:hideMark/>
          </w:tcPr>
          <w:p w14:paraId="2216B624" w14:textId="77777777" w:rsidR="00F93B9D" w:rsidRPr="00FB5261" w:rsidRDefault="00F93B9D" w:rsidP="00FB5261">
            <w:pPr>
              <w:spacing w:after="0" w:line="360" w:lineRule="auto"/>
              <w:rPr>
                <w:rFonts w:eastAsia="Times New Roman" w:cs="Times New Roman"/>
                <w:szCs w:val="24"/>
                <w:lang w:val="en-US"/>
              </w:rPr>
            </w:pPr>
          </w:p>
        </w:tc>
        <w:tc>
          <w:tcPr>
            <w:tcW w:w="6510" w:type="dxa"/>
            <w:gridSpan w:val="5"/>
            <w:tcBorders>
              <w:top w:val="nil"/>
              <w:left w:val="nil"/>
              <w:bottom w:val="nil"/>
              <w:right w:val="nil"/>
            </w:tcBorders>
            <w:shd w:val="clear" w:color="auto" w:fill="auto"/>
            <w:noWrap/>
            <w:vAlign w:val="bottom"/>
            <w:hideMark/>
          </w:tcPr>
          <w:p w14:paraId="5C563C19"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Efficiency Ratio</w:t>
            </w:r>
          </w:p>
        </w:tc>
      </w:tr>
      <w:tr w:rsidR="00304AE7" w14:paraId="3AE993AD" w14:textId="77777777" w:rsidTr="00F93B9D">
        <w:trPr>
          <w:trHeight w:val="360"/>
        </w:trPr>
        <w:tc>
          <w:tcPr>
            <w:tcW w:w="3073"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5618D446"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 </w:t>
            </w:r>
          </w:p>
        </w:tc>
        <w:tc>
          <w:tcPr>
            <w:tcW w:w="1301" w:type="dxa"/>
            <w:tcBorders>
              <w:top w:val="double" w:sz="6" w:space="0" w:color="3F3F3F"/>
              <w:left w:val="nil"/>
              <w:bottom w:val="double" w:sz="6" w:space="0" w:color="3F3F3F"/>
              <w:right w:val="double" w:sz="6" w:space="0" w:color="3F3F3F"/>
            </w:tcBorders>
            <w:shd w:val="clear" w:color="000000" w:fill="A5A5A5"/>
            <w:noWrap/>
            <w:vAlign w:val="bottom"/>
            <w:hideMark/>
          </w:tcPr>
          <w:p w14:paraId="11946B75"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2015</w:t>
            </w:r>
          </w:p>
        </w:tc>
        <w:tc>
          <w:tcPr>
            <w:tcW w:w="1301" w:type="dxa"/>
            <w:tcBorders>
              <w:top w:val="double" w:sz="6" w:space="0" w:color="3F3F3F"/>
              <w:left w:val="nil"/>
              <w:bottom w:val="double" w:sz="6" w:space="0" w:color="3F3F3F"/>
              <w:right w:val="double" w:sz="6" w:space="0" w:color="3F3F3F"/>
            </w:tcBorders>
            <w:shd w:val="clear" w:color="000000" w:fill="A5A5A5"/>
            <w:noWrap/>
            <w:vAlign w:val="bottom"/>
            <w:hideMark/>
          </w:tcPr>
          <w:p w14:paraId="05EB1BCF"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2016</w:t>
            </w:r>
          </w:p>
        </w:tc>
        <w:tc>
          <w:tcPr>
            <w:tcW w:w="1301" w:type="dxa"/>
            <w:tcBorders>
              <w:top w:val="double" w:sz="6" w:space="0" w:color="3F3F3F"/>
              <w:left w:val="nil"/>
              <w:bottom w:val="double" w:sz="6" w:space="0" w:color="3F3F3F"/>
              <w:right w:val="double" w:sz="6" w:space="0" w:color="3F3F3F"/>
            </w:tcBorders>
            <w:shd w:val="clear" w:color="000000" w:fill="A5A5A5"/>
            <w:noWrap/>
            <w:vAlign w:val="bottom"/>
            <w:hideMark/>
          </w:tcPr>
          <w:p w14:paraId="27967F6F"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2017</w:t>
            </w:r>
          </w:p>
        </w:tc>
        <w:tc>
          <w:tcPr>
            <w:tcW w:w="1301" w:type="dxa"/>
            <w:tcBorders>
              <w:top w:val="double" w:sz="6" w:space="0" w:color="3F3F3F"/>
              <w:left w:val="nil"/>
              <w:bottom w:val="double" w:sz="6" w:space="0" w:color="3F3F3F"/>
              <w:right w:val="double" w:sz="6" w:space="0" w:color="3F3F3F"/>
            </w:tcBorders>
            <w:shd w:val="clear" w:color="000000" w:fill="A5A5A5"/>
            <w:noWrap/>
            <w:vAlign w:val="bottom"/>
            <w:hideMark/>
          </w:tcPr>
          <w:p w14:paraId="53A397BF"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2018</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46014CBC"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2019</w:t>
            </w:r>
          </w:p>
        </w:tc>
      </w:tr>
      <w:tr w:rsidR="00304AE7" w14:paraId="4DB94726" w14:textId="77777777" w:rsidTr="00F93B9D">
        <w:trPr>
          <w:trHeight w:val="343"/>
        </w:trPr>
        <w:tc>
          <w:tcPr>
            <w:tcW w:w="3073" w:type="dxa"/>
            <w:tcBorders>
              <w:top w:val="nil"/>
              <w:left w:val="nil"/>
              <w:bottom w:val="nil"/>
              <w:right w:val="nil"/>
            </w:tcBorders>
            <w:shd w:val="clear" w:color="auto" w:fill="auto"/>
            <w:noWrap/>
            <w:vAlign w:val="bottom"/>
            <w:hideMark/>
          </w:tcPr>
          <w:p w14:paraId="2DD32359" w14:textId="77777777" w:rsidR="00F93B9D" w:rsidRPr="00FB5261" w:rsidRDefault="00F93B9D" w:rsidP="00FB5261">
            <w:pPr>
              <w:spacing w:after="0" w:line="360" w:lineRule="auto"/>
              <w:rPr>
                <w:rFonts w:eastAsia="Times New Roman" w:cs="Times New Roman"/>
                <w:b/>
                <w:bCs/>
                <w:color w:val="FFFFFF"/>
                <w:szCs w:val="24"/>
                <w:lang w:val="en-US"/>
              </w:rPr>
            </w:pPr>
          </w:p>
        </w:tc>
        <w:tc>
          <w:tcPr>
            <w:tcW w:w="6510" w:type="dxa"/>
            <w:gridSpan w:val="5"/>
            <w:tcBorders>
              <w:top w:val="nil"/>
              <w:left w:val="nil"/>
              <w:bottom w:val="nil"/>
              <w:right w:val="nil"/>
            </w:tcBorders>
            <w:shd w:val="clear" w:color="auto" w:fill="auto"/>
            <w:noWrap/>
            <w:vAlign w:val="bottom"/>
            <w:hideMark/>
          </w:tcPr>
          <w:p w14:paraId="17FFDC76"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Inventory turnover ratio</w:t>
            </w:r>
          </w:p>
        </w:tc>
      </w:tr>
      <w:tr w:rsidR="00304AE7" w14:paraId="076FEA03" w14:textId="77777777" w:rsidTr="00F93B9D">
        <w:trPr>
          <w:trHeight w:val="328"/>
        </w:trPr>
        <w:tc>
          <w:tcPr>
            <w:tcW w:w="3073" w:type="dxa"/>
            <w:tcBorders>
              <w:top w:val="nil"/>
              <w:left w:val="nil"/>
              <w:bottom w:val="nil"/>
              <w:right w:val="nil"/>
            </w:tcBorders>
            <w:shd w:val="clear" w:color="auto" w:fill="auto"/>
            <w:noWrap/>
            <w:vAlign w:val="bottom"/>
            <w:hideMark/>
          </w:tcPr>
          <w:p w14:paraId="57EB640E"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COGS</w:t>
            </w:r>
          </w:p>
        </w:tc>
        <w:tc>
          <w:tcPr>
            <w:tcW w:w="1301" w:type="dxa"/>
            <w:tcBorders>
              <w:top w:val="nil"/>
              <w:left w:val="nil"/>
              <w:bottom w:val="nil"/>
              <w:right w:val="nil"/>
            </w:tcBorders>
            <w:shd w:val="clear" w:color="auto" w:fill="auto"/>
            <w:noWrap/>
            <w:vAlign w:val="bottom"/>
            <w:hideMark/>
          </w:tcPr>
          <w:p w14:paraId="7C6A5276"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8853</w:t>
            </w:r>
          </w:p>
        </w:tc>
        <w:tc>
          <w:tcPr>
            <w:tcW w:w="1301" w:type="dxa"/>
            <w:tcBorders>
              <w:top w:val="nil"/>
              <w:left w:val="nil"/>
              <w:bottom w:val="nil"/>
              <w:right w:val="nil"/>
            </w:tcBorders>
            <w:shd w:val="clear" w:color="auto" w:fill="auto"/>
            <w:noWrap/>
            <w:vAlign w:val="bottom"/>
            <w:hideMark/>
          </w:tcPr>
          <w:p w14:paraId="15EA6FDB"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9290</w:t>
            </w:r>
          </w:p>
        </w:tc>
        <w:tc>
          <w:tcPr>
            <w:tcW w:w="1301" w:type="dxa"/>
            <w:tcBorders>
              <w:top w:val="nil"/>
              <w:left w:val="nil"/>
              <w:bottom w:val="nil"/>
              <w:right w:val="nil"/>
            </w:tcBorders>
            <w:shd w:val="clear" w:color="auto" w:fill="auto"/>
            <w:noWrap/>
            <w:vAlign w:val="bottom"/>
            <w:hideMark/>
          </w:tcPr>
          <w:p w14:paraId="5DD1E91E"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10342</w:t>
            </w:r>
          </w:p>
        </w:tc>
        <w:tc>
          <w:tcPr>
            <w:tcW w:w="1301" w:type="dxa"/>
            <w:tcBorders>
              <w:top w:val="nil"/>
              <w:left w:val="nil"/>
              <w:bottom w:val="nil"/>
              <w:right w:val="nil"/>
            </w:tcBorders>
            <w:shd w:val="clear" w:color="auto" w:fill="auto"/>
            <w:noWrap/>
            <w:vAlign w:val="bottom"/>
            <w:hideMark/>
          </w:tcPr>
          <w:p w14:paraId="58E90574"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10241</w:t>
            </w:r>
          </w:p>
        </w:tc>
        <w:tc>
          <w:tcPr>
            <w:tcW w:w="1303" w:type="dxa"/>
            <w:tcBorders>
              <w:top w:val="nil"/>
              <w:left w:val="nil"/>
              <w:bottom w:val="nil"/>
              <w:right w:val="nil"/>
            </w:tcBorders>
            <w:shd w:val="clear" w:color="auto" w:fill="auto"/>
            <w:noWrap/>
            <w:vAlign w:val="bottom"/>
            <w:hideMark/>
          </w:tcPr>
          <w:p w14:paraId="7E832002"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11863</w:t>
            </w:r>
          </w:p>
        </w:tc>
      </w:tr>
      <w:tr w:rsidR="00304AE7" w14:paraId="3666B5DF" w14:textId="77777777" w:rsidTr="00F93B9D">
        <w:trPr>
          <w:trHeight w:val="343"/>
        </w:trPr>
        <w:tc>
          <w:tcPr>
            <w:tcW w:w="3073" w:type="dxa"/>
            <w:tcBorders>
              <w:top w:val="nil"/>
              <w:left w:val="nil"/>
              <w:bottom w:val="nil"/>
              <w:right w:val="nil"/>
            </w:tcBorders>
            <w:shd w:val="clear" w:color="auto" w:fill="auto"/>
            <w:noWrap/>
            <w:vAlign w:val="bottom"/>
            <w:hideMark/>
          </w:tcPr>
          <w:p w14:paraId="6B711D2D"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Inventory</w:t>
            </w:r>
          </w:p>
        </w:tc>
        <w:tc>
          <w:tcPr>
            <w:tcW w:w="1301" w:type="dxa"/>
            <w:tcBorders>
              <w:top w:val="nil"/>
              <w:left w:val="nil"/>
              <w:bottom w:val="nil"/>
              <w:right w:val="nil"/>
            </w:tcBorders>
            <w:shd w:val="clear" w:color="auto" w:fill="auto"/>
            <w:noWrap/>
            <w:vAlign w:val="bottom"/>
            <w:hideMark/>
          </w:tcPr>
          <w:p w14:paraId="6D792801"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4716</w:t>
            </w:r>
          </w:p>
        </w:tc>
        <w:tc>
          <w:tcPr>
            <w:tcW w:w="1301" w:type="dxa"/>
            <w:tcBorders>
              <w:top w:val="nil"/>
              <w:left w:val="nil"/>
              <w:bottom w:val="nil"/>
              <w:right w:val="nil"/>
            </w:tcBorders>
            <w:shd w:val="clear" w:color="auto" w:fill="auto"/>
            <w:noWrap/>
            <w:vAlign w:val="bottom"/>
            <w:hideMark/>
          </w:tcPr>
          <w:p w14:paraId="5C00947D"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5102</w:t>
            </w:r>
          </w:p>
        </w:tc>
        <w:tc>
          <w:tcPr>
            <w:tcW w:w="1301" w:type="dxa"/>
            <w:tcBorders>
              <w:top w:val="nil"/>
              <w:left w:val="nil"/>
              <w:bottom w:val="nil"/>
              <w:right w:val="nil"/>
            </w:tcBorders>
            <w:shd w:val="clear" w:color="auto" w:fill="auto"/>
            <w:noWrap/>
            <w:vAlign w:val="bottom"/>
            <w:hideMark/>
          </w:tcPr>
          <w:p w14:paraId="1D4D6F6E"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5557</w:t>
            </w:r>
          </w:p>
        </w:tc>
        <w:tc>
          <w:tcPr>
            <w:tcW w:w="1301" w:type="dxa"/>
            <w:tcBorders>
              <w:top w:val="nil"/>
              <w:left w:val="nil"/>
              <w:bottom w:val="nil"/>
              <w:right w:val="nil"/>
            </w:tcBorders>
            <w:shd w:val="clear" w:color="auto" w:fill="auto"/>
            <w:noWrap/>
            <w:vAlign w:val="bottom"/>
            <w:hideMark/>
          </w:tcPr>
          <w:p w14:paraId="3EB897A4"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5476</w:t>
            </w:r>
          </w:p>
        </w:tc>
        <w:tc>
          <w:tcPr>
            <w:tcW w:w="1303" w:type="dxa"/>
            <w:tcBorders>
              <w:top w:val="nil"/>
              <w:left w:val="nil"/>
              <w:bottom w:val="nil"/>
              <w:right w:val="nil"/>
            </w:tcBorders>
            <w:shd w:val="clear" w:color="auto" w:fill="auto"/>
            <w:noWrap/>
            <w:vAlign w:val="bottom"/>
            <w:hideMark/>
          </w:tcPr>
          <w:p w14:paraId="4A9E4FC3"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5947</w:t>
            </w:r>
          </w:p>
        </w:tc>
      </w:tr>
      <w:tr w:rsidR="00304AE7" w14:paraId="61BFE01B" w14:textId="77777777" w:rsidTr="00F93B9D">
        <w:trPr>
          <w:trHeight w:val="360"/>
        </w:trPr>
        <w:tc>
          <w:tcPr>
            <w:tcW w:w="3073"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D5BF12C"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Inventory turnover ratio</w:t>
            </w:r>
          </w:p>
        </w:tc>
        <w:tc>
          <w:tcPr>
            <w:tcW w:w="1301" w:type="dxa"/>
            <w:tcBorders>
              <w:top w:val="double" w:sz="6" w:space="0" w:color="3F3F3F"/>
              <w:left w:val="nil"/>
              <w:bottom w:val="double" w:sz="6" w:space="0" w:color="3F3F3F"/>
              <w:right w:val="double" w:sz="6" w:space="0" w:color="3F3F3F"/>
            </w:tcBorders>
            <w:shd w:val="clear" w:color="000000" w:fill="A5A5A5"/>
            <w:noWrap/>
            <w:vAlign w:val="bottom"/>
            <w:hideMark/>
          </w:tcPr>
          <w:p w14:paraId="6B3FF18F"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1.88</w:t>
            </w:r>
          </w:p>
        </w:tc>
        <w:tc>
          <w:tcPr>
            <w:tcW w:w="1301" w:type="dxa"/>
            <w:tcBorders>
              <w:top w:val="double" w:sz="6" w:space="0" w:color="3F3F3F"/>
              <w:left w:val="nil"/>
              <w:bottom w:val="double" w:sz="6" w:space="0" w:color="3F3F3F"/>
              <w:right w:val="double" w:sz="6" w:space="0" w:color="3F3F3F"/>
            </w:tcBorders>
            <w:shd w:val="clear" w:color="000000" w:fill="A5A5A5"/>
            <w:noWrap/>
            <w:vAlign w:val="bottom"/>
            <w:hideMark/>
          </w:tcPr>
          <w:p w14:paraId="0F22ED38"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1.82</w:t>
            </w:r>
          </w:p>
        </w:tc>
        <w:tc>
          <w:tcPr>
            <w:tcW w:w="1301" w:type="dxa"/>
            <w:tcBorders>
              <w:top w:val="double" w:sz="6" w:space="0" w:color="3F3F3F"/>
              <w:left w:val="nil"/>
              <w:bottom w:val="double" w:sz="6" w:space="0" w:color="3F3F3F"/>
              <w:right w:val="double" w:sz="6" w:space="0" w:color="3F3F3F"/>
            </w:tcBorders>
            <w:shd w:val="clear" w:color="000000" w:fill="A5A5A5"/>
            <w:noWrap/>
            <w:vAlign w:val="bottom"/>
            <w:hideMark/>
          </w:tcPr>
          <w:p w14:paraId="49F330F8"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1.86</w:t>
            </w:r>
          </w:p>
        </w:tc>
        <w:tc>
          <w:tcPr>
            <w:tcW w:w="1301" w:type="dxa"/>
            <w:tcBorders>
              <w:top w:val="double" w:sz="6" w:space="0" w:color="3F3F3F"/>
              <w:left w:val="nil"/>
              <w:bottom w:val="double" w:sz="6" w:space="0" w:color="3F3F3F"/>
              <w:right w:val="double" w:sz="6" w:space="0" w:color="3F3F3F"/>
            </w:tcBorders>
            <w:shd w:val="clear" w:color="000000" w:fill="A5A5A5"/>
            <w:noWrap/>
            <w:vAlign w:val="bottom"/>
            <w:hideMark/>
          </w:tcPr>
          <w:p w14:paraId="11AA79B5"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1.87</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540BBF89"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1.99</w:t>
            </w:r>
          </w:p>
        </w:tc>
      </w:tr>
      <w:tr w:rsidR="00304AE7" w14:paraId="2780ED10" w14:textId="77777777" w:rsidTr="00F93B9D">
        <w:trPr>
          <w:trHeight w:val="343"/>
        </w:trPr>
        <w:tc>
          <w:tcPr>
            <w:tcW w:w="3073" w:type="dxa"/>
            <w:tcBorders>
              <w:top w:val="nil"/>
              <w:left w:val="nil"/>
              <w:bottom w:val="nil"/>
              <w:right w:val="nil"/>
            </w:tcBorders>
            <w:shd w:val="clear" w:color="auto" w:fill="auto"/>
            <w:noWrap/>
            <w:vAlign w:val="bottom"/>
            <w:hideMark/>
          </w:tcPr>
          <w:p w14:paraId="190556E2" w14:textId="77777777" w:rsidR="00F93B9D" w:rsidRPr="00FB5261" w:rsidRDefault="00F93B9D" w:rsidP="00FB5261">
            <w:pPr>
              <w:spacing w:after="0" w:line="360" w:lineRule="auto"/>
              <w:rPr>
                <w:rFonts w:eastAsia="Times New Roman" w:cs="Times New Roman"/>
                <w:b/>
                <w:bCs/>
                <w:color w:val="FFFFFF"/>
                <w:szCs w:val="24"/>
                <w:lang w:val="en-US"/>
              </w:rPr>
            </w:pPr>
          </w:p>
        </w:tc>
        <w:tc>
          <w:tcPr>
            <w:tcW w:w="6510" w:type="dxa"/>
            <w:gridSpan w:val="5"/>
            <w:tcBorders>
              <w:top w:val="nil"/>
              <w:left w:val="nil"/>
              <w:bottom w:val="nil"/>
              <w:right w:val="nil"/>
            </w:tcBorders>
            <w:shd w:val="clear" w:color="auto" w:fill="auto"/>
            <w:noWrap/>
            <w:vAlign w:val="bottom"/>
            <w:hideMark/>
          </w:tcPr>
          <w:p w14:paraId="7CE2E53A"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Asset turnover ratio</w:t>
            </w:r>
          </w:p>
        </w:tc>
      </w:tr>
      <w:tr w:rsidR="00304AE7" w14:paraId="6A3F3C19" w14:textId="77777777" w:rsidTr="00F93B9D">
        <w:trPr>
          <w:trHeight w:val="328"/>
        </w:trPr>
        <w:tc>
          <w:tcPr>
            <w:tcW w:w="3073" w:type="dxa"/>
            <w:tcBorders>
              <w:top w:val="nil"/>
              <w:left w:val="nil"/>
              <w:bottom w:val="nil"/>
              <w:right w:val="nil"/>
            </w:tcBorders>
            <w:shd w:val="clear" w:color="auto" w:fill="auto"/>
            <w:noWrap/>
            <w:vAlign w:val="bottom"/>
            <w:hideMark/>
          </w:tcPr>
          <w:p w14:paraId="1813568E"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Revenue</w:t>
            </w:r>
          </w:p>
        </w:tc>
        <w:tc>
          <w:tcPr>
            <w:tcW w:w="1301" w:type="dxa"/>
            <w:tcBorders>
              <w:top w:val="nil"/>
              <w:left w:val="nil"/>
              <w:bottom w:val="nil"/>
              <w:right w:val="nil"/>
            </w:tcBorders>
            <w:shd w:val="clear" w:color="auto" w:fill="auto"/>
            <w:noWrap/>
            <w:vAlign w:val="bottom"/>
            <w:hideMark/>
          </w:tcPr>
          <w:p w14:paraId="38EC53F6"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23923</w:t>
            </w:r>
          </w:p>
        </w:tc>
        <w:tc>
          <w:tcPr>
            <w:tcW w:w="1301" w:type="dxa"/>
            <w:tcBorders>
              <w:top w:val="nil"/>
              <w:left w:val="nil"/>
              <w:bottom w:val="nil"/>
              <w:right w:val="nil"/>
            </w:tcBorders>
            <w:shd w:val="clear" w:color="auto" w:fill="auto"/>
            <w:noWrap/>
            <w:vAlign w:val="bottom"/>
            <w:hideMark/>
          </w:tcPr>
          <w:p w14:paraId="5D5DDE0E"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27889</w:t>
            </w:r>
          </w:p>
        </w:tc>
        <w:tc>
          <w:tcPr>
            <w:tcW w:w="1301" w:type="dxa"/>
            <w:tcBorders>
              <w:top w:val="nil"/>
              <w:left w:val="nil"/>
              <w:bottom w:val="nil"/>
              <w:right w:val="nil"/>
            </w:tcBorders>
            <w:shd w:val="clear" w:color="auto" w:fill="auto"/>
            <w:noWrap/>
            <w:vAlign w:val="bottom"/>
            <w:hideMark/>
          </w:tcPr>
          <w:p w14:paraId="751CA92E"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30186</w:t>
            </w:r>
          </w:p>
        </w:tc>
        <w:tc>
          <w:tcPr>
            <w:tcW w:w="1301" w:type="dxa"/>
            <w:tcBorders>
              <w:top w:val="nil"/>
              <w:left w:val="nil"/>
              <w:bottom w:val="nil"/>
              <w:right w:val="nil"/>
            </w:tcBorders>
            <w:shd w:val="clear" w:color="auto" w:fill="auto"/>
            <w:noWrap/>
            <w:vAlign w:val="bottom"/>
            <w:hideMark/>
          </w:tcPr>
          <w:p w14:paraId="679351B4"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30821</w:t>
            </w:r>
          </w:p>
        </w:tc>
        <w:tc>
          <w:tcPr>
            <w:tcW w:w="1303" w:type="dxa"/>
            <w:tcBorders>
              <w:top w:val="nil"/>
              <w:left w:val="nil"/>
              <w:bottom w:val="nil"/>
              <w:right w:val="nil"/>
            </w:tcBorders>
            <w:shd w:val="clear" w:color="auto" w:fill="auto"/>
            <w:noWrap/>
            <w:vAlign w:val="bottom"/>
            <w:hideMark/>
          </w:tcPr>
          <w:p w14:paraId="19B25A4F"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33754</w:t>
            </w:r>
          </w:p>
        </w:tc>
      </w:tr>
      <w:tr w:rsidR="00304AE7" w14:paraId="1894CB79" w14:textId="77777777" w:rsidTr="00F93B9D">
        <w:trPr>
          <w:trHeight w:val="343"/>
        </w:trPr>
        <w:tc>
          <w:tcPr>
            <w:tcW w:w="3073" w:type="dxa"/>
            <w:tcBorders>
              <w:top w:val="nil"/>
              <w:left w:val="nil"/>
              <w:bottom w:val="nil"/>
              <w:right w:val="nil"/>
            </w:tcBorders>
            <w:shd w:val="clear" w:color="auto" w:fill="auto"/>
            <w:noWrap/>
            <w:vAlign w:val="bottom"/>
            <w:hideMark/>
          </w:tcPr>
          <w:p w14:paraId="16F17C27"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Total asset</w:t>
            </w:r>
          </w:p>
        </w:tc>
        <w:tc>
          <w:tcPr>
            <w:tcW w:w="1301" w:type="dxa"/>
            <w:tcBorders>
              <w:top w:val="nil"/>
              <w:left w:val="nil"/>
              <w:bottom w:val="nil"/>
              <w:right w:val="nil"/>
            </w:tcBorders>
            <w:shd w:val="clear" w:color="auto" w:fill="auto"/>
            <w:noWrap/>
            <w:vAlign w:val="bottom"/>
            <w:hideMark/>
          </w:tcPr>
          <w:p w14:paraId="49349B51"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53446</w:t>
            </w:r>
          </w:p>
        </w:tc>
        <w:tc>
          <w:tcPr>
            <w:tcW w:w="1301" w:type="dxa"/>
            <w:tcBorders>
              <w:top w:val="nil"/>
              <w:left w:val="nil"/>
              <w:bottom w:val="nil"/>
              <w:right w:val="nil"/>
            </w:tcBorders>
            <w:shd w:val="clear" w:color="auto" w:fill="auto"/>
            <w:noWrap/>
            <w:vAlign w:val="bottom"/>
            <w:hideMark/>
          </w:tcPr>
          <w:p w14:paraId="02374048"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59081</w:t>
            </w:r>
          </w:p>
        </w:tc>
        <w:tc>
          <w:tcPr>
            <w:tcW w:w="1301" w:type="dxa"/>
            <w:tcBorders>
              <w:top w:val="nil"/>
              <w:left w:val="nil"/>
              <w:bottom w:val="nil"/>
              <w:right w:val="nil"/>
            </w:tcBorders>
            <w:shd w:val="clear" w:color="auto" w:fill="auto"/>
            <w:noWrap/>
            <w:vAlign w:val="bottom"/>
            <w:hideMark/>
          </w:tcPr>
          <w:p w14:paraId="1CA9B312"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56381</w:t>
            </w:r>
          </w:p>
        </w:tc>
        <w:tc>
          <w:tcPr>
            <w:tcW w:w="1301" w:type="dxa"/>
            <w:tcBorders>
              <w:top w:val="nil"/>
              <w:left w:val="nil"/>
              <w:bottom w:val="nil"/>
              <w:right w:val="nil"/>
            </w:tcBorders>
            <w:shd w:val="clear" w:color="auto" w:fill="auto"/>
            <w:noWrap/>
            <w:vAlign w:val="bottom"/>
            <w:hideMark/>
          </w:tcPr>
          <w:p w14:paraId="354773C3"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58066</w:t>
            </w:r>
          </w:p>
        </w:tc>
        <w:tc>
          <w:tcPr>
            <w:tcW w:w="1303" w:type="dxa"/>
            <w:tcBorders>
              <w:top w:val="nil"/>
              <w:left w:val="nil"/>
              <w:bottom w:val="nil"/>
              <w:right w:val="nil"/>
            </w:tcBorders>
            <w:shd w:val="clear" w:color="auto" w:fill="auto"/>
            <w:noWrap/>
            <w:vAlign w:val="bottom"/>
            <w:hideMark/>
          </w:tcPr>
          <w:p w14:paraId="1130CF7E" w14:textId="77777777" w:rsidR="00F93B9D"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79692</w:t>
            </w:r>
          </w:p>
        </w:tc>
      </w:tr>
      <w:tr w:rsidR="00304AE7" w14:paraId="43926659" w14:textId="77777777" w:rsidTr="00F93B9D">
        <w:trPr>
          <w:trHeight w:val="360"/>
        </w:trPr>
        <w:tc>
          <w:tcPr>
            <w:tcW w:w="3073"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F4EAB5D"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Asset turnover ratio</w:t>
            </w:r>
          </w:p>
        </w:tc>
        <w:tc>
          <w:tcPr>
            <w:tcW w:w="1301" w:type="dxa"/>
            <w:tcBorders>
              <w:top w:val="double" w:sz="6" w:space="0" w:color="3F3F3F"/>
              <w:left w:val="nil"/>
              <w:bottom w:val="double" w:sz="6" w:space="0" w:color="3F3F3F"/>
              <w:right w:val="double" w:sz="6" w:space="0" w:color="3F3F3F"/>
            </w:tcBorders>
            <w:shd w:val="clear" w:color="000000" w:fill="A5A5A5"/>
            <w:noWrap/>
            <w:vAlign w:val="bottom"/>
            <w:hideMark/>
          </w:tcPr>
          <w:p w14:paraId="2810D06D"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0.45</w:t>
            </w:r>
          </w:p>
        </w:tc>
        <w:tc>
          <w:tcPr>
            <w:tcW w:w="1301" w:type="dxa"/>
            <w:tcBorders>
              <w:top w:val="double" w:sz="6" w:space="0" w:color="3F3F3F"/>
              <w:left w:val="nil"/>
              <w:bottom w:val="double" w:sz="6" w:space="0" w:color="3F3F3F"/>
              <w:right w:val="double" w:sz="6" w:space="0" w:color="3F3F3F"/>
            </w:tcBorders>
            <w:shd w:val="clear" w:color="000000" w:fill="A5A5A5"/>
            <w:noWrap/>
            <w:vAlign w:val="bottom"/>
            <w:hideMark/>
          </w:tcPr>
          <w:p w14:paraId="28189D92"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0.47</w:t>
            </w:r>
          </w:p>
        </w:tc>
        <w:tc>
          <w:tcPr>
            <w:tcW w:w="1301" w:type="dxa"/>
            <w:tcBorders>
              <w:top w:val="double" w:sz="6" w:space="0" w:color="3F3F3F"/>
              <w:left w:val="nil"/>
              <w:bottom w:val="double" w:sz="6" w:space="0" w:color="3F3F3F"/>
              <w:right w:val="double" w:sz="6" w:space="0" w:color="3F3F3F"/>
            </w:tcBorders>
            <w:shd w:val="clear" w:color="000000" w:fill="A5A5A5"/>
            <w:noWrap/>
            <w:vAlign w:val="bottom"/>
            <w:hideMark/>
          </w:tcPr>
          <w:p w14:paraId="5361B7D0"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0.54</w:t>
            </w:r>
          </w:p>
        </w:tc>
        <w:tc>
          <w:tcPr>
            <w:tcW w:w="1301" w:type="dxa"/>
            <w:tcBorders>
              <w:top w:val="double" w:sz="6" w:space="0" w:color="3F3F3F"/>
              <w:left w:val="nil"/>
              <w:bottom w:val="double" w:sz="6" w:space="0" w:color="3F3F3F"/>
              <w:right w:val="double" w:sz="6" w:space="0" w:color="3F3F3F"/>
            </w:tcBorders>
            <w:shd w:val="clear" w:color="000000" w:fill="A5A5A5"/>
            <w:noWrap/>
            <w:vAlign w:val="bottom"/>
            <w:hideMark/>
          </w:tcPr>
          <w:p w14:paraId="66D5953B"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0.53</w:t>
            </w:r>
          </w:p>
        </w:tc>
        <w:tc>
          <w:tcPr>
            <w:tcW w:w="1303" w:type="dxa"/>
            <w:tcBorders>
              <w:top w:val="double" w:sz="6" w:space="0" w:color="3F3F3F"/>
              <w:left w:val="nil"/>
              <w:bottom w:val="double" w:sz="6" w:space="0" w:color="3F3F3F"/>
              <w:right w:val="double" w:sz="6" w:space="0" w:color="3F3F3F"/>
            </w:tcBorders>
            <w:shd w:val="clear" w:color="000000" w:fill="A5A5A5"/>
            <w:noWrap/>
            <w:vAlign w:val="bottom"/>
            <w:hideMark/>
          </w:tcPr>
          <w:p w14:paraId="2ACADD24" w14:textId="77777777" w:rsidR="00F93B9D" w:rsidRPr="00FB5261" w:rsidRDefault="00313C6B" w:rsidP="00FB5261">
            <w:pPr>
              <w:spacing w:after="0" w:line="360" w:lineRule="auto"/>
              <w:rPr>
                <w:rFonts w:eastAsia="Times New Roman" w:cs="Times New Roman"/>
                <w:b/>
                <w:bCs/>
                <w:color w:val="FFFFFF"/>
                <w:szCs w:val="24"/>
                <w:lang w:val="en-US"/>
              </w:rPr>
            </w:pPr>
            <w:r w:rsidRPr="00FB5261">
              <w:rPr>
                <w:rFonts w:eastAsia="Times New Roman" w:cs="Times New Roman"/>
                <w:b/>
                <w:bCs/>
                <w:color w:val="FFFFFF"/>
                <w:szCs w:val="24"/>
                <w:lang w:val="en-US"/>
              </w:rPr>
              <w:t>0.42</w:t>
            </w:r>
          </w:p>
        </w:tc>
      </w:tr>
    </w:tbl>
    <w:p w14:paraId="626D4DFB" w14:textId="77777777" w:rsidR="00F93B9D" w:rsidRPr="00FB5261" w:rsidRDefault="00F93B9D" w:rsidP="00FB5261">
      <w:pPr>
        <w:spacing w:line="360" w:lineRule="auto"/>
        <w:rPr>
          <w:rFonts w:cs="Times New Roman"/>
          <w:szCs w:val="24"/>
        </w:rPr>
      </w:pPr>
    </w:p>
    <w:p w14:paraId="1655745F" w14:textId="77777777" w:rsidR="00F93B9D" w:rsidRPr="00246195" w:rsidRDefault="00313C6B" w:rsidP="00FB5261">
      <w:pPr>
        <w:spacing w:line="360" w:lineRule="auto"/>
        <w:rPr>
          <w:rFonts w:cs="Times New Roman"/>
          <w:b/>
          <w:bCs/>
          <w:szCs w:val="24"/>
        </w:rPr>
      </w:pPr>
      <w:r w:rsidRPr="00246195">
        <w:rPr>
          <w:rFonts w:cs="Times New Roman"/>
          <w:b/>
          <w:bCs/>
          <w:szCs w:val="24"/>
        </w:rPr>
        <w:t>Evaluation of Efficiency Ratios</w:t>
      </w:r>
    </w:p>
    <w:p w14:paraId="675E2059" w14:textId="77777777" w:rsidR="00B044EE" w:rsidRPr="00FB5261" w:rsidRDefault="00313C6B" w:rsidP="00FB5261">
      <w:pPr>
        <w:spacing w:line="360" w:lineRule="auto"/>
        <w:rPr>
          <w:rFonts w:cs="Times New Roman"/>
          <w:szCs w:val="24"/>
        </w:rPr>
      </w:pPr>
      <w:r w:rsidRPr="00246195">
        <w:rPr>
          <w:rFonts w:cs="Times New Roman"/>
          <w:b/>
          <w:bCs/>
          <w:szCs w:val="24"/>
        </w:rPr>
        <w:t>Inventory turnover ratio:</w:t>
      </w:r>
      <w:r w:rsidRPr="00FB5261">
        <w:rPr>
          <w:rFonts w:cs="Times New Roman"/>
          <w:szCs w:val="24"/>
        </w:rPr>
        <w:t xml:space="preserve"> inventory turnover ratio implies how many times a business s</w:t>
      </w:r>
      <w:r w:rsidR="00A862ED">
        <w:rPr>
          <w:rFonts w:cs="Times New Roman"/>
          <w:szCs w:val="24"/>
        </w:rPr>
        <w:t>ells</w:t>
      </w:r>
      <w:r w:rsidRPr="00FB5261">
        <w:rPr>
          <w:rFonts w:cs="Times New Roman"/>
          <w:szCs w:val="24"/>
        </w:rPr>
        <w:t xml:space="preserve"> its inventory over a given time. It helps managers make </w:t>
      </w:r>
      <w:r w:rsidR="00A862ED">
        <w:rPr>
          <w:rFonts w:cs="Times New Roman"/>
          <w:szCs w:val="24"/>
        </w:rPr>
        <w:t xml:space="preserve">the </w:t>
      </w:r>
      <w:r w:rsidRPr="00FB5261">
        <w:rPr>
          <w:rFonts w:cs="Times New Roman"/>
          <w:szCs w:val="24"/>
        </w:rPr>
        <w:t>proper decision at the right place in time.</w:t>
      </w:r>
      <w:r w:rsidR="005D0274" w:rsidRPr="00FB5261">
        <w:rPr>
          <w:rFonts w:cs="Times New Roman"/>
          <w:szCs w:val="24"/>
        </w:rPr>
        <w:t xml:space="preserve"> </w:t>
      </w:r>
      <w:r w:rsidR="005D0274" w:rsidRPr="00FB5261">
        <w:rPr>
          <w:rFonts w:cs="Times New Roman"/>
          <w:szCs w:val="24"/>
        </w:rPr>
        <w:lastRenderedPageBreak/>
        <w:t>If the inventory turnover ratio of a business is low, it would indicate that the company failed to sell enough units of products or services, or it has excess inventory</w:t>
      </w:r>
      <w:r w:rsidR="003907C8">
        <w:rPr>
          <w:rFonts w:cs="Times New Roman"/>
          <w:szCs w:val="24"/>
        </w:rPr>
        <w:t xml:space="preserve"> </w:t>
      </w:r>
      <w:r w:rsidR="003907C8">
        <w:rPr>
          <w:color w:val="000000"/>
        </w:rPr>
        <w:t>(Harun, 2021)</w:t>
      </w:r>
      <w:r w:rsidR="005D0274" w:rsidRPr="00FB5261">
        <w:rPr>
          <w:rFonts w:cs="Times New Roman"/>
          <w:szCs w:val="24"/>
        </w:rPr>
        <w:t xml:space="preserve">. </w:t>
      </w:r>
      <w:r w:rsidR="00094DC0">
        <w:rPr>
          <w:rFonts w:cs="Times New Roman"/>
          <w:szCs w:val="24"/>
        </w:rPr>
        <w:t>Inventory turnover ratio</w:t>
      </w:r>
      <w:r w:rsidR="005D0274" w:rsidRPr="00FB5261">
        <w:rPr>
          <w:rFonts w:cs="Times New Roman"/>
          <w:szCs w:val="24"/>
        </w:rPr>
        <w:t xml:space="preserve"> between 5 to 10 times implies a good situation for a company. From the above-mentioned table, it is seen that GSK couldn’t even touch the standard ratio. All the ratios calculated are below standards indicating a poor standard of GSK’s inventory management. </w:t>
      </w:r>
    </w:p>
    <w:p w14:paraId="210BED3F" w14:textId="77777777" w:rsidR="00252394" w:rsidRDefault="00313C6B" w:rsidP="00FB5261">
      <w:pPr>
        <w:spacing w:line="360" w:lineRule="auto"/>
        <w:rPr>
          <w:rFonts w:cs="Times New Roman"/>
          <w:szCs w:val="24"/>
        </w:rPr>
      </w:pPr>
      <w:r w:rsidRPr="00246195">
        <w:rPr>
          <w:rFonts w:cs="Times New Roman"/>
          <w:b/>
          <w:bCs/>
          <w:szCs w:val="24"/>
        </w:rPr>
        <w:t>Asset turnover ratio:</w:t>
      </w:r>
      <w:r w:rsidRPr="00FB5261">
        <w:rPr>
          <w:rFonts w:cs="Times New Roman"/>
          <w:szCs w:val="24"/>
        </w:rPr>
        <w:t xml:space="preserve"> </w:t>
      </w:r>
      <w:r w:rsidR="00A862ED">
        <w:rPr>
          <w:rFonts w:cs="Times New Roman"/>
          <w:szCs w:val="24"/>
        </w:rPr>
        <w:t>The a</w:t>
      </w:r>
      <w:r w:rsidR="00FB5261">
        <w:rPr>
          <w:rFonts w:cs="Times New Roman"/>
          <w:szCs w:val="24"/>
        </w:rPr>
        <w:t xml:space="preserve">sset turnover ratio is calculated </w:t>
      </w:r>
      <w:r w:rsidR="00A862ED">
        <w:rPr>
          <w:rFonts w:cs="Times New Roman"/>
          <w:szCs w:val="24"/>
        </w:rPr>
        <w:t xml:space="preserve">by </w:t>
      </w:r>
      <w:r w:rsidR="00FB5261">
        <w:rPr>
          <w:rFonts w:cs="Times New Roman"/>
          <w:szCs w:val="24"/>
        </w:rPr>
        <w:t xml:space="preserve">dividing the total sales </w:t>
      </w:r>
      <w:r w:rsidR="00A862ED">
        <w:rPr>
          <w:rFonts w:cs="Times New Roman"/>
          <w:szCs w:val="24"/>
        </w:rPr>
        <w:t>by</w:t>
      </w:r>
      <w:r w:rsidR="00FB5261">
        <w:rPr>
          <w:rFonts w:cs="Times New Roman"/>
          <w:szCs w:val="24"/>
        </w:rPr>
        <w:t xml:space="preserve"> </w:t>
      </w:r>
      <w:r w:rsidR="00A862ED">
        <w:rPr>
          <w:rFonts w:cs="Times New Roman"/>
          <w:szCs w:val="24"/>
        </w:rPr>
        <w:t xml:space="preserve">the </w:t>
      </w:r>
      <w:r w:rsidR="00FB5261">
        <w:rPr>
          <w:rFonts w:cs="Times New Roman"/>
          <w:szCs w:val="24"/>
        </w:rPr>
        <w:t xml:space="preserve">average assets of a company. It indicates how efficiently a company is utilizing its assets to meet up its sales requirements. </w:t>
      </w:r>
      <w:r w:rsidR="00A862ED">
        <w:rPr>
          <w:rFonts w:cs="Times New Roman"/>
          <w:szCs w:val="24"/>
        </w:rPr>
        <w:t>A h</w:t>
      </w:r>
      <w:r w:rsidR="00A66599">
        <w:rPr>
          <w:rFonts w:cs="Times New Roman"/>
          <w:szCs w:val="24"/>
        </w:rPr>
        <w:t>igh ratio means that the company is using its assets efficiently</w:t>
      </w:r>
      <w:r w:rsidR="003907C8">
        <w:rPr>
          <w:rFonts w:cs="Times New Roman"/>
          <w:szCs w:val="24"/>
        </w:rPr>
        <w:t xml:space="preserve"> </w:t>
      </w:r>
      <w:r w:rsidR="003907C8">
        <w:rPr>
          <w:color w:val="000000"/>
        </w:rPr>
        <w:t>(Bierman and Smidt, 2010)</w:t>
      </w:r>
      <w:r w:rsidR="00A66599">
        <w:rPr>
          <w:rFonts w:cs="Times New Roman"/>
          <w:szCs w:val="24"/>
        </w:rPr>
        <w:t xml:space="preserve">. A low ratio refers </w:t>
      </w:r>
      <w:r w:rsidR="00F745B5">
        <w:rPr>
          <w:rFonts w:cs="Times New Roman"/>
          <w:szCs w:val="24"/>
        </w:rPr>
        <w:t xml:space="preserve">exactly </w:t>
      </w:r>
      <w:r w:rsidR="00A66599">
        <w:rPr>
          <w:rFonts w:cs="Times New Roman"/>
          <w:szCs w:val="24"/>
        </w:rPr>
        <w:t xml:space="preserve">the opposite. </w:t>
      </w:r>
      <w:r w:rsidR="00E0496B">
        <w:rPr>
          <w:rFonts w:cs="Times New Roman"/>
          <w:szCs w:val="24"/>
        </w:rPr>
        <w:t>As there is no benchmark or standard for asset turnover ratio, it cannot be said whether GSK’s asset turnover ratio is good or bad. Comparing the investment average with the company average might give a</w:t>
      </w:r>
      <w:r w:rsidR="002D1220">
        <w:rPr>
          <w:rFonts w:cs="Times New Roman"/>
          <w:szCs w:val="24"/>
        </w:rPr>
        <w:t xml:space="preserve"> specific</w:t>
      </w:r>
      <w:r w:rsidR="00E0496B">
        <w:rPr>
          <w:rFonts w:cs="Times New Roman"/>
          <w:szCs w:val="24"/>
        </w:rPr>
        <w:t xml:space="preserve"> view about the ratios.</w:t>
      </w:r>
    </w:p>
    <w:p w14:paraId="6199477A" w14:textId="77777777" w:rsidR="0069483E" w:rsidRPr="00FB5261" w:rsidRDefault="0069483E" w:rsidP="00FB5261">
      <w:pPr>
        <w:spacing w:line="360" w:lineRule="auto"/>
        <w:rPr>
          <w:rFonts w:cs="Times New Roman"/>
          <w:szCs w:val="24"/>
        </w:rPr>
      </w:pPr>
    </w:p>
    <w:p w14:paraId="5057F8FF" w14:textId="77777777" w:rsidR="00F93B9D" w:rsidRDefault="00F93B9D" w:rsidP="00FB5261">
      <w:pPr>
        <w:spacing w:line="360" w:lineRule="auto"/>
        <w:rPr>
          <w:rFonts w:cs="Times New Roman"/>
          <w:szCs w:val="24"/>
        </w:rPr>
      </w:pPr>
    </w:p>
    <w:p w14:paraId="59F83B22" w14:textId="77777777" w:rsidR="0069483E" w:rsidRDefault="00313C6B" w:rsidP="00246195">
      <w:pPr>
        <w:pStyle w:val="Heading2"/>
      </w:pPr>
      <w:bookmarkStart w:id="8" w:name="_Toc61379994"/>
      <w:r>
        <w:t>3.2 Comparison with Major Competitors</w:t>
      </w:r>
      <w:bookmarkEnd w:id="8"/>
    </w:p>
    <w:p w14:paraId="230161CB" w14:textId="77777777" w:rsidR="00557985" w:rsidRPr="00FB5261" w:rsidRDefault="00313C6B" w:rsidP="00FB5261">
      <w:pPr>
        <w:spacing w:line="360" w:lineRule="auto"/>
        <w:rPr>
          <w:rFonts w:cs="Times New Roman"/>
          <w:szCs w:val="24"/>
        </w:rPr>
      </w:pPr>
      <w:r>
        <w:rPr>
          <w:rFonts w:cs="Times New Roman"/>
          <w:szCs w:val="24"/>
        </w:rPr>
        <w:t xml:space="preserve">In this </w:t>
      </w:r>
      <w:r>
        <w:rPr>
          <w:rFonts w:cs="Times New Roman"/>
          <w:szCs w:val="24"/>
        </w:rPr>
        <w:t xml:space="preserve">section, GSK’s calculated ratios have been compared with those of its major competitors. It is done to have </w:t>
      </w:r>
      <w:r w:rsidR="00A0145D">
        <w:rPr>
          <w:rFonts w:cs="Times New Roman"/>
          <w:szCs w:val="24"/>
        </w:rPr>
        <w:t>an</w:t>
      </w:r>
      <w:r>
        <w:rPr>
          <w:rFonts w:cs="Times New Roman"/>
          <w:szCs w:val="24"/>
        </w:rPr>
        <w:t xml:space="preserve"> idea about the position of GSK in a competitive market. </w:t>
      </w:r>
      <w:r w:rsidR="00A0145D">
        <w:rPr>
          <w:rFonts w:cs="Times New Roman"/>
          <w:szCs w:val="24"/>
        </w:rPr>
        <w:t>The major competitors of GSK are Unilever, Reckitt Benckiser, B.P., AstraZeneca</w:t>
      </w:r>
      <w:r w:rsidR="00A862ED">
        <w:rPr>
          <w:rFonts w:cs="Times New Roman"/>
          <w:szCs w:val="24"/>
        </w:rPr>
        <w:t>,</w:t>
      </w:r>
      <w:r w:rsidR="00A0145D">
        <w:rPr>
          <w:rFonts w:cs="Times New Roman"/>
          <w:szCs w:val="24"/>
        </w:rPr>
        <w:t xml:space="preserve"> and Alliance Pharma.</w:t>
      </w:r>
      <w:r>
        <w:rPr>
          <w:rFonts w:cs="Times New Roman"/>
          <w:szCs w:val="24"/>
        </w:rPr>
        <w:t xml:space="preserve"> The ratios of these companies over </w:t>
      </w:r>
      <w:r w:rsidR="00A862ED">
        <w:rPr>
          <w:rFonts w:cs="Times New Roman"/>
          <w:szCs w:val="24"/>
        </w:rPr>
        <w:t xml:space="preserve">the </w:t>
      </w:r>
      <w:r>
        <w:rPr>
          <w:rFonts w:cs="Times New Roman"/>
          <w:szCs w:val="24"/>
        </w:rPr>
        <w:t>recent five years have been calculated and compared with that of GSK.</w:t>
      </w:r>
    </w:p>
    <w:p w14:paraId="07116571" w14:textId="77777777" w:rsidR="00F93B9D" w:rsidRPr="00246195" w:rsidRDefault="00313C6B" w:rsidP="00FB5261">
      <w:pPr>
        <w:spacing w:line="360" w:lineRule="auto"/>
        <w:rPr>
          <w:rFonts w:cs="Times New Roman"/>
          <w:b/>
          <w:bCs/>
          <w:szCs w:val="24"/>
        </w:rPr>
      </w:pPr>
      <w:r w:rsidRPr="00246195">
        <w:rPr>
          <w:rFonts w:cs="Times New Roman"/>
          <w:b/>
          <w:bCs/>
          <w:szCs w:val="24"/>
        </w:rPr>
        <w:t>2015</w:t>
      </w:r>
    </w:p>
    <w:tbl>
      <w:tblPr>
        <w:tblStyle w:val="TableGrid"/>
        <w:tblW w:w="10231" w:type="dxa"/>
        <w:tblLook w:val="04A0" w:firstRow="1" w:lastRow="0" w:firstColumn="1" w:lastColumn="0" w:noHBand="0" w:noVBand="1"/>
      </w:tblPr>
      <w:tblGrid>
        <w:gridCol w:w="2436"/>
        <w:gridCol w:w="894"/>
        <w:gridCol w:w="1096"/>
        <w:gridCol w:w="1231"/>
        <w:gridCol w:w="836"/>
        <w:gridCol w:w="1523"/>
        <w:gridCol w:w="1216"/>
        <w:gridCol w:w="1069"/>
      </w:tblGrid>
      <w:tr w:rsidR="00304AE7" w14:paraId="7D2B52DA" w14:textId="77777777" w:rsidTr="00CF1DF7">
        <w:trPr>
          <w:trHeight w:val="636"/>
        </w:trPr>
        <w:tc>
          <w:tcPr>
            <w:tcW w:w="2436" w:type="dxa"/>
            <w:noWrap/>
            <w:hideMark/>
          </w:tcPr>
          <w:p w14:paraId="416D5879" w14:textId="77777777" w:rsidR="00D40A89" w:rsidRPr="00246195" w:rsidRDefault="00D40A89" w:rsidP="00D40A89">
            <w:pPr>
              <w:jc w:val="left"/>
              <w:rPr>
                <w:rFonts w:eastAsia="Times New Roman" w:cs="Times New Roman"/>
                <w:b/>
                <w:bCs/>
                <w:szCs w:val="24"/>
                <w:lang w:val="en-US"/>
              </w:rPr>
            </w:pPr>
          </w:p>
        </w:tc>
        <w:tc>
          <w:tcPr>
            <w:tcW w:w="894" w:type="dxa"/>
            <w:noWrap/>
            <w:hideMark/>
          </w:tcPr>
          <w:p w14:paraId="1AE7EB2F" w14:textId="77777777" w:rsidR="00D40A89" w:rsidRPr="00246195" w:rsidRDefault="00313C6B" w:rsidP="00D40A89">
            <w:pPr>
              <w:jc w:val="left"/>
              <w:rPr>
                <w:rFonts w:eastAsia="Times New Roman" w:cs="Times New Roman"/>
                <w:b/>
                <w:bCs/>
                <w:color w:val="000000"/>
                <w:szCs w:val="24"/>
                <w:lang w:val="en-US"/>
              </w:rPr>
            </w:pPr>
            <w:r w:rsidRPr="00246195">
              <w:rPr>
                <w:rFonts w:eastAsia="Times New Roman" w:cs="Times New Roman"/>
                <w:b/>
                <w:bCs/>
                <w:color w:val="000000"/>
                <w:szCs w:val="24"/>
                <w:lang w:val="en-US"/>
              </w:rPr>
              <w:t>GSK</w:t>
            </w:r>
          </w:p>
        </w:tc>
        <w:tc>
          <w:tcPr>
            <w:tcW w:w="1079" w:type="dxa"/>
            <w:noWrap/>
            <w:hideMark/>
          </w:tcPr>
          <w:p w14:paraId="4E3619A7" w14:textId="77777777" w:rsidR="00D40A89" w:rsidRPr="00246195" w:rsidRDefault="00313C6B" w:rsidP="00D40A89">
            <w:pPr>
              <w:jc w:val="left"/>
              <w:rPr>
                <w:rFonts w:eastAsia="Times New Roman" w:cs="Times New Roman"/>
                <w:b/>
                <w:bCs/>
                <w:color w:val="000000"/>
                <w:szCs w:val="24"/>
                <w:lang w:val="en-US"/>
              </w:rPr>
            </w:pPr>
            <w:r w:rsidRPr="00246195">
              <w:rPr>
                <w:rFonts w:eastAsia="Times New Roman" w:cs="Times New Roman"/>
                <w:b/>
                <w:bCs/>
                <w:color w:val="000000"/>
                <w:szCs w:val="24"/>
                <w:lang w:val="en-US"/>
              </w:rPr>
              <w:t>Unilever</w:t>
            </w:r>
          </w:p>
        </w:tc>
        <w:tc>
          <w:tcPr>
            <w:tcW w:w="1231" w:type="dxa"/>
            <w:noWrap/>
            <w:hideMark/>
          </w:tcPr>
          <w:p w14:paraId="0C83029F" w14:textId="77777777" w:rsidR="00D40A89" w:rsidRPr="00246195" w:rsidRDefault="00313C6B" w:rsidP="00D40A89">
            <w:pPr>
              <w:jc w:val="left"/>
              <w:rPr>
                <w:rFonts w:eastAsia="Times New Roman" w:cs="Times New Roman"/>
                <w:b/>
                <w:bCs/>
                <w:color w:val="000000"/>
                <w:szCs w:val="24"/>
                <w:lang w:val="en-US"/>
              </w:rPr>
            </w:pPr>
            <w:r w:rsidRPr="00246195">
              <w:rPr>
                <w:rFonts w:eastAsia="Times New Roman" w:cs="Times New Roman"/>
                <w:b/>
                <w:bCs/>
                <w:color w:val="000000"/>
                <w:szCs w:val="24"/>
                <w:lang w:val="en-US"/>
              </w:rPr>
              <w:t>Reckitt Benckiser</w:t>
            </w:r>
          </w:p>
        </w:tc>
        <w:tc>
          <w:tcPr>
            <w:tcW w:w="823" w:type="dxa"/>
            <w:noWrap/>
            <w:hideMark/>
          </w:tcPr>
          <w:p w14:paraId="19085745" w14:textId="77777777" w:rsidR="00D40A89" w:rsidRPr="00246195" w:rsidRDefault="00313C6B" w:rsidP="00D40A89">
            <w:pPr>
              <w:jc w:val="left"/>
              <w:rPr>
                <w:rFonts w:eastAsia="Times New Roman" w:cs="Times New Roman"/>
                <w:b/>
                <w:bCs/>
                <w:color w:val="000000"/>
                <w:szCs w:val="24"/>
                <w:lang w:val="en-US"/>
              </w:rPr>
            </w:pPr>
            <w:r w:rsidRPr="00246195">
              <w:rPr>
                <w:rFonts w:eastAsia="Times New Roman" w:cs="Times New Roman"/>
                <w:b/>
                <w:bCs/>
                <w:color w:val="000000"/>
                <w:szCs w:val="24"/>
                <w:lang w:val="en-US"/>
              </w:rPr>
              <w:t>B.P.</w:t>
            </w:r>
          </w:p>
        </w:tc>
        <w:tc>
          <w:tcPr>
            <w:tcW w:w="1500" w:type="dxa"/>
            <w:noWrap/>
            <w:hideMark/>
          </w:tcPr>
          <w:p w14:paraId="7008ACCF" w14:textId="77777777" w:rsidR="00D40A89" w:rsidRPr="00246195" w:rsidRDefault="00313C6B" w:rsidP="00D40A89">
            <w:pPr>
              <w:jc w:val="left"/>
              <w:rPr>
                <w:rFonts w:eastAsia="Times New Roman" w:cs="Times New Roman"/>
                <w:b/>
                <w:bCs/>
                <w:color w:val="000000"/>
                <w:szCs w:val="24"/>
                <w:lang w:val="en-US"/>
              </w:rPr>
            </w:pPr>
            <w:r w:rsidRPr="00246195">
              <w:rPr>
                <w:rFonts w:eastAsia="Times New Roman" w:cs="Times New Roman"/>
                <w:b/>
                <w:bCs/>
                <w:color w:val="000000"/>
                <w:szCs w:val="24"/>
                <w:lang w:val="en-US"/>
              </w:rPr>
              <w:t>AstraZeneca</w:t>
            </w:r>
          </w:p>
        </w:tc>
        <w:tc>
          <w:tcPr>
            <w:tcW w:w="1216" w:type="dxa"/>
            <w:noWrap/>
            <w:hideMark/>
          </w:tcPr>
          <w:p w14:paraId="17DA6AA0" w14:textId="77777777" w:rsidR="00D40A89" w:rsidRPr="00246195" w:rsidRDefault="00313C6B" w:rsidP="00D40A89">
            <w:pPr>
              <w:jc w:val="left"/>
              <w:rPr>
                <w:rFonts w:eastAsia="Times New Roman" w:cs="Times New Roman"/>
                <w:b/>
                <w:bCs/>
                <w:color w:val="000000"/>
                <w:szCs w:val="24"/>
                <w:lang w:val="en-US"/>
              </w:rPr>
            </w:pPr>
            <w:r w:rsidRPr="00246195">
              <w:rPr>
                <w:rFonts w:eastAsia="Times New Roman" w:cs="Times New Roman"/>
                <w:b/>
                <w:bCs/>
                <w:color w:val="000000"/>
                <w:szCs w:val="24"/>
                <w:lang w:val="en-US"/>
              </w:rPr>
              <w:t>Alliance Pharma</w:t>
            </w:r>
          </w:p>
        </w:tc>
        <w:tc>
          <w:tcPr>
            <w:tcW w:w="1052" w:type="dxa"/>
            <w:noWrap/>
            <w:hideMark/>
          </w:tcPr>
          <w:p w14:paraId="3139457B" w14:textId="77777777" w:rsidR="00D40A89" w:rsidRPr="00246195" w:rsidRDefault="00313C6B" w:rsidP="00D40A89">
            <w:pPr>
              <w:jc w:val="left"/>
              <w:rPr>
                <w:rFonts w:eastAsia="Times New Roman" w:cs="Times New Roman"/>
                <w:b/>
                <w:bCs/>
                <w:color w:val="000000"/>
                <w:szCs w:val="24"/>
                <w:lang w:val="en-US"/>
              </w:rPr>
            </w:pPr>
            <w:r w:rsidRPr="00246195">
              <w:rPr>
                <w:rFonts w:eastAsia="Times New Roman" w:cs="Times New Roman"/>
                <w:b/>
                <w:bCs/>
                <w:color w:val="000000"/>
                <w:szCs w:val="24"/>
                <w:lang w:val="en-US"/>
              </w:rPr>
              <w:t>Average</w:t>
            </w:r>
          </w:p>
        </w:tc>
      </w:tr>
      <w:tr w:rsidR="00304AE7" w14:paraId="02FA6E00" w14:textId="77777777" w:rsidTr="00CF1DF7">
        <w:trPr>
          <w:trHeight w:val="636"/>
        </w:trPr>
        <w:tc>
          <w:tcPr>
            <w:tcW w:w="2436" w:type="dxa"/>
            <w:noWrap/>
            <w:hideMark/>
          </w:tcPr>
          <w:p w14:paraId="021666DE" w14:textId="77777777" w:rsidR="00D40A89" w:rsidRPr="00D40A89" w:rsidRDefault="00313C6B" w:rsidP="00D40A89">
            <w:pPr>
              <w:jc w:val="left"/>
              <w:rPr>
                <w:rFonts w:eastAsia="Times New Roman" w:cs="Times New Roman"/>
                <w:color w:val="000000"/>
                <w:szCs w:val="24"/>
                <w:lang w:val="en-US"/>
              </w:rPr>
            </w:pPr>
            <w:r w:rsidRPr="00D40A89">
              <w:rPr>
                <w:rFonts w:eastAsia="Times New Roman" w:cs="Times New Roman"/>
                <w:color w:val="000000"/>
                <w:szCs w:val="24"/>
                <w:lang w:val="en-US"/>
              </w:rPr>
              <w:t>Gross profit margin</w:t>
            </w:r>
          </w:p>
        </w:tc>
        <w:tc>
          <w:tcPr>
            <w:tcW w:w="894" w:type="dxa"/>
            <w:noWrap/>
            <w:hideMark/>
          </w:tcPr>
          <w:p w14:paraId="3074F4E4"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63%</w:t>
            </w:r>
          </w:p>
        </w:tc>
        <w:tc>
          <w:tcPr>
            <w:tcW w:w="1079" w:type="dxa"/>
            <w:noWrap/>
            <w:hideMark/>
          </w:tcPr>
          <w:p w14:paraId="11E3A90C"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42%</w:t>
            </w:r>
          </w:p>
        </w:tc>
        <w:tc>
          <w:tcPr>
            <w:tcW w:w="1231" w:type="dxa"/>
            <w:noWrap/>
            <w:hideMark/>
          </w:tcPr>
          <w:p w14:paraId="65D8F026"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59%</w:t>
            </w:r>
          </w:p>
        </w:tc>
        <w:tc>
          <w:tcPr>
            <w:tcW w:w="823" w:type="dxa"/>
            <w:noWrap/>
            <w:hideMark/>
          </w:tcPr>
          <w:p w14:paraId="4E81C3E3"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1.80%</w:t>
            </w:r>
          </w:p>
        </w:tc>
        <w:tc>
          <w:tcPr>
            <w:tcW w:w="1500" w:type="dxa"/>
            <w:noWrap/>
            <w:hideMark/>
          </w:tcPr>
          <w:p w14:paraId="6344AC63"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75.35%</w:t>
            </w:r>
          </w:p>
        </w:tc>
        <w:tc>
          <w:tcPr>
            <w:tcW w:w="1216" w:type="dxa"/>
            <w:noWrap/>
            <w:hideMark/>
          </w:tcPr>
          <w:p w14:paraId="5C963265"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85.92%</w:t>
            </w:r>
          </w:p>
        </w:tc>
        <w:tc>
          <w:tcPr>
            <w:tcW w:w="1052" w:type="dxa"/>
            <w:noWrap/>
            <w:hideMark/>
          </w:tcPr>
          <w:p w14:paraId="09184421"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55%</w:t>
            </w:r>
          </w:p>
        </w:tc>
      </w:tr>
      <w:tr w:rsidR="00304AE7" w14:paraId="364745BE" w14:textId="77777777" w:rsidTr="00CF1DF7">
        <w:trPr>
          <w:trHeight w:val="636"/>
        </w:trPr>
        <w:tc>
          <w:tcPr>
            <w:tcW w:w="2436" w:type="dxa"/>
            <w:noWrap/>
            <w:hideMark/>
          </w:tcPr>
          <w:p w14:paraId="5C5A9877" w14:textId="77777777" w:rsidR="00D40A89" w:rsidRPr="00D40A89" w:rsidRDefault="00313C6B" w:rsidP="00D40A89">
            <w:pPr>
              <w:jc w:val="left"/>
              <w:rPr>
                <w:rFonts w:eastAsia="Times New Roman" w:cs="Times New Roman"/>
                <w:color w:val="000000"/>
                <w:szCs w:val="24"/>
                <w:lang w:val="en-US"/>
              </w:rPr>
            </w:pPr>
            <w:r w:rsidRPr="00D40A89">
              <w:rPr>
                <w:rFonts w:eastAsia="Times New Roman" w:cs="Times New Roman"/>
                <w:color w:val="000000"/>
                <w:szCs w:val="24"/>
                <w:lang w:val="en-US"/>
              </w:rPr>
              <w:t>Net profit margin</w:t>
            </w:r>
          </w:p>
        </w:tc>
        <w:tc>
          <w:tcPr>
            <w:tcW w:w="894" w:type="dxa"/>
            <w:noWrap/>
            <w:hideMark/>
          </w:tcPr>
          <w:p w14:paraId="1A97FC5B"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35%</w:t>
            </w:r>
          </w:p>
        </w:tc>
        <w:tc>
          <w:tcPr>
            <w:tcW w:w="1079" w:type="dxa"/>
            <w:noWrap/>
            <w:hideMark/>
          </w:tcPr>
          <w:p w14:paraId="53B8E17C"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9%</w:t>
            </w:r>
          </w:p>
        </w:tc>
        <w:tc>
          <w:tcPr>
            <w:tcW w:w="1231" w:type="dxa"/>
            <w:noWrap/>
            <w:hideMark/>
          </w:tcPr>
          <w:p w14:paraId="76AF3540"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20%</w:t>
            </w:r>
          </w:p>
        </w:tc>
        <w:tc>
          <w:tcPr>
            <w:tcW w:w="823" w:type="dxa"/>
            <w:noWrap/>
            <w:hideMark/>
          </w:tcPr>
          <w:p w14:paraId="3A9AC4F9"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-2.91%</w:t>
            </w:r>
          </w:p>
        </w:tc>
        <w:tc>
          <w:tcPr>
            <w:tcW w:w="1500" w:type="dxa"/>
            <w:noWrap/>
            <w:hideMark/>
          </w:tcPr>
          <w:p w14:paraId="5E834D83"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11.43%</w:t>
            </w:r>
          </w:p>
        </w:tc>
        <w:tc>
          <w:tcPr>
            <w:tcW w:w="1216" w:type="dxa"/>
            <w:noWrap/>
            <w:hideMark/>
          </w:tcPr>
          <w:p w14:paraId="6E41783F"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5.79%</w:t>
            </w:r>
          </w:p>
        </w:tc>
        <w:tc>
          <w:tcPr>
            <w:tcW w:w="1052" w:type="dxa"/>
            <w:noWrap/>
            <w:hideMark/>
          </w:tcPr>
          <w:p w14:paraId="60AF0B09"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13%</w:t>
            </w:r>
          </w:p>
        </w:tc>
      </w:tr>
      <w:tr w:rsidR="00304AE7" w14:paraId="144DDF28" w14:textId="77777777" w:rsidTr="00CF1DF7">
        <w:trPr>
          <w:trHeight w:val="636"/>
        </w:trPr>
        <w:tc>
          <w:tcPr>
            <w:tcW w:w="2436" w:type="dxa"/>
            <w:noWrap/>
            <w:hideMark/>
          </w:tcPr>
          <w:p w14:paraId="674B4BF5" w14:textId="77777777" w:rsidR="00D40A89" w:rsidRPr="00D40A89" w:rsidRDefault="00313C6B" w:rsidP="00D40A89">
            <w:pPr>
              <w:jc w:val="left"/>
              <w:rPr>
                <w:rFonts w:eastAsia="Times New Roman" w:cs="Times New Roman"/>
                <w:color w:val="000000"/>
                <w:szCs w:val="24"/>
                <w:lang w:val="en-US"/>
              </w:rPr>
            </w:pPr>
            <w:r w:rsidRPr="00D40A89">
              <w:rPr>
                <w:rFonts w:eastAsia="Times New Roman" w:cs="Times New Roman"/>
                <w:color w:val="000000"/>
                <w:szCs w:val="24"/>
                <w:lang w:val="en-US"/>
              </w:rPr>
              <w:t>ROE</w:t>
            </w:r>
          </w:p>
        </w:tc>
        <w:tc>
          <w:tcPr>
            <w:tcW w:w="894" w:type="dxa"/>
            <w:noWrap/>
            <w:hideMark/>
          </w:tcPr>
          <w:p w14:paraId="4EADF036"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94%</w:t>
            </w:r>
          </w:p>
        </w:tc>
        <w:tc>
          <w:tcPr>
            <w:tcW w:w="1079" w:type="dxa"/>
            <w:noWrap/>
            <w:hideMark/>
          </w:tcPr>
          <w:p w14:paraId="01E52B47"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30%</w:t>
            </w:r>
          </w:p>
        </w:tc>
        <w:tc>
          <w:tcPr>
            <w:tcW w:w="1231" w:type="dxa"/>
            <w:noWrap/>
            <w:hideMark/>
          </w:tcPr>
          <w:p w14:paraId="4FB9E63C"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25%</w:t>
            </w:r>
          </w:p>
        </w:tc>
        <w:tc>
          <w:tcPr>
            <w:tcW w:w="823" w:type="dxa"/>
            <w:noWrap/>
            <w:hideMark/>
          </w:tcPr>
          <w:p w14:paraId="29C2626B"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-6.36%</w:t>
            </w:r>
          </w:p>
        </w:tc>
        <w:tc>
          <w:tcPr>
            <w:tcW w:w="1500" w:type="dxa"/>
            <w:noWrap/>
            <w:hideMark/>
          </w:tcPr>
          <w:p w14:paraId="21466C74"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15%</w:t>
            </w:r>
          </w:p>
        </w:tc>
        <w:tc>
          <w:tcPr>
            <w:tcW w:w="1216" w:type="dxa"/>
            <w:noWrap/>
            <w:hideMark/>
          </w:tcPr>
          <w:p w14:paraId="25BB5FDB"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1.74%</w:t>
            </w:r>
          </w:p>
        </w:tc>
        <w:tc>
          <w:tcPr>
            <w:tcW w:w="1052" w:type="dxa"/>
            <w:noWrap/>
            <w:hideMark/>
          </w:tcPr>
          <w:p w14:paraId="20591380"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27%</w:t>
            </w:r>
          </w:p>
        </w:tc>
      </w:tr>
      <w:tr w:rsidR="00304AE7" w14:paraId="45D05378" w14:textId="77777777" w:rsidTr="00CF1DF7">
        <w:trPr>
          <w:trHeight w:val="636"/>
        </w:trPr>
        <w:tc>
          <w:tcPr>
            <w:tcW w:w="2436" w:type="dxa"/>
            <w:noWrap/>
            <w:hideMark/>
          </w:tcPr>
          <w:p w14:paraId="0A76CA37" w14:textId="77777777" w:rsidR="00D40A89" w:rsidRPr="00D40A89" w:rsidRDefault="00313C6B" w:rsidP="00D40A89">
            <w:pPr>
              <w:jc w:val="left"/>
              <w:rPr>
                <w:rFonts w:eastAsia="Times New Roman" w:cs="Times New Roman"/>
                <w:color w:val="000000"/>
                <w:szCs w:val="24"/>
                <w:lang w:val="en-US"/>
              </w:rPr>
            </w:pPr>
            <w:r w:rsidRPr="00D40A89">
              <w:rPr>
                <w:rFonts w:eastAsia="Times New Roman" w:cs="Times New Roman"/>
                <w:color w:val="000000"/>
                <w:szCs w:val="24"/>
                <w:lang w:val="en-US"/>
              </w:rPr>
              <w:t>ROA</w:t>
            </w:r>
          </w:p>
        </w:tc>
        <w:tc>
          <w:tcPr>
            <w:tcW w:w="894" w:type="dxa"/>
            <w:noWrap/>
            <w:hideMark/>
          </w:tcPr>
          <w:p w14:paraId="0A385ACE"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16%</w:t>
            </w:r>
          </w:p>
        </w:tc>
        <w:tc>
          <w:tcPr>
            <w:tcW w:w="1079" w:type="dxa"/>
            <w:noWrap/>
            <w:hideMark/>
          </w:tcPr>
          <w:p w14:paraId="2F003481"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6%</w:t>
            </w:r>
          </w:p>
        </w:tc>
        <w:tc>
          <w:tcPr>
            <w:tcW w:w="1231" w:type="dxa"/>
            <w:noWrap/>
            <w:hideMark/>
          </w:tcPr>
          <w:p w14:paraId="35EAFE06"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11%</w:t>
            </w:r>
          </w:p>
        </w:tc>
        <w:tc>
          <w:tcPr>
            <w:tcW w:w="823" w:type="dxa"/>
            <w:noWrap/>
            <w:hideMark/>
          </w:tcPr>
          <w:p w14:paraId="131FF8C2"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-2.39%</w:t>
            </w:r>
          </w:p>
        </w:tc>
        <w:tc>
          <w:tcPr>
            <w:tcW w:w="1500" w:type="dxa"/>
            <w:noWrap/>
            <w:hideMark/>
          </w:tcPr>
          <w:p w14:paraId="4C96F661"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5%</w:t>
            </w:r>
          </w:p>
        </w:tc>
        <w:tc>
          <w:tcPr>
            <w:tcW w:w="1216" w:type="dxa"/>
            <w:noWrap/>
            <w:hideMark/>
          </w:tcPr>
          <w:p w14:paraId="5676C127"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1.10%</w:t>
            </w:r>
          </w:p>
        </w:tc>
        <w:tc>
          <w:tcPr>
            <w:tcW w:w="1052" w:type="dxa"/>
            <w:noWrap/>
            <w:hideMark/>
          </w:tcPr>
          <w:p w14:paraId="24DCCDCF"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6%</w:t>
            </w:r>
          </w:p>
        </w:tc>
      </w:tr>
      <w:tr w:rsidR="00304AE7" w14:paraId="77AD888E" w14:textId="77777777" w:rsidTr="00CF1DF7">
        <w:trPr>
          <w:trHeight w:val="636"/>
        </w:trPr>
        <w:tc>
          <w:tcPr>
            <w:tcW w:w="2436" w:type="dxa"/>
            <w:noWrap/>
            <w:hideMark/>
          </w:tcPr>
          <w:p w14:paraId="641EF131" w14:textId="77777777" w:rsidR="00D40A89" w:rsidRPr="00D40A89" w:rsidRDefault="00313C6B" w:rsidP="00D40A89">
            <w:pPr>
              <w:jc w:val="left"/>
              <w:rPr>
                <w:rFonts w:eastAsia="Times New Roman" w:cs="Times New Roman"/>
                <w:color w:val="000000"/>
                <w:szCs w:val="24"/>
                <w:lang w:val="en-US"/>
              </w:rPr>
            </w:pPr>
            <w:r w:rsidRPr="00D40A89">
              <w:rPr>
                <w:rFonts w:eastAsia="Times New Roman" w:cs="Times New Roman"/>
                <w:color w:val="000000"/>
                <w:szCs w:val="24"/>
                <w:lang w:val="en-US"/>
              </w:rPr>
              <w:lastRenderedPageBreak/>
              <w:t>Current ratio</w:t>
            </w:r>
          </w:p>
        </w:tc>
        <w:tc>
          <w:tcPr>
            <w:tcW w:w="894" w:type="dxa"/>
            <w:noWrap/>
            <w:hideMark/>
          </w:tcPr>
          <w:p w14:paraId="1217D366"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1.24</w:t>
            </w:r>
          </w:p>
        </w:tc>
        <w:tc>
          <w:tcPr>
            <w:tcW w:w="1079" w:type="dxa"/>
            <w:noWrap/>
            <w:hideMark/>
          </w:tcPr>
          <w:p w14:paraId="3715A76D"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0.63</w:t>
            </w:r>
          </w:p>
        </w:tc>
        <w:tc>
          <w:tcPr>
            <w:tcW w:w="1231" w:type="dxa"/>
            <w:noWrap/>
            <w:hideMark/>
          </w:tcPr>
          <w:p w14:paraId="54C4E35A"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0.57</w:t>
            </w:r>
          </w:p>
        </w:tc>
        <w:tc>
          <w:tcPr>
            <w:tcW w:w="823" w:type="dxa"/>
            <w:noWrap/>
            <w:hideMark/>
          </w:tcPr>
          <w:p w14:paraId="2052DCF9"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1.28</w:t>
            </w:r>
          </w:p>
        </w:tc>
        <w:tc>
          <w:tcPr>
            <w:tcW w:w="1500" w:type="dxa"/>
            <w:noWrap/>
            <w:hideMark/>
          </w:tcPr>
          <w:p w14:paraId="25F3F7CD"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1.08</w:t>
            </w:r>
          </w:p>
        </w:tc>
        <w:tc>
          <w:tcPr>
            <w:tcW w:w="1216" w:type="dxa"/>
            <w:noWrap/>
            <w:hideMark/>
          </w:tcPr>
          <w:p w14:paraId="1B7647EB"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3.41</w:t>
            </w:r>
          </w:p>
        </w:tc>
        <w:tc>
          <w:tcPr>
            <w:tcW w:w="1052" w:type="dxa"/>
            <w:noWrap/>
            <w:hideMark/>
          </w:tcPr>
          <w:p w14:paraId="23B1D10C"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1.37</w:t>
            </w:r>
          </w:p>
        </w:tc>
      </w:tr>
      <w:tr w:rsidR="00304AE7" w14:paraId="4C117AF6" w14:textId="77777777" w:rsidTr="00CF1DF7">
        <w:trPr>
          <w:trHeight w:val="636"/>
        </w:trPr>
        <w:tc>
          <w:tcPr>
            <w:tcW w:w="2436" w:type="dxa"/>
            <w:noWrap/>
            <w:hideMark/>
          </w:tcPr>
          <w:p w14:paraId="575CAF90" w14:textId="77777777" w:rsidR="00D40A89" w:rsidRPr="00D40A89" w:rsidRDefault="00313C6B" w:rsidP="00D40A89">
            <w:pPr>
              <w:jc w:val="left"/>
              <w:rPr>
                <w:rFonts w:eastAsia="Times New Roman" w:cs="Times New Roman"/>
                <w:color w:val="000000"/>
                <w:szCs w:val="24"/>
                <w:lang w:val="en-US"/>
              </w:rPr>
            </w:pPr>
            <w:r w:rsidRPr="00D40A89">
              <w:rPr>
                <w:rFonts w:eastAsia="Times New Roman" w:cs="Times New Roman"/>
                <w:color w:val="000000"/>
                <w:szCs w:val="24"/>
                <w:lang w:val="en-US"/>
              </w:rPr>
              <w:t>Quick ratio</w:t>
            </w:r>
          </w:p>
        </w:tc>
        <w:tc>
          <w:tcPr>
            <w:tcW w:w="894" w:type="dxa"/>
            <w:noWrap/>
            <w:hideMark/>
          </w:tcPr>
          <w:p w14:paraId="19C80A72"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0.88</w:t>
            </w:r>
          </w:p>
        </w:tc>
        <w:tc>
          <w:tcPr>
            <w:tcW w:w="1079" w:type="dxa"/>
            <w:noWrap/>
            <w:hideMark/>
          </w:tcPr>
          <w:p w14:paraId="2A4576CE"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0.42</w:t>
            </w:r>
          </w:p>
        </w:tc>
        <w:tc>
          <w:tcPr>
            <w:tcW w:w="1231" w:type="dxa"/>
            <w:noWrap/>
            <w:hideMark/>
          </w:tcPr>
          <w:p w14:paraId="45EB89F0"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0.44</w:t>
            </w:r>
          </w:p>
        </w:tc>
        <w:tc>
          <w:tcPr>
            <w:tcW w:w="823" w:type="dxa"/>
            <w:noWrap/>
            <w:hideMark/>
          </w:tcPr>
          <w:p w14:paraId="78179280"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1.02</w:t>
            </w:r>
          </w:p>
        </w:tc>
        <w:tc>
          <w:tcPr>
            <w:tcW w:w="1500" w:type="dxa"/>
            <w:noWrap/>
            <w:hideMark/>
          </w:tcPr>
          <w:p w14:paraId="3B5C424B"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0.93</w:t>
            </w:r>
          </w:p>
        </w:tc>
        <w:tc>
          <w:tcPr>
            <w:tcW w:w="1216" w:type="dxa"/>
            <w:noWrap/>
            <w:hideMark/>
          </w:tcPr>
          <w:p w14:paraId="5D681295"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3.00</w:t>
            </w:r>
          </w:p>
        </w:tc>
        <w:tc>
          <w:tcPr>
            <w:tcW w:w="1052" w:type="dxa"/>
            <w:noWrap/>
            <w:hideMark/>
          </w:tcPr>
          <w:p w14:paraId="7C9DC813"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1.12</w:t>
            </w:r>
          </w:p>
        </w:tc>
      </w:tr>
      <w:tr w:rsidR="00304AE7" w14:paraId="36B0CDAD" w14:textId="77777777" w:rsidTr="00CF1DF7">
        <w:trPr>
          <w:trHeight w:val="636"/>
        </w:trPr>
        <w:tc>
          <w:tcPr>
            <w:tcW w:w="2436" w:type="dxa"/>
            <w:noWrap/>
            <w:hideMark/>
          </w:tcPr>
          <w:p w14:paraId="55A70529" w14:textId="77777777" w:rsidR="00D40A89" w:rsidRPr="00D40A89" w:rsidRDefault="00313C6B" w:rsidP="00D40A89">
            <w:pPr>
              <w:jc w:val="left"/>
              <w:rPr>
                <w:rFonts w:eastAsia="Times New Roman" w:cs="Times New Roman"/>
                <w:color w:val="000000"/>
                <w:szCs w:val="24"/>
                <w:lang w:val="en-US"/>
              </w:rPr>
            </w:pPr>
            <w:r w:rsidRPr="00D40A89">
              <w:rPr>
                <w:rFonts w:eastAsia="Times New Roman" w:cs="Times New Roman"/>
                <w:color w:val="000000"/>
                <w:szCs w:val="24"/>
                <w:lang w:val="en-US"/>
              </w:rPr>
              <w:t>Cash ratio</w:t>
            </w:r>
          </w:p>
        </w:tc>
        <w:tc>
          <w:tcPr>
            <w:tcW w:w="894" w:type="dxa"/>
            <w:noWrap/>
            <w:hideMark/>
          </w:tcPr>
          <w:p w14:paraId="037DCEEA"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0.43</w:t>
            </w:r>
          </w:p>
        </w:tc>
        <w:tc>
          <w:tcPr>
            <w:tcW w:w="1079" w:type="dxa"/>
            <w:noWrap/>
            <w:hideMark/>
          </w:tcPr>
          <w:p w14:paraId="0C779265"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0.14</w:t>
            </w:r>
          </w:p>
        </w:tc>
        <w:tc>
          <w:tcPr>
            <w:tcW w:w="1231" w:type="dxa"/>
            <w:noWrap/>
            <w:hideMark/>
          </w:tcPr>
          <w:p w14:paraId="6237E6AF"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0.17</w:t>
            </w:r>
          </w:p>
        </w:tc>
        <w:tc>
          <w:tcPr>
            <w:tcW w:w="823" w:type="dxa"/>
            <w:noWrap/>
            <w:hideMark/>
          </w:tcPr>
          <w:p w14:paraId="1599B80B"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0.56</w:t>
            </w:r>
          </w:p>
        </w:tc>
        <w:tc>
          <w:tcPr>
            <w:tcW w:w="1500" w:type="dxa"/>
            <w:noWrap/>
            <w:hideMark/>
          </w:tcPr>
          <w:p w14:paraId="45364A20"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0.46</w:t>
            </w:r>
          </w:p>
        </w:tc>
        <w:tc>
          <w:tcPr>
            <w:tcW w:w="1216" w:type="dxa"/>
            <w:noWrap/>
            <w:hideMark/>
          </w:tcPr>
          <w:p w14:paraId="4EC67615"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1.95</w:t>
            </w:r>
          </w:p>
        </w:tc>
        <w:tc>
          <w:tcPr>
            <w:tcW w:w="1052" w:type="dxa"/>
            <w:noWrap/>
            <w:hideMark/>
          </w:tcPr>
          <w:p w14:paraId="2EACCFE8"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0.62</w:t>
            </w:r>
          </w:p>
        </w:tc>
      </w:tr>
      <w:tr w:rsidR="00304AE7" w14:paraId="27B51B05" w14:textId="77777777" w:rsidTr="00CF1DF7">
        <w:trPr>
          <w:trHeight w:val="636"/>
        </w:trPr>
        <w:tc>
          <w:tcPr>
            <w:tcW w:w="2436" w:type="dxa"/>
            <w:noWrap/>
            <w:hideMark/>
          </w:tcPr>
          <w:p w14:paraId="37CF29E2" w14:textId="77777777" w:rsidR="00D40A89" w:rsidRPr="00D40A89" w:rsidRDefault="00313C6B" w:rsidP="00D40A89">
            <w:pPr>
              <w:jc w:val="left"/>
              <w:rPr>
                <w:rFonts w:eastAsia="Times New Roman" w:cs="Times New Roman"/>
                <w:color w:val="000000"/>
                <w:szCs w:val="24"/>
                <w:lang w:val="en-US"/>
              </w:rPr>
            </w:pPr>
            <w:r w:rsidRPr="00D40A89">
              <w:rPr>
                <w:rFonts w:eastAsia="Times New Roman" w:cs="Times New Roman"/>
                <w:color w:val="000000"/>
                <w:szCs w:val="24"/>
                <w:lang w:val="en-US"/>
              </w:rPr>
              <w:t>Debt-equity ratio</w:t>
            </w:r>
          </w:p>
        </w:tc>
        <w:tc>
          <w:tcPr>
            <w:tcW w:w="894" w:type="dxa"/>
            <w:noWrap/>
            <w:hideMark/>
          </w:tcPr>
          <w:p w14:paraId="21869A3F"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2.11</w:t>
            </w:r>
          </w:p>
        </w:tc>
        <w:tc>
          <w:tcPr>
            <w:tcW w:w="1079" w:type="dxa"/>
            <w:noWrap/>
            <w:hideMark/>
          </w:tcPr>
          <w:p w14:paraId="43D81FE1"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0.87</w:t>
            </w:r>
          </w:p>
        </w:tc>
        <w:tc>
          <w:tcPr>
            <w:tcW w:w="1231" w:type="dxa"/>
            <w:noWrap/>
            <w:hideMark/>
          </w:tcPr>
          <w:p w14:paraId="554BCF08"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0.35</w:t>
            </w:r>
          </w:p>
        </w:tc>
        <w:tc>
          <w:tcPr>
            <w:tcW w:w="823" w:type="dxa"/>
            <w:noWrap/>
            <w:hideMark/>
          </w:tcPr>
          <w:p w14:paraId="58524D02"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0.54</w:t>
            </w:r>
          </w:p>
        </w:tc>
        <w:tc>
          <w:tcPr>
            <w:tcW w:w="1500" w:type="dxa"/>
            <w:noWrap/>
            <w:hideMark/>
          </w:tcPr>
          <w:p w14:paraId="68611D2A"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0.81</w:t>
            </w:r>
          </w:p>
        </w:tc>
        <w:tc>
          <w:tcPr>
            <w:tcW w:w="1216" w:type="dxa"/>
            <w:noWrap/>
            <w:hideMark/>
          </w:tcPr>
          <w:p w14:paraId="70A8D37C"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0.41</w:t>
            </w:r>
          </w:p>
        </w:tc>
        <w:tc>
          <w:tcPr>
            <w:tcW w:w="1052" w:type="dxa"/>
            <w:noWrap/>
            <w:hideMark/>
          </w:tcPr>
          <w:p w14:paraId="17C62639"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0.85</w:t>
            </w:r>
          </w:p>
        </w:tc>
      </w:tr>
      <w:tr w:rsidR="00304AE7" w14:paraId="7DD2DB91" w14:textId="77777777" w:rsidTr="00CF1DF7">
        <w:trPr>
          <w:trHeight w:val="636"/>
        </w:trPr>
        <w:tc>
          <w:tcPr>
            <w:tcW w:w="2436" w:type="dxa"/>
            <w:noWrap/>
            <w:hideMark/>
          </w:tcPr>
          <w:p w14:paraId="69DA5F23" w14:textId="77777777" w:rsidR="00D40A89" w:rsidRPr="00D40A89" w:rsidRDefault="00313C6B" w:rsidP="00D40A89">
            <w:pPr>
              <w:jc w:val="left"/>
              <w:rPr>
                <w:rFonts w:eastAsia="Times New Roman" w:cs="Times New Roman"/>
                <w:color w:val="000000"/>
                <w:szCs w:val="24"/>
                <w:lang w:val="en-US"/>
              </w:rPr>
            </w:pPr>
            <w:r w:rsidRPr="00D40A89">
              <w:rPr>
                <w:rFonts w:eastAsia="Times New Roman" w:cs="Times New Roman"/>
                <w:color w:val="000000"/>
                <w:szCs w:val="24"/>
                <w:lang w:val="en-US"/>
              </w:rPr>
              <w:t>Equity ratio</w:t>
            </w:r>
          </w:p>
        </w:tc>
        <w:tc>
          <w:tcPr>
            <w:tcW w:w="894" w:type="dxa"/>
            <w:noWrap/>
            <w:hideMark/>
          </w:tcPr>
          <w:p w14:paraId="7980B720"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0.17</w:t>
            </w:r>
          </w:p>
        </w:tc>
        <w:tc>
          <w:tcPr>
            <w:tcW w:w="1079" w:type="dxa"/>
            <w:noWrap/>
            <w:hideMark/>
          </w:tcPr>
          <w:p w14:paraId="59FE38AA"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0.22</w:t>
            </w:r>
          </w:p>
        </w:tc>
        <w:tc>
          <w:tcPr>
            <w:tcW w:w="1231" w:type="dxa"/>
            <w:noWrap/>
            <w:hideMark/>
          </w:tcPr>
          <w:p w14:paraId="08D0BD49"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0.45</w:t>
            </w:r>
          </w:p>
        </w:tc>
        <w:tc>
          <w:tcPr>
            <w:tcW w:w="823" w:type="dxa"/>
            <w:noWrap/>
            <w:hideMark/>
          </w:tcPr>
          <w:p w14:paraId="4AFA3FBC"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0.38</w:t>
            </w:r>
          </w:p>
        </w:tc>
        <w:tc>
          <w:tcPr>
            <w:tcW w:w="1500" w:type="dxa"/>
            <w:noWrap/>
            <w:hideMark/>
          </w:tcPr>
          <w:p w14:paraId="7D6BDB32"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0.31</w:t>
            </w:r>
          </w:p>
        </w:tc>
        <w:tc>
          <w:tcPr>
            <w:tcW w:w="1216" w:type="dxa"/>
            <w:noWrap/>
            <w:hideMark/>
          </w:tcPr>
          <w:p w14:paraId="2DC50D71"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0.63</w:t>
            </w:r>
          </w:p>
        </w:tc>
        <w:tc>
          <w:tcPr>
            <w:tcW w:w="1052" w:type="dxa"/>
            <w:noWrap/>
            <w:hideMark/>
          </w:tcPr>
          <w:p w14:paraId="7BA180B0"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0.36</w:t>
            </w:r>
          </w:p>
        </w:tc>
      </w:tr>
      <w:tr w:rsidR="00304AE7" w14:paraId="185FE409" w14:textId="77777777" w:rsidTr="00CF1DF7">
        <w:trPr>
          <w:trHeight w:val="636"/>
        </w:trPr>
        <w:tc>
          <w:tcPr>
            <w:tcW w:w="2436" w:type="dxa"/>
            <w:noWrap/>
            <w:hideMark/>
          </w:tcPr>
          <w:p w14:paraId="1D3E3ECB" w14:textId="77777777" w:rsidR="00D40A89" w:rsidRPr="00D40A89" w:rsidRDefault="00313C6B" w:rsidP="00D40A89">
            <w:pPr>
              <w:jc w:val="left"/>
              <w:rPr>
                <w:rFonts w:eastAsia="Times New Roman" w:cs="Times New Roman"/>
                <w:color w:val="000000"/>
                <w:szCs w:val="24"/>
                <w:lang w:val="en-US"/>
              </w:rPr>
            </w:pPr>
            <w:r w:rsidRPr="00D40A89">
              <w:rPr>
                <w:rFonts w:eastAsia="Times New Roman" w:cs="Times New Roman"/>
                <w:color w:val="000000"/>
                <w:szCs w:val="24"/>
                <w:lang w:val="en-US"/>
              </w:rPr>
              <w:t>Debt ratio</w:t>
            </w:r>
          </w:p>
        </w:tc>
        <w:tc>
          <w:tcPr>
            <w:tcW w:w="894" w:type="dxa"/>
            <w:noWrap/>
            <w:hideMark/>
          </w:tcPr>
          <w:p w14:paraId="77FBA19F"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0.35</w:t>
            </w:r>
          </w:p>
        </w:tc>
        <w:tc>
          <w:tcPr>
            <w:tcW w:w="1079" w:type="dxa"/>
            <w:noWrap/>
            <w:hideMark/>
          </w:tcPr>
          <w:p w14:paraId="0B745397"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0.19</w:t>
            </w:r>
          </w:p>
        </w:tc>
        <w:tc>
          <w:tcPr>
            <w:tcW w:w="1231" w:type="dxa"/>
            <w:noWrap/>
            <w:hideMark/>
          </w:tcPr>
          <w:p w14:paraId="08B78108"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0.16</w:t>
            </w:r>
          </w:p>
        </w:tc>
        <w:tc>
          <w:tcPr>
            <w:tcW w:w="823" w:type="dxa"/>
            <w:noWrap/>
            <w:hideMark/>
          </w:tcPr>
          <w:p w14:paraId="02DDB3BA"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0.20</w:t>
            </w:r>
          </w:p>
        </w:tc>
        <w:tc>
          <w:tcPr>
            <w:tcW w:w="1500" w:type="dxa"/>
            <w:noWrap/>
            <w:hideMark/>
          </w:tcPr>
          <w:p w14:paraId="0E44934E"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0.25</w:t>
            </w:r>
          </w:p>
        </w:tc>
        <w:tc>
          <w:tcPr>
            <w:tcW w:w="1216" w:type="dxa"/>
            <w:noWrap/>
            <w:hideMark/>
          </w:tcPr>
          <w:p w14:paraId="77D3DBAB"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0.26</w:t>
            </w:r>
          </w:p>
        </w:tc>
        <w:tc>
          <w:tcPr>
            <w:tcW w:w="1052" w:type="dxa"/>
            <w:noWrap/>
            <w:hideMark/>
          </w:tcPr>
          <w:p w14:paraId="159F3924"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0.24</w:t>
            </w:r>
          </w:p>
        </w:tc>
      </w:tr>
      <w:tr w:rsidR="00304AE7" w14:paraId="1A1FA1A3" w14:textId="77777777" w:rsidTr="00CF1DF7">
        <w:trPr>
          <w:trHeight w:val="636"/>
        </w:trPr>
        <w:tc>
          <w:tcPr>
            <w:tcW w:w="2436" w:type="dxa"/>
            <w:noWrap/>
            <w:hideMark/>
          </w:tcPr>
          <w:p w14:paraId="31BBEB76" w14:textId="77777777" w:rsidR="00D40A89" w:rsidRPr="00D40A89" w:rsidRDefault="00313C6B" w:rsidP="00D40A89">
            <w:pPr>
              <w:jc w:val="left"/>
              <w:rPr>
                <w:rFonts w:eastAsia="Times New Roman" w:cs="Times New Roman"/>
                <w:color w:val="000000"/>
                <w:szCs w:val="24"/>
                <w:lang w:val="en-US"/>
              </w:rPr>
            </w:pPr>
            <w:r w:rsidRPr="00D40A89">
              <w:rPr>
                <w:rFonts w:eastAsia="Times New Roman" w:cs="Times New Roman"/>
                <w:color w:val="000000"/>
                <w:szCs w:val="24"/>
                <w:lang w:val="en-US"/>
              </w:rPr>
              <w:t>Inventory turnover ratio</w:t>
            </w:r>
          </w:p>
        </w:tc>
        <w:tc>
          <w:tcPr>
            <w:tcW w:w="894" w:type="dxa"/>
            <w:noWrap/>
            <w:hideMark/>
          </w:tcPr>
          <w:p w14:paraId="1144DE91"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1.88</w:t>
            </w:r>
          </w:p>
        </w:tc>
        <w:tc>
          <w:tcPr>
            <w:tcW w:w="1079" w:type="dxa"/>
            <w:noWrap/>
            <w:hideMark/>
          </w:tcPr>
          <w:p w14:paraId="1A1B2C35"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1.88</w:t>
            </w:r>
          </w:p>
        </w:tc>
        <w:tc>
          <w:tcPr>
            <w:tcW w:w="1231" w:type="dxa"/>
            <w:noWrap/>
            <w:hideMark/>
          </w:tcPr>
          <w:p w14:paraId="1F7BA454"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5.33</w:t>
            </w:r>
          </w:p>
        </w:tc>
        <w:tc>
          <w:tcPr>
            <w:tcW w:w="823" w:type="dxa"/>
            <w:noWrap/>
            <w:hideMark/>
          </w:tcPr>
          <w:p w14:paraId="655BF165"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14.93</w:t>
            </w:r>
          </w:p>
        </w:tc>
        <w:tc>
          <w:tcPr>
            <w:tcW w:w="1500" w:type="dxa"/>
            <w:noWrap/>
            <w:hideMark/>
          </w:tcPr>
          <w:p w14:paraId="1348A974"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2.74</w:t>
            </w:r>
          </w:p>
        </w:tc>
        <w:tc>
          <w:tcPr>
            <w:tcW w:w="1216" w:type="dxa"/>
            <w:noWrap/>
            <w:hideMark/>
          </w:tcPr>
          <w:p w14:paraId="659980FC"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1.21</w:t>
            </w:r>
          </w:p>
        </w:tc>
        <w:tc>
          <w:tcPr>
            <w:tcW w:w="1052" w:type="dxa"/>
            <w:noWrap/>
            <w:hideMark/>
          </w:tcPr>
          <w:p w14:paraId="4CF62614"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4.66</w:t>
            </w:r>
          </w:p>
        </w:tc>
      </w:tr>
      <w:tr w:rsidR="00304AE7" w14:paraId="4EECE90F" w14:textId="77777777" w:rsidTr="00CF1DF7">
        <w:trPr>
          <w:trHeight w:val="636"/>
        </w:trPr>
        <w:tc>
          <w:tcPr>
            <w:tcW w:w="2436" w:type="dxa"/>
            <w:noWrap/>
            <w:hideMark/>
          </w:tcPr>
          <w:p w14:paraId="4A88B1EC" w14:textId="77777777" w:rsidR="00D40A89" w:rsidRPr="00D40A89" w:rsidRDefault="00313C6B" w:rsidP="00D40A89">
            <w:pPr>
              <w:jc w:val="left"/>
              <w:rPr>
                <w:rFonts w:eastAsia="Times New Roman" w:cs="Times New Roman"/>
                <w:color w:val="000000"/>
                <w:szCs w:val="24"/>
                <w:lang w:val="en-US"/>
              </w:rPr>
            </w:pPr>
            <w:r w:rsidRPr="00D40A89">
              <w:rPr>
                <w:rFonts w:eastAsia="Times New Roman" w:cs="Times New Roman"/>
                <w:color w:val="000000"/>
                <w:szCs w:val="24"/>
                <w:lang w:val="en-US"/>
              </w:rPr>
              <w:t>Asset turnover ratio</w:t>
            </w:r>
          </w:p>
        </w:tc>
        <w:tc>
          <w:tcPr>
            <w:tcW w:w="894" w:type="dxa"/>
            <w:noWrap/>
            <w:hideMark/>
          </w:tcPr>
          <w:p w14:paraId="791E7E0D"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0.45</w:t>
            </w:r>
          </w:p>
        </w:tc>
        <w:tc>
          <w:tcPr>
            <w:tcW w:w="1079" w:type="dxa"/>
            <w:noWrap/>
            <w:hideMark/>
          </w:tcPr>
          <w:p w14:paraId="21D6B854"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0.45</w:t>
            </w:r>
          </w:p>
        </w:tc>
        <w:tc>
          <w:tcPr>
            <w:tcW w:w="1231" w:type="dxa"/>
            <w:noWrap/>
            <w:hideMark/>
          </w:tcPr>
          <w:p w14:paraId="456A2EE1"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0.58</w:t>
            </w:r>
          </w:p>
        </w:tc>
        <w:tc>
          <w:tcPr>
            <w:tcW w:w="823" w:type="dxa"/>
            <w:noWrap/>
            <w:hideMark/>
          </w:tcPr>
          <w:p w14:paraId="159548B4"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0.82</w:t>
            </w:r>
          </w:p>
        </w:tc>
        <w:tc>
          <w:tcPr>
            <w:tcW w:w="1500" w:type="dxa"/>
            <w:noWrap/>
            <w:hideMark/>
          </w:tcPr>
          <w:p w14:paraId="1B12E880"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0.40</w:t>
            </w:r>
          </w:p>
        </w:tc>
        <w:tc>
          <w:tcPr>
            <w:tcW w:w="1216" w:type="dxa"/>
            <w:noWrap/>
            <w:hideMark/>
          </w:tcPr>
          <w:p w14:paraId="3F6E3870"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0.19</w:t>
            </w:r>
          </w:p>
        </w:tc>
        <w:tc>
          <w:tcPr>
            <w:tcW w:w="1052" w:type="dxa"/>
            <w:noWrap/>
            <w:hideMark/>
          </w:tcPr>
          <w:p w14:paraId="0277F489" w14:textId="77777777" w:rsidR="00D40A89" w:rsidRPr="00D40A89" w:rsidRDefault="00313C6B" w:rsidP="00D40A89">
            <w:pPr>
              <w:jc w:val="right"/>
              <w:rPr>
                <w:rFonts w:eastAsia="Times New Roman" w:cs="Times New Roman"/>
                <w:color w:val="000000"/>
                <w:szCs w:val="24"/>
                <w:lang w:val="en-US"/>
              </w:rPr>
            </w:pPr>
            <w:r w:rsidRPr="00D40A89">
              <w:rPr>
                <w:rFonts w:eastAsia="Times New Roman" w:cs="Times New Roman"/>
                <w:color w:val="000000"/>
                <w:szCs w:val="24"/>
                <w:lang w:val="en-US"/>
              </w:rPr>
              <w:t>0.48</w:t>
            </w:r>
          </w:p>
        </w:tc>
      </w:tr>
    </w:tbl>
    <w:p w14:paraId="71B5D49E" w14:textId="77777777" w:rsidR="00D40A89" w:rsidRDefault="00D40A89" w:rsidP="00FB5261">
      <w:pPr>
        <w:spacing w:line="360" w:lineRule="auto"/>
        <w:rPr>
          <w:rFonts w:cs="Times New Roman"/>
          <w:szCs w:val="24"/>
        </w:rPr>
      </w:pPr>
    </w:p>
    <w:p w14:paraId="67AA9F04" w14:textId="77777777" w:rsidR="007F30A9" w:rsidRDefault="00313C6B" w:rsidP="00FB5261">
      <w:pPr>
        <w:spacing w:line="360" w:lineRule="auto"/>
        <w:rPr>
          <w:rFonts w:cs="Times New Roman"/>
          <w:szCs w:val="24"/>
        </w:rPr>
      </w:pPr>
      <w:r>
        <w:rPr>
          <w:rFonts w:cs="Times New Roman"/>
          <w:szCs w:val="24"/>
        </w:rPr>
        <w:t xml:space="preserve">In 2015, most of the competitors of </w:t>
      </w:r>
      <w:r w:rsidR="00D40A89">
        <w:rPr>
          <w:rFonts w:cs="Times New Roman"/>
          <w:szCs w:val="24"/>
        </w:rPr>
        <w:t xml:space="preserve">GSK generated </w:t>
      </w:r>
      <w:r w:rsidR="00A862ED">
        <w:rPr>
          <w:rFonts w:cs="Times New Roman"/>
          <w:szCs w:val="24"/>
        </w:rPr>
        <w:t xml:space="preserve">an </w:t>
      </w:r>
      <w:r w:rsidR="00D40A89">
        <w:rPr>
          <w:rFonts w:cs="Times New Roman"/>
          <w:szCs w:val="24"/>
        </w:rPr>
        <w:t xml:space="preserve">above-standard gross profit margin. But the gross profit margin of GSK is higher than those of the average of its competitors. </w:t>
      </w:r>
      <w:r w:rsidR="00E01D44">
        <w:rPr>
          <w:rFonts w:cs="Times New Roman"/>
          <w:szCs w:val="24"/>
        </w:rPr>
        <w:t>Again, the average net profit margin was 13%, but that of GSK was 35%. The average return on equity and return on assets w</w:t>
      </w:r>
      <w:r w:rsidR="00A862ED">
        <w:rPr>
          <w:rFonts w:cs="Times New Roman"/>
          <w:szCs w:val="24"/>
        </w:rPr>
        <w:t>as</w:t>
      </w:r>
      <w:r w:rsidR="00E01D44">
        <w:rPr>
          <w:rFonts w:cs="Times New Roman"/>
          <w:szCs w:val="24"/>
        </w:rPr>
        <w:t xml:space="preserve"> 27% and 6%. But it is seen that the margins of GSK </w:t>
      </w:r>
      <w:r w:rsidR="004548C1">
        <w:rPr>
          <w:rFonts w:cs="Times New Roman"/>
          <w:szCs w:val="24"/>
        </w:rPr>
        <w:t>were</w:t>
      </w:r>
      <w:r w:rsidR="00E01D44">
        <w:rPr>
          <w:rFonts w:cs="Times New Roman"/>
          <w:szCs w:val="24"/>
        </w:rPr>
        <w:t xml:space="preserve"> quite higher than the average. It implies that GSK has generated </w:t>
      </w:r>
      <w:r w:rsidR="00A862ED">
        <w:rPr>
          <w:rFonts w:cs="Times New Roman"/>
          <w:szCs w:val="24"/>
        </w:rPr>
        <w:t xml:space="preserve">a </w:t>
      </w:r>
      <w:r w:rsidR="00E01D44">
        <w:rPr>
          <w:rFonts w:cs="Times New Roman"/>
          <w:szCs w:val="24"/>
        </w:rPr>
        <w:t xml:space="preserve">higher profit margin compared to its competitors. </w:t>
      </w:r>
    </w:p>
    <w:p w14:paraId="17A352C5" w14:textId="77777777" w:rsidR="004548C1" w:rsidRDefault="00313C6B" w:rsidP="00FB5261">
      <w:pPr>
        <w:spacing w:line="360" w:lineRule="auto"/>
        <w:rPr>
          <w:rFonts w:cs="Times New Roman"/>
          <w:szCs w:val="24"/>
        </w:rPr>
      </w:pPr>
      <w:r>
        <w:rPr>
          <w:rFonts w:cs="Times New Roman"/>
          <w:szCs w:val="24"/>
        </w:rPr>
        <w:t xml:space="preserve">But the situation is quite the opposite in </w:t>
      </w:r>
      <w:r w:rsidR="00A862ED">
        <w:rPr>
          <w:rFonts w:cs="Times New Roman"/>
          <w:szCs w:val="24"/>
        </w:rPr>
        <w:t xml:space="preserve">the </w:t>
      </w:r>
      <w:r>
        <w:rPr>
          <w:rFonts w:cs="Times New Roman"/>
          <w:szCs w:val="24"/>
        </w:rPr>
        <w:t>case of liquidity ratios. The average c</w:t>
      </w:r>
      <w:r>
        <w:rPr>
          <w:rFonts w:cs="Times New Roman"/>
          <w:szCs w:val="24"/>
        </w:rPr>
        <w:t>urrent ratio, quick ratio, and cash ratio w</w:t>
      </w:r>
      <w:r w:rsidR="00A862ED">
        <w:rPr>
          <w:rFonts w:cs="Times New Roman"/>
          <w:szCs w:val="24"/>
        </w:rPr>
        <w:t>ere</w:t>
      </w:r>
      <w:r>
        <w:rPr>
          <w:rFonts w:cs="Times New Roman"/>
          <w:szCs w:val="24"/>
        </w:rPr>
        <w:t xml:space="preserve"> 1.37, 1.12</w:t>
      </w:r>
      <w:r w:rsidR="00A862ED">
        <w:rPr>
          <w:rFonts w:cs="Times New Roman"/>
          <w:szCs w:val="24"/>
        </w:rPr>
        <w:t>,</w:t>
      </w:r>
      <w:r>
        <w:rPr>
          <w:rFonts w:cs="Times New Roman"/>
          <w:szCs w:val="24"/>
        </w:rPr>
        <w:t xml:space="preserve"> and 0.62, respectively. But those of GSK w</w:t>
      </w:r>
      <w:r w:rsidR="00A862ED">
        <w:rPr>
          <w:rFonts w:cs="Times New Roman"/>
          <w:szCs w:val="24"/>
        </w:rPr>
        <w:t>as</w:t>
      </w:r>
      <w:r>
        <w:rPr>
          <w:rFonts w:cs="Times New Roman"/>
          <w:szCs w:val="24"/>
        </w:rPr>
        <w:t xml:space="preserve"> 1.24, 0.88</w:t>
      </w:r>
      <w:r w:rsidR="00A862ED">
        <w:rPr>
          <w:rFonts w:cs="Times New Roman"/>
          <w:szCs w:val="24"/>
        </w:rPr>
        <w:t>,</w:t>
      </w:r>
      <w:r>
        <w:rPr>
          <w:rFonts w:cs="Times New Roman"/>
          <w:szCs w:val="24"/>
        </w:rPr>
        <w:t xml:space="preserve"> and 0.43. It implies that GSK lags in </w:t>
      </w:r>
      <w:r w:rsidR="00A862ED">
        <w:rPr>
          <w:rFonts w:cs="Times New Roman"/>
          <w:szCs w:val="24"/>
        </w:rPr>
        <w:t xml:space="preserve">the </w:t>
      </w:r>
      <w:r>
        <w:rPr>
          <w:rFonts w:cs="Times New Roman"/>
          <w:szCs w:val="24"/>
        </w:rPr>
        <w:t>case of liquidity management.</w:t>
      </w:r>
    </w:p>
    <w:p w14:paraId="6FAAFBC6" w14:textId="77777777" w:rsidR="00C12DF4" w:rsidRDefault="00313C6B" w:rsidP="00FB5261">
      <w:pPr>
        <w:spacing w:line="360" w:lineRule="auto"/>
        <w:rPr>
          <w:rFonts w:cs="Times New Roman"/>
          <w:szCs w:val="24"/>
        </w:rPr>
      </w:pPr>
      <w:r>
        <w:rPr>
          <w:rFonts w:cs="Times New Roman"/>
          <w:szCs w:val="24"/>
        </w:rPr>
        <w:t>Again,</w:t>
      </w:r>
      <w:r w:rsidR="00915E37">
        <w:rPr>
          <w:rFonts w:cs="Times New Roman"/>
          <w:szCs w:val="24"/>
        </w:rPr>
        <w:t xml:space="preserve"> the average</w:t>
      </w:r>
      <w:r>
        <w:rPr>
          <w:rFonts w:cs="Times New Roman"/>
          <w:szCs w:val="24"/>
        </w:rPr>
        <w:t xml:space="preserve"> </w:t>
      </w:r>
      <w:r w:rsidR="00915E37">
        <w:rPr>
          <w:rFonts w:cs="Times New Roman"/>
          <w:szCs w:val="24"/>
        </w:rPr>
        <w:t>debt-equity ratio, equity ratio</w:t>
      </w:r>
      <w:r w:rsidR="00A862ED">
        <w:rPr>
          <w:rFonts w:cs="Times New Roman"/>
          <w:szCs w:val="24"/>
        </w:rPr>
        <w:t>,</w:t>
      </w:r>
      <w:r w:rsidR="00915E37">
        <w:rPr>
          <w:rFonts w:cs="Times New Roman"/>
          <w:szCs w:val="24"/>
        </w:rPr>
        <w:t xml:space="preserve"> and debt ratio are 0.85, 0.36</w:t>
      </w:r>
      <w:r w:rsidR="00A862ED">
        <w:rPr>
          <w:rFonts w:cs="Times New Roman"/>
          <w:szCs w:val="24"/>
        </w:rPr>
        <w:t>,</w:t>
      </w:r>
      <w:r w:rsidR="00915E37">
        <w:rPr>
          <w:rFonts w:cs="Times New Roman"/>
          <w:szCs w:val="24"/>
        </w:rPr>
        <w:t xml:space="preserve"> and 0.24, respectively. Though it could manage to surpass the average debt-equity ratio and debt ratio, it could</w:t>
      </w:r>
      <w:r w:rsidR="00DB6FEB">
        <w:rPr>
          <w:rFonts w:cs="Times New Roman"/>
          <w:szCs w:val="24"/>
        </w:rPr>
        <w:t xml:space="preserve"> not</w:t>
      </w:r>
      <w:r w:rsidR="00915E37">
        <w:rPr>
          <w:rFonts w:cs="Times New Roman"/>
          <w:szCs w:val="24"/>
        </w:rPr>
        <w:t xml:space="preserve"> manage to have </w:t>
      </w:r>
      <w:r w:rsidR="00A862ED">
        <w:rPr>
          <w:rFonts w:cs="Times New Roman"/>
          <w:szCs w:val="24"/>
        </w:rPr>
        <w:t xml:space="preserve">a </w:t>
      </w:r>
      <w:r w:rsidR="00915E37">
        <w:rPr>
          <w:rFonts w:cs="Times New Roman"/>
          <w:szCs w:val="24"/>
        </w:rPr>
        <w:t>competitive advantage in terms of equity ratio.</w:t>
      </w:r>
    </w:p>
    <w:p w14:paraId="0D89BB37" w14:textId="77777777" w:rsidR="0009504E" w:rsidRDefault="00313C6B" w:rsidP="00FB5261">
      <w:pPr>
        <w:spacing w:line="360" w:lineRule="auto"/>
        <w:rPr>
          <w:rFonts w:cs="Times New Roman"/>
          <w:szCs w:val="24"/>
        </w:rPr>
      </w:pPr>
      <w:r>
        <w:rPr>
          <w:rFonts w:cs="Times New Roman"/>
          <w:szCs w:val="24"/>
        </w:rPr>
        <w:t xml:space="preserve">In terms of inventory turnover ratio and asset turnover ratio, the company is seen to perform below average. The average inventory turnover ratio is 4.66, and the average asset turnover ratio is 0.45. Where the inventory turnover ratio is 1.88, and </w:t>
      </w:r>
      <w:r w:rsidR="00A862ED">
        <w:rPr>
          <w:rFonts w:cs="Times New Roman"/>
          <w:szCs w:val="24"/>
        </w:rPr>
        <w:t xml:space="preserve">the </w:t>
      </w:r>
      <w:r>
        <w:rPr>
          <w:rFonts w:cs="Times New Roman"/>
          <w:szCs w:val="24"/>
        </w:rPr>
        <w:t>ass</w:t>
      </w:r>
      <w:r>
        <w:rPr>
          <w:rFonts w:cs="Times New Roman"/>
          <w:szCs w:val="24"/>
        </w:rPr>
        <w:t>et turnover ratio is 0.45. It implies that the company is unable to increase its s</w:t>
      </w:r>
      <w:r w:rsidR="00A862ED">
        <w:rPr>
          <w:rFonts w:cs="Times New Roman"/>
          <w:szCs w:val="24"/>
        </w:rPr>
        <w:t>ale</w:t>
      </w:r>
      <w:r>
        <w:rPr>
          <w:rFonts w:cs="Times New Roman"/>
          <w:szCs w:val="24"/>
        </w:rPr>
        <w:t>s that much, and it cannot use its assets properly to generate more s</w:t>
      </w:r>
      <w:r w:rsidR="00A862ED">
        <w:rPr>
          <w:rFonts w:cs="Times New Roman"/>
          <w:szCs w:val="24"/>
        </w:rPr>
        <w:t>ale</w:t>
      </w:r>
      <w:r>
        <w:rPr>
          <w:rFonts w:cs="Times New Roman"/>
          <w:szCs w:val="24"/>
        </w:rPr>
        <w:t>s.</w:t>
      </w:r>
    </w:p>
    <w:p w14:paraId="77DFF030" w14:textId="77777777" w:rsidR="00F93B9D" w:rsidRPr="00246195" w:rsidRDefault="00313C6B" w:rsidP="00FB5261">
      <w:pPr>
        <w:spacing w:line="360" w:lineRule="auto"/>
        <w:rPr>
          <w:rFonts w:cs="Times New Roman"/>
          <w:b/>
          <w:bCs/>
          <w:szCs w:val="24"/>
        </w:rPr>
      </w:pPr>
      <w:r w:rsidRPr="00246195">
        <w:rPr>
          <w:rFonts w:cs="Times New Roman"/>
          <w:b/>
          <w:bCs/>
          <w:szCs w:val="24"/>
        </w:rPr>
        <w:lastRenderedPageBreak/>
        <w:t>2016</w:t>
      </w:r>
    </w:p>
    <w:tbl>
      <w:tblPr>
        <w:tblStyle w:val="TableGrid"/>
        <w:tblW w:w="9487" w:type="dxa"/>
        <w:tblLook w:val="04A0" w:firstRow="1" w:lastRow="0" w:firstColumn="1" w:lastColumn="0" w:noHBand="0" w:noVBand="1"/>
      </w:tblPr>
      <w:tblGrid>
        <w:gridCol w:w="2043"/>
        <w:gridCol w:w="956"/>
        <w:gridCol w:w="1096"/>
        <w:gridCol w:w="1408"/>
        <w:gridCol w:w="836"/>
        <w:gridCol w:w="1523"/>
        <w:gridCol w:w="1390"/>
        <w:gridCol w:w="1069"/>
      </w:tblGrid>
      <w:tr w:rsidR="00304AE7" w14:paraId="2895A775" w14:textId="77777777" w:rsidTr="00126944">
        <w:trPr>
          <w:trHeight w:val="528"/>
        </w:trPr>
        <w:tc>
          <w:tcPr>
            <w:tcW w:w="2043" w:type="dxa"/>
            <w:noWrap/>
            <w:hideMark/>
          </w:tcPr>
          <w:p w14:paraId="650E5F04" w14:textId="77777777" w:rsidR="00126944" w:rsidRPr="00246195" w:rsidRDefault="00126944" w:rsidP="00126944">
            <w:pPr>
              <w:jc w:val="left"/>
              <w:rPr>
                <w:rFonts w:eastAsia="Times New Roman" w:cs="Times New Roman"/>
                <w:b/>
                <w:bCs/>
                <w:szCs w:val="24"/>
                <w:lang w:val="en-US"/>
              </w:rPr>
            </w:pPr>
          </w:p>
        </w:tc>
        <w:tc>
          <w:tcPr>
            <w:tcW w:w="824" w:type="dxa"/>
            <w:noWrap/>
            <w:hideMark/>
          </w:tcPr>
          <w:p w14:paraId="736006C6" w14:textId="77777777" w:rsidR="00126944" w:rsidRPr="00246195" w:rsidRDefault="00313C6B" w:rsidP="00126944">
            <w:pPr>
              <w:jc w:val="left"/>
              <w:rPr>
                <w:rFonts w:eastAsia="Times New Roman" w:cs="Times New Roman"/>
                <w:b/>
                <w:bCs/>
                <w:color w:val="000000"/>
                <w:szCs w:val="24"/>
                <w:lang w:val="en-US"/>
              </w:rPr>
            </w:pPr>
            <w:r w:rsidRPr="00246195">
              <w:rPr>
                <w:rFonts w:eastAsia="Times New Roman" w:cs="Times New Roman"/>
                <w:b/>
                <w:bCs/>
                <w:color w:val="000000"/>
                <w:szCs w:val="24"/>
                <w:lang w:val="en-US"/>
              </w:rPr>
              <w:t>GSK</w:t>
            </w:r>
          </w:p>
        </w:tc>
        <w:tc>
          <w:tcPr>
            <w:tcW w:w="897" w:type="dxa"/>
            <w:noWrap/>
            <w:hideMark/>
          </w:tcPr>
          <w:p w14:paraId="45F0D077" w14:textId="77777777" w:rsidR="00126944" w:rsidRPr="00246195" w:rsidRDefault="00313C6B" w:rsidP="00126944">
            <w:pPr>
              <w:jc w:val="left"/>
              <w:rPr>
                <w:rFonts w:eastAsia="Times New Roman" w:cs="Times New Roman"/>
                <w:b/>
                <w:bCs/>
                <w:color w:val="000000"/>
                <w:szCs w:val="24"/>
                <w:lang w:val="en-US"/>
              </w:rPr>
            </w:pPr>
            <w:r w:rsidRPr="00246195">
              <w:rPr>
                <w:rFonts w:eastAsia="Times New Roman" w:cs="Times New Roman"/>
                <w:b/>
                <w:bCs/>
                <w:color w:val="000000"/>
                <w:szCs w:val="24"/>
                <w:lang w:val="en-US"/>
              </w:rPr>
              <w:t>Unilever</w:t>
            </w:r>
          </w:p>
        </w:tc>
        <w:tc>
          <w:tcPr>
            <w:tcW w:w="1408" w:type="dxa"/>
            <w:noWrap/>
            <w:hideMark/>
          </w:tcPr>
          <w:p w14:paraId="427A4CDB" w14:textId="77777777" w:rsidR="00126944" w:rsidRPr="00246195" w:rsidRDefault="00313C6B" w:rsidP="00126944">
            <w:pPr>
              <w:jc w:val="left"/>
              <w:rPr>
                <w:rFonts w:eastAsia="Times New Roman" w:cs="Times New Roman"/>
                <w:b/>
                <w:bCs/>
                <w:color w:val="000000"/>
                <w:szCs w:val="24"/>
                <w:lang w:val="en-US"/>
              </w:rPr>
            </w:pPr>
            <w:r w:rsidRPr="00246195">
              <w:rPr>
                <w:rFonts w:eastAsia="Times New Roman" w:cs="Times New Roman"/>
                <w:b/>
                <w:bCs/>
                <w:color w:val="000000"/>
                <w:szCs w:val="24"/>
                <w:lang w:val="en-US"/>
              </w:rPr>
              <w:t>Reckitt Benckiser</w:t>
            </w:r>
          </w:p>
        </w:tc>
        <w:tc>
          <w:tcPr>
            <w:tcW w:w="824" w:type="dxa"/>
            <w:noWrap/>
            <w:hideMark/>
          </w:tcPr>
          <w:p w14:paraId="68E34F6A" w14:textId="77777777" w:rsidR="00126944" w:rsidRPr="00246195" w:rsidRDefault="00313C6B" w:rsidP="00126944">
            <w:pPr>
              <w:jc w:val="left"/>
              <w:rPr>
                <w:rFonts w:eastAsia="Times New Roman" w:cs="Times New Roman"/>
                <w:b/>
                <w:bCs/>
                <w:color w:val="000000"/>
                <w:szCs w:val="24"/>
                <w:lang w:val="en-US"/>
              </w:rPr>
            </w:pPr>
            <w:r w:rsidRPr="00246195">
              <w:rPr>
                <w:rFonts w:eastAsia="Times New Roman" w:cs="Times New Roman"/>
                <w:b/>
                <w:bCs/>
                <w:color w:val="000000"/>
                <w:szCs w:val="24"/>
                <w:lang w:val="en-US"/>
              </w:rPr>
              <w:t>B.P.</w:t>
            </w:r>
          </w:p>
        </w:tc>
        <w:tc>
          <w:tcPr>
            <w:tcW w:w="1224" w:type="dxa"/>
            <w:noWrap/>
            <w:hideMark/>
          </w:tcPr>
          <w:p w14:paraId="736A77E3" w14:textId="77777777" w:rsidR="00126944" w:rsidRPr="00246195" w:rsidRDefault="00313C6B" w:rsidP="00126944">
            <w:pPr>
              <w:jc w:val="left"/>
              <w:rPr>
                <w:rFonts w:eastAsia="Times New Roman" w:cs="Times New Roman"/>
                <w:b/>
                <w:bCs/>
                <w:color w:val="000000"/>
                <w:szCs w:val="24"/>
                <w:lang w:val="en-US"/>
              </w:rPr>
            </w:pPr>
            <w:r w:rsidRPr="00246195">
              <w:rPr>
                <w:rFonts w:eastAsia="Times New Roman" w:cs="Times New Roman"/>
                <w:b/>
                <w:bCs/>
                <w:color w:val="000000"/>
                <w:szCs w:val="24"/>
                <w:lang w:val="en-US"/>
              </w:rPr>
              <w:t>AstraZeneca</w:t>
            </w:r>
          </w:p>
        </w:tc>
        <w:tc>
          <w:tcPr>
            <w:tcW w:w="1390" w:type="dxa"/>
            <w:noWrap/>
            <w:hideMark/>
          </w:tcPr>
          <w:p w14:paraId="56862C42" w14:textId="77777777" w:rsidR="00126944" w:rsidRPr="00246195" w:rsidRDefault="00313C6B" w:rsidP="00126944">
            <w:pPr>
              <w:jc w:val="left"/>
              <w:rPr>
                <w:rFonts w:eastAsia="Times New Roman" w:cs="Times New Roman"/>
                <w:b/>
                <w:bCs/>
                <w:color w:val="000000"/>
                <w:szCs w:val="24"/>
                <w:lang w:val="en-US"/>
              </w:rPr>
            </w:pPr>
            <w:r w:rsidRPr="00246195">
              <w:rPr>
                <w:rFonts w:eastAsia="Times New Roman" w:cs="Times New Roman"/>
                <w:b/>
                <w:bCs/>
                <w:color w:val="000000"/>
                <w:szCs w:val="24"/>
                <w:lang w:val="en-US"/>
              </w:rPr>
              <w:t>Alliance Pharma</w:t>
            </w:r>
          </w:p>
        </w:tc>
        <w:tc>
          <w:tcPr>
            <w:tcW w:w="877" w:type="dxa"/>
            <w:noWrap/>
            <w:hideMark/>
          </w:tcPr>
          <w:p w14:paraId="745CD649" w14:textId="77777777" w:rsidR="00126944" w:rsidRPr="00246195" w:rsidRDefault="00313C6B" w:rsidP="00126944">
            <w:pPr>
              <w:jc w:val="left"/>
              <w:rPr>
                <w:rFonts w:eastAsia="Times New Roman" w:cs="Times New Roman"/>
                <w:b/>
                <w:bCs/>
                <w:color w:val="000000"/>
                <w:szCs w:val="24"/>
                <w:lang w:val="en-US"/>
              </w:rPr>
            </w:pPr>
            <w:r w:rsidRPr="00246195">
              <w:rPr>
                <w:rFonts w:eastAsia="Times New Roman" w:cs="Times New Roman"/>
                <w:b/>
                <w:bCs/>
                <w:color w:val="000000"/>
                <w:szCs w:val="24"/>
                <w:lang w:val="en-US"/>
              </w:rPr>
              <w:t>Average</w:t>
            </w:r>
          </w:p>
        </w:tc>
      </w:tr>
      <w:tr w:rsidR="00304AE7" w14:paraId="3716CE7D" w14:textId="77777777" w:rsidTr="00126944">
        <w:trPr>
          <w:trHeight w:val="528"/>
        </w:trPr>
        <w:tc>
          <w:tcPr>
            <w:tcW w:w="2043" w:type="dxa"/>
            <w:noWrap/>
            <w:hideMark/>
          </w:tcPr>
          <w:p w14:paraId="1045ED94" w14:textId="77777777" w:rsidR="00126944" w:rsidRPr="00126944" w:rsidRDefault="00313C6B" w:rsidP="00126944">
            <w:pPr>
              <w:jc w:val="left"/>
              <w:rPr>
                <w:rFonts w:eastAsia="Times New Roman" w:cs="Times New Roman"/>
                <w:color w:val="000000"/>
                <w:szCs w:val="24"/>
                <w:lang w:val="en-US"/>
              </w:rPr>
            </w:pPr>
            <w:r w:rsidRPr="00126944">
              <w:rPr>
                <w:rFonts w:eastAsia="Times New Roman" w:cs="Times New Roman"/>
                <w:color w:val="000000"/>
                <w:szCs w:val="24"/>
                <w:lang w:val="en-US"/>
              </w:rPr>
              <w:t xml:space="preserve">Gross </w:t>
            </w:r>
            <w:r w:rsidRPr="00126944">
              <w:rPr>
                <w:rFonts w:eastAsia="Times New Roman" w:cs="Times New Roman"/>
                <w:color w:val="000000"/>
                <w:szCs w:val="24"/>
                <w:lang w:val="en-US"/>
              </w:rPr>
              <w:t>profit margin</w:t>
            </w:r>
          </w:p>
        </w:tc>
        <w:tc>
          <w:tcPr>
            <w:tcW w:w="824" w:type="dxa"/>
            <w:noWrap/>
            <w:hideMark/>
          </w:tcPr>
          <w:p w14:paraId="65B7F179"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67.00%</w:t>
            </w:r>
          </w:p>
        </w:tc>
        <w:tc>
          <w:tcPr>
            <w:tcW w:w="897" w:type="dxa"/>
            <w:noWrap/>
            <w:hideMark/>
          </w:tcPr>
          <w:p w14:paraId="5CB79D53"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43.00%</w:t>
            </w:r>
          </w:p>
        </w:tc>
        <w:tc>
          <w:tcPr>
            <w:tcW w:w="1408" w:type="dxa"/>
            <w:noWrap/>
            <w:hideMark/>
          </w:tcPr>
          <w:p w14:paraId="0B1B6859"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61.00%</w:t>
            </w:r>
          </w:p>
        </w:tc>
        <w:tc>
          <w:tcPr>
            <w:tcW w:w="824" w:type="dxa"/>
            <w:noWrap/>
            <w:hideMark/>
          </w:tcPr>
          <w:p w14:paraId="357EE717"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6.80%</w:t>
            </w:r>
          </w:p>
        </w:tc>
        <w:tc>
          <w:tcPr>
            <w:tcW w:w="1224" w:type="dxa"/>
            <w:noWrap/>
            <w:hideMark/>
          </w:tcPr>
          <w:p w14:paraId="60741F24"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75.78%</w:t>
            </w:r>
          </w:p>
        </w:tc>
        <w:tc>
          <w:tcPr>
            <w:tcW w:w="1390" w:type="dxa"/>
            <w:noWrap/>
            <w:hideMark/>
          </w:tcPr>
          <w:p w14:paraId="61DB9459"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80.74%</w:t>
            </w:r>
          </w:p>
        </w:tc>
        <w:tc>
          <w:tcPr>
            <w:tcW w:w="877" w:type="dxa"/>
            <w:noWrap/>
            <w:hideMark/>
          </w:tcPr>
          <w:p w14:paraId="3FD7063B"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55.72%</w:t>
            </w:r>
          </w:p>
        </w:tc>
      </w:tr>
      <w:tr w:rsidR="00304AE7" w14:paraId="788E3EF4" w14:textId="77777777" w:rsidTr="00126944">
        <w:trPr>
          <w:trHeight w:val="528"/>
        </w:trPr>
        <w:tc>
          <w:tcPr>
            <w:tcW w:w="2043" w:type="dxa"/>
            <w:noWrap/>
            <w:hideMark/>
          </w:tcPr>
          <w:p w14:paraId="00FC6F13" w14:textId="77777777" w:rsidR="00126944" w:rsidRPr="00126944" w:rsidRDefault="00313C6B" w:rsidP="00126944">
            <w:pPr>
              <w:jc w:val="left"/>
              <w:rPr>
                <w:rFonts w:eastAsia="Times New Roman" w:cs="Times New Roman"/>
                <w:color w:val="000000"/>
                <w:szCs w:val="24"/>
                <w:lang w:val="en-US"/>
              </w:rPr>
            </w:pPr>
            <w:r w:rsidRPr="00126944">
              <w:rPr>
                <w:rFonts w:eastAsia="Times New Roman" w:cs="Times New Roman"/>
                <w:color w:val="000000"/>
                <w:szCs w:val="24"/>
                <w:lang w:val="en-US"/>
              </w:rPr>
              <w:t>Net profit margin</w:t>
            </w:r>
          </w:p>
        </w:tc>
        <w:tc>
          <w:tcPr>
            <w:tcW w:w="824" w:type="dxa"/>
            <w:noWrap/>
            <w:hideMark/>
          </w:tcPr>
          <w:p w14:paraId="6F3DE153"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4.00%</w:t>
            </w:r>
          </w:p>
        </w:tc>
        <w:tc>
          <w:tcPr>
            <w:tcW w:w="897" w:type="dxa"/>
            <w:noWrap/>
            <w:hideMark/>
          </w:tcPr>
          <w:p w14:paraId="33FA1A8D"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10.00%</w:t>
            </w:r>
          </w:p>
        </w:tc>
        <w:tc>
          <w:tcPr>
            <w:tcW w:w="1408" w:type="dxa"/>
            <w:noWrap/>
            <w:hideMark/>
          </w:tcPr>
          <w:p w14:paraId="1CD959BC"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18.00%</w:t>
            </w:r>
          </w:p>
        </w:tc>
        <w:tc>
          <w:tcPr>
            <w:tcW w:w="824" w:type="dxa"/>
            <w:noWrap/>
            <w:hideMark/>
          </w:tcPr>
          <w:p w14:paraId="595431D9"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0.06%</w:t>
            </w:r>
          </w:p>
        </w:tc>
        <w:tc>
          <w:tcPr>
            <w:tcW w:w="1224" w:type="dxa"/>
            <w:noWrap/>
            <w:hideMark/>
          </w:tcPr>
          <w:p w14:paraId="0E0946A6"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15.21%</w:t>
            </w:r>
          </w:p>
        </w:tc>
        <w:tc>
          <w:tcPr>
            <w:tcW w:w="1390" w:type="dxa"/>
            <w:noWrap/>
            <w:hideMark/>
          </w:tcPr>
          <w:p w14:paraId="14E8089A"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13.25%</w:t>
            </w:r>
          </w:p>
        </w:tc>
        <w:tc>
          <w:tcPr>
            <w:tcW w:w="877" w:type="dxa"/>
            <w:noWrap/>
            <w:hideMark/>
          </w:tcPr>
          <w:p w14:paraId="249EBB90"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10.09%</w:t>
            </w:r>
          </w:p>
        </w:tc>
      </w:tr>
      <w:tr w:rsidR="00304AE7" w14:paraId="77EAC20C" w14:textId="77777777" w:rsidTr="00126944">
        <w:trPr>
          <w:trHeight w:val="528"/>
        </w:trPr>
        <w:tc>
          <w:tcPr>
            <w:tcW w:w="2043" w:type="dxa"/>
            <w:noWrap/>
            <w:hideMark/>
          </w:tcPr>
          <w:p w14:paraId="041206F6" w14:textId="77777777" w:rsidR="00126944" w:rsidRPr="00126944" w:rsidRDefault="00313C6B" w:rsidP="00126944">
            <w:pPr>
              <w:jc w:val="left"/>
              <w:rPr>
                <w:rFonts w:eastAsia="Times New Roman" w:cs="Times New Roman"/>
                <w:color w:val="000000"/>
                <w:szCs w:val="24"/>
                <w:lang w:val="en-US"/>
              </w:rPr>
            </w:pPr>
            <w:r w:rsidRPr="00126944">
              <w:rPr>
                <w:rFonts w:eastAsia="Times New Roman" w:cs="Times New Roman"/>
                <w:color w:val="000000"/>
                <w:szCs w:val="24"/>
                <w:lang w:val="en-US"/>
              </w:rPr>
              <w:t>ROE</w:t>
            </w:r>
          </w:p>
        </w:tc>
        <w:tc>
          <w:tcPr>
            <w:tcW w:w="824" w:type="dxa"/>
            <w:noWrap/>
            <w:hideMark/>
          </w:tcPr>
          <w:p w14:paraId="42A1C9A2"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21.00%</w:t>
            </w:r>
          </w:p>
        </w:tc>
        <w:tc>
          <w:tcPr>
            <w:tcW w:w="897" w:type="dxa"/>
            <w:noWrap/>
            <w:hideMark/>
          </w:tcPr>
          <w:p w14:paraId="53C12384"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29.00%</w:t>
            </w:r>
          </w:p>
        </w:tc>
        <w:tc>
          <w:tcPr>
            <w:tcW w:w="1408" w:type="dxa"/>
            <w:noWrap/>
            <w:hideMark/>
          </w:tcPr>
          <w:p w14:paraId="337C6CB9"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21.00%</w:t>
            </w:r>
          </w:p>
        </w:tc>
        <w:tc>
          <w:tcPr>
            <w:tcW w:w="824" w:type="dxa"/>
            <w:noWrap/>
            <w:hideMark/>
          </w:tcPr>
          <w:p w14:paraId="4763D304"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0.11%</w:t>
            </w:r>
          </w:p>
        </w:tc>
        <w:tc>
          <w:tcPr>
            <w:tcW w:w="1224" w:type="dxa"/>
            <w:noWrap/>
            <w:hideMark/>
          </w:tcPr>
          <w:p w14:paraId="5BA32A2D"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19.22%</w:t>
            </w:r>
          </w:p>
        </w:tc>
        <w:tc>
          <w:tcPr>
            <w:tcW w:w="1390" w:type="dxa"/>
            <w:noWrap/>
            <w:hideMark/>
          </w:tcPr>
          <w:p w14:paraId="1D95E581"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4.59%</w:t>
            </w:r>
          </w:p>
        </w:tc>
        <w:tc>
          <w:tcPr>
            <w:tcW w:w="877" w:type="dxa"/>
            <w:noWrap/>
            <w:hideMark/>
          </w:tcPr>
          <w:p w14:paraId="1A924195"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15.82%</w:t>
            </w:r>
          </w:p>
        </w:tc>
      </w:tr>
      <w:tr w:rsidR="00304AE7" w14:paraId="78BF77B0" w14:textId="77777777" w:rsidTr="00126944">
        <w:trPr>
          <w:trHeight w:val="528"/>
        </w:trPr>
        <w:tc>
          <w:tcPr>
            <w:tcW w:w="2043" w:type="dxa"/>
            <w:noWrap/>
            <w:hideMark/>
          </w:tcPr>
          <w:p w14:paraId="04234D29" w14:textId="77777777" w:rsidR="00126944" w:rsidRPr="00126944" w:rsidRDefault="00313C6B" w:rsidP="00126944">
            <w:pPr>
              <w:jc w:val="left"/>
              <w:rPr>
                <w:rFonts w:eastAsia="Times New Roman" w:cs="Times New Roman"/>
                <w:color w:val="000000"/>
                <w:szCs w:val="24"/>
                <w:lang w:val="en-US"/>
              </w:rPr>
            </w:pPr>
            <w:r w:rsidRPr="00126944">
              <w:rPr>
                <w:rFonts w:eastAsia="Times New Roman" w:cs="Times New Roman"/>
                <w:color w:val="000000"/>
                <w:szCs w:val="24"/>
                <w:lang w:val="en-US"/>
              </w:rPr>
              <w:t>ROA</w:t>
            </w:r>
          </w:p>
        </w:tc>
        <w:tc>
          <w:tcPr>
            <w:tcW w:w="824" w:type="dxa"/>
            <w:noWrap/>
            <w:hideMark/>
          </w:tcPr>
          <w:p w14:paraId="5953C8AD"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2.00%</w:t>
            </w:r>
          </w:p>
        </w:tc>
        <w:tc>
          <w:tcPr>
            <w:tcW w:w="897" w:type="dxa"/>
            <w:noWrap/>
            <w:hideMark/>
          </w:tcPr>
          <w:p w14:paraId="7E468A2F"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8.00%</w:t>
            </w:r>
          </w:p>
        </w:tc>
        <w:tc>
          <w:tcPr>
            <w:tcW w:w="1408" w:type="dxa"/>
            <w:noWrap/>
            <w:hideMark/>
          </w:tcPr>
          <w:p w14:paraId="73301825"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10.00%</w:t>
            </w:r>
          </w:p>
        </w:tc>
        <w:tc>
          <w:tcPr>
            <w:tcW w:w="824" w:type="dxa"/>
            <w:noWrap/>
            <w:hideMark/>
          </w:tcPr>
          <w:p w14:paraId="171B3303"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0.04%</w:t>
            </w:r>
          </w:p>
        </w:tc>
        <w:tc>
          <w:tcPr>
            <w:tcW w:w="1224" w:type="dxa"/>
            <w:noWrap/>
            <w:hideMark/>
          </w:tcPr>
          <w:p w14:paraId="0980BF67"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5.12%</w:t>
            </w:r>
          </w:p>
        </w:tc>
        <w:tc>
          <w:tcPr>
            <w:tcW w:w="1390" w:type="dxa"/>
            <w:noWrap/>
            <w:hideMark/>
          </w:tcPr>
          <w:p w14:paraId="2B3B8692"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3.01%</w:t>
            </w:r>
          </w:p>
        </w:tc>
        <w:tc>
          <w:tcPr>
            <w:tcW w:w="877" w:type="dxa"/>
            <w:noWrap/>
            <w:hideMark/>
          </w:tcPr>
          <w:p w14:paraId="25A652B4"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4.70%</w:t>
            </w:r>
          </w:p>
        </w:tc>
      </w:tr>
      <w:tr w:rsidR="00304AE7" w14:paraId="57BAB0B1" w14:textId="77777777" w:rsidTr="00126944">
        <w:trPr>
          <w:trHeight w:val="528"/>
        </w:trPr>
        <w:tc>
          <w:tcPr>
            <w:tcW w:w="2043" w:type="dxa"/>
            <w:noWrap/>
            <w:hideMark/>
          </w:tcPr>
          <w:p w14:paraId="645F92E5" w14:textId="77777777" w:rsidR="00126944" w:rsidRPr="00126944" w:rsidRDefault="00313C6B" w:rsidP="00126944">
            <w:pPr>
              <w:jc w:val="left"/>
              <w:rPr>
                <w:rFonts w:eastAsia="Times New Roman" w:cs="Times New Roman"/>
                <w:color w:val="000000"/>
                <w:szCs w:val="24"/>
                <w:lang w:val="en-US"/>
              </w:rPr>
            </w:pPr>
            <w:r w:rsidRPr="00126944">
              <w:rPr>
                <w:rFonts w:eastAsia="Times New Roman" w:cs="Times New Roman"/>
                <w:color w:val="000000"/>
                <w:szCs w:val="24"/>
                <w:lang w:val="en-US"/>
              </w:rPr>
              <w:t>Current ratio</w:t>
            </w:r>
          </w:p>
        </w:tc>
        <w:tc>
          <w:tcPr>
            <w:tcW w:w="824" w:type="dxa"/>
            <w:noWrap/>
            <w:hideMark/>
          </w:tcPr>
          <w:p w14:paraId="4193540D"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1.24</w:t>
            </w:r>
          </w:p>
        </w:tc>
        <w:tc>
          <w:tcPr>
            <w:tcW w:w="897" w:type="dxa"/>
            <w:noWrap/>
            <w:hideMark/>
          </w:tcPr>
          <w:p w14:paraId="4C0C5009"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0.68</w:t>
            </w:r>
          </w:p>
        </w:tc>
        <w:tc>
          <w:tcPr>
            <w:tcW w:w="1408" w:type="dxa"/>
            <w:noWrap/>
            <w:hideMark/>
          </w:tcPr>
          <w:p w14:paraId="0F6756E5"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0.64</w:t>
            </w:r>
          </w:p>
        </w:tc>
        <w:tc>
          <w:tcPr>
            <w:tcW w:w="824" w:type="dxa"/>
            <w:noWrap/>
            <w:hideMark/>
          </w:tcPr>
          <w:p w14:paraId="0A7D38B5"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1.16</w:t>
            </w:r>
          </w:p>
        </w:tc>
        <w:tc>
          <w:tcPr>
            <w:tcW w:w="1224" w:type="dxa"/>
            <w:noWrap/>
            <w:hideMark/>
          </w:tcPr>
          <w:p w14:paraId="00F51CFF"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0.85</w:t>
            </w:r>
          </w:p>
        </w:tc>
        <w:tc>
          <w:tcPr>
            <w:tcW w:w="1390" w:type="dxa"/>
            <w:noWrap/>
            <w:hideMark/>
          </w:tcPr>
          <w:p w14:paraId="566620AD"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3.13</w:t>
            </w:r>
          </w:p>
        </w:tc>
        <w:tc>
          <w:tcPr>
            <w:tcW w:w="877" w:type="dxa"/>
            <w:noWrap/>
            <w:hideMark/>
          </w:tcPr>
          <w:p w14:paraId="270075FA"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1.28</w:t>
            </w:r>
          </w:p>
        </w:tc>
      </w:tr>
      <w:tr w:rsidR="00304AE7" w14:paraId="310E9B04" w14:textId="77777777" w:rsidTr="00126944">
        <w:trPr>
          <w:trHeight w:val="528"/>
        </w:trPr>
        <w:tc>
          <w:tcPr>
            <w:tcW w:w="2043" w:type="dxa"/>
            <w:noWrap/>
            <w:hideMark/>
          </w:tcPr>
          <w:p w14:paraId="30194AF9" w14:textId="77777777" w:rsidR="00126944" w:rsidRPr="00126944" w:rsidRDefault="00313C6B" w:rsidP="00126944">
            <w:pPr>
              <w:jc w:val="left"/>
              <w:rPr>
                <w:rFonts w:eastAsia="Times New Roman" w:cs="Times New Roman"/>
                <w:color w:val="000000"/>
                <w:szCs w:val="24"/>
                <w:lang w:val="en-US"/>
              </w:rPr>
            </w:pPr>
            <w:r w:rsidRPr="00126944">
              <w:rPr>
                <w:rFonts w:eastAsia="Times New Roman" w:cs="Times New Roman"/>
                <w:color w:val="000000"/>
                <w:szCs w:val="24"/>
                <w:lang w:val="en-US"/>
              </w:rPr>
              <w:t>Quick ratio</w:t>
            </w:r>
          </w:p>
        </w:tc>
        <w:tc>
          <w:tcPr>
            <w:tcW w:w="824" w:type="dxa"/>
            <w:noWrap/>
            <w:hideMark/>
          </w:tcPr>
          <w:p w14:paraId="555DEFAC"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0.88</w:t>
            </w:r>
          </w:p>
        </w:tc>
        <w:tc>
          <w:tcPr>
            <w:tcW w:w="897" w:type="dxa"/>
            <w:noWrap/>
            <w:hideMark/>
          </w:tcPr>
          <w:p w14:paraId="0FC082B0"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0.47</w:t>
            </w:r>
          </w:p>
        </w:tc>
        <w:tc>
          <w:tcPr>
            <w:tcW w:w="1408" w:type="dxa"/>
            <w:noWrap/>
            <w:hideMark/>
          </w:tcPr>
          <w:p w14:paraId="67624E4F"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0.50</w:t>
            </w:r>
          </w:p>
        </w:tc>
        <w:tc>
          <w:tcPr>
            <w:tcW w:w="824" w:type="dxa"/>
            <w:noWrap/>
            <w:hideMark/>
          </w:tcPr>
          <w:p w14:paraId="41632BA1"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0.86</w:t>
            </w:r>
          </w:p>
        </w:tc>
        <w:tc>
          <w:tcPr>
            <w:tcW w:w="1224" w:type="dxa"/>
            <w:noWrap/>
            <w:hideMark/>
          </w:tcPr>
          <w:p w14:paraId="148D8DCB"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0.70</w:t>
            </w:r>
          </w:p>
        </w:tc>
        <w:tc>
          <w:tcPr>
            <w:tcW w:w="1390" w:type="dxa"/>
            <w:noWrap/>
            <w:hideMark/>
          </w:tcPr>
          <w:p w14:paraId="1585511B"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2.68</w:t>
            </w:r>
          </w:p>
        </w:tc>
        <w:tc>
          <w:tcPr>
            <w:tcW w:w="877" w:type="dxa"/>
            <w:noWrap/>
            <w:hideMark/>
          </w:tcPr>
          <w:p w14:paraId="368540AA"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1.02</w:t>
            </w:r>
          </w:p>
        </w:tc>
      </w:tr>
      <w:tr w:rsidR="00304AE7" w14:paraId="43326874" w14:textId="77777777" w:rsidTr="00126944">
        <w:trPr>
          <w:trHeight w:val="528"/>
        </w:trPr>
        <w:tc>
          <w:tcPr>
            <w:tcW w:w="2043" w:type="dxa"/>
            <w:noWrap/>
            <w:hideMark/>
          </w:tcPr>
          <w:p w14:paraId="185DB974" w14:textId="77777777" w:rsidR="00126944" w:rsidRPr="00126944" w:rsidRDefault="00313C6B" w:rsidP="00126944">
            <w:pPr>
              <w:jc w:val="left"/>
              <w:rPr>
                <w:rFonts w:eastAsia="Times New Roman" w:cs="Times New Roman"/>
                <w:color w:val="000000"/>
                <w:szCs w:val="24"/>
                <w:lang w:val="en-US"/>
              </w:rPr>
            </w:pPr>
            <w:r w:rsidRPr="00126944">
              <w:rPr>
                <w:rFonts w:eastAsia="Times New Roman" w:cs="Times New Roman"/>
                <w:color w:val="000000"/>
                <w:szCs w:val="24"/>
                <w:lang w:val="en-US"/>
              </w:rPr>
              <w:t>Cash ratio</w:t>
            </w:r>
          </w:p>
        </w:tc>
        <w:tc>
          <w:tcPr>
            <w:tcW w:w="824" w:type="dxa"/>
            <w:noWrap/>
            <w:hideMark/>
          </w:tcPr>
          <w:p w14:paraId="5EA0582D"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0.43</w:t>
            </w:r>
          </w:p>
        </w:tc>
        <w:tc>
          <w:tcPr>
            <w:tcW w:w="897" w:type="dxa"/>
            <w:noWrap/>
            <w:hideMark/>
          </w:tcPr>
          <w:p w14:paraId="4863A9A9"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0.18</w:t>
            </w:r>
          </w:p>
        </w:tc>
        <w:tc>
          <w:tcPr>
            <w:tcW w:w="1408" w:type="dxa"/>
            <w:noWrap/>
            <w:hideMark/>
          </w:tcPr>
          <w:p w14:paraId="3270A724"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0.19</w:t>
            </w:r>
          </w:p>
        </w:tc>
        <w:tc>
          <w:tcPr>
            <w:tcW w:w="824" w:type="dxa"/>
            <w:noWrap/>
            <w:hideMark/>
          </w:tcPr>
          <w:p w14:paraId="26C8D563"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0.45</w:t>
            </w:r>
          </w:p>
        </w:tc>
        <w:tc>
          <w:tcPr>
            <w:tcW w:w="1224" w:type="dxa"/>
            <w:noWrap/>
            <w:hideMark/>
          </w:tcPr>
          <w:p w14:paraId="01AF117B"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0.39</w:t>
            </w:r>
          </w:p>
        </w:tc>
        <w:tc>
          <w:tcPr>
            <w:tcW w:w="1390" w:type="dxa"/>
            <w:noWrap/>
            <w:hideMark/>
          </w:tcPr>
          <w:p w14:paraId="343E5F58"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1.57</w:t>
            </w:r>
          </w:p>
        </w:tc>
        <w:tc>
          <w:tcPr>
            <w:tcW w:w="877" w:type="dxa"/>
            <w:noWrap/>
            <w:hideMark/>
          </w:tcPr>
          <w:p w14:paraId="57DC8DA2"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0.54</w:t>
            </w:r>
          </w:p>
        </w:tc>
      </w:tr>
      <w:tr w:rsidR="00304AE7" w14:paraId="765769ED" w14:textId="77777777" w:rsidTr="00126944">
        <w:trPr>
          <w:trHeight w:val="528"/>
        </w:trPr>
        <w:tc>
          <w:tcPr>
            <w:tcW w:w="2043" w:type="dxa"/>
            <w:noWrap/>
            <w:hideMark/>
          </w:tcPr>
          <w:p w14:paraId="7FDDF37E" w14:textId="77777777" w:rsidR="00126944" w:rsidRPr="00126944" w:rsidRDefault="00313C6B" w:rsidP="00126944">
            <w:pPr>
              <w:jc w:val="left"/>
              <w:rPr>
                <w:rFonts w:eastAsia="Times New Roman" w:cs="Times New Roman"/>
                <w:color w:val="000000"/>
                <w:szCs w:val="24"/>
                <w:lang w:val="en-US"/>
              </w:rPr>
            </w:pPr>
            <w:r w:rsidRPr="00126944">
              <w:rPr>
                <w:rFonts w:eastAsia="Times New Roman" w:cs="Times New Roman"/>
                <w:color w:val="000000"/>
                <w:szCs w:val="24"/>
                <w:lang w:val="en-US"/>
              </w:rPr>
              <w:t>Debt-equity ratio</w:t>
            </w:r>
          </w:p>
        </w:tc>
        <w:tc>
          <w:tcPr>
            <w:tcW w:w="824" w:type="dxa"/>
            <w:noWrap/>
            <w:hideMark/>
          </w:tcPr>
          <w:p w14:paraId="00D32250"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2.11</w:t>
            </w:r>
          </w:p>
        </w:tc>
        <w:tc>
          <w:tcPr>
            <w:tcW w:w="897" w:type="dxa"/>
            <w:noWrap/>
            <w:hideMark/>
          </w:tcPr>
          <w:p w14:paraId="3ED7FC27"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0.97</w:t>
            </w:r>
          </w:p>
        </w:tc>
        <w:tc>
          <w:tcPr>
            <w:tcW w:w="1408" w:type="dxa"/>
            <w:noWrap/>
            <w:hideMark/>
          </w:tcPr>
          <w:p w14:paraId="7EF13AA2"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0.28</w:t>
            </w:r>
          </w:p>
        </w:tc>
        <w:tc>
          <w:tcPr>
            <w:tcW w:w="824" w:type="dxa"/>
            <w:noWrap/>
            <w:hideMark/>
          </w:tcPr>
          <w:p w14:paraId="076355B0"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0.60</w:t>
            </w:r>
          </w:p>
        </w:tc>
        <w:tc>
          <w:tcPr>
            <w:tcW w:w="1224" w:type="dxa"/>
            <w:noWrap/>
            <w:hideMark/>
          </w:tcPr>
          <w:p w14:paraId="08DAE5BB"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1.01</w:t>
            </w:r>
          </w:p>
        </w:tc>
        <w:tc>
          <w:tcPr>
            <w:tcW w:w="1390" w:type="dxa"/>
            <w:noWrap/>
            <w:hideMark/>
          </w:tcPr>
          <w:p w14:paraId="50ABF187"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0.35</w:t>
            </w:r>
          </w:p>
        </w:tc>
        <w:tc>
          <w:tcPr>
            <w:tcW w:w="877" w:type="dxa"/>
            <w:noWrap/>
            <w:hideMark/>
          </w:tcPr>
          <w:p w14:paraId="6F5DA387"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0.89</w:t>
            </w:r>
          </w:p>
        </w:tc>
      </w:tr>
      <w:tr w:rsidR="00304AE7" w14:paraId="512A0F67" w14:textId="77777777" w:rsidTr="00126944">
        <w:trPr>
          <w:trHeight w:val="528"/>
        </w:trPr>
        <w:tc>
          <w:tcPr>
            <w:tcW w:w="2043" w:type="dxa"/>
            <w:noWrap/>
            <w:hideMark/>
          </w:tcPr>
          <w:p w14:paraId="12879AEB" w14:textId="77777777" w:rsidR="00126944" w:rsidRPr="00126944" w:rsidRDefault="00313C6B" w:rsidP="00126944">
            <w:pPr>
              <w:jc w:val="left"/>
              <w:rPr>
                <w:rFonts w:eastAsia="Times New Roman" w:cs="Times New Roman"/>
                <w:color w:val="000000"/>
                <w:szCs w:val="24"/>
                <w:lang w:val="en-US"/>
              </w:rPr>
            </w:pPr>
            <w:r w:rsidRPr="00126944">
              <w:rPr>
                <w:rFonts w:eastAsia="Times New Roman" w:cs="Times New Roman"/>
                <w:color w:val="000000"/>
                <w:szCs w:val="24"/>
                <w:lang w:val="en-US"/>
              </w:rPr>
              <w:t>Equity ratio</w:t>
            </w:r>
          </w:p>
        </w:tc>
        <w:tc>
          <w:tcPr>
            <w:tcW w:w="824" w:type="dxa"/>
            <w:noWrap/>
            <w:hideMark/>
          </w:tcPr>
          <w:p w14:paraId="774ED98C"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0.17</w:t>
            </w:r>
          </w:p>
        </w:tc>
        <w:tc>
          <w:tcPr>
            <w:tcW w:w="897" w:type="dxa"/>
            <w:noWrap/>
            <w:hideMark/>
          </w:tcPr>
          <w:p w14:paraId="26FCC832"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0.26</w:t>
            </w:r>
          </w:p>
        </w:tc>
        <w:tc>
          <w:tcPr>
            <w:tcW w:w="1408" w:type="dxa"/>
            <w:noWrap/>
            <w:hideMark/>
          </w:tcPr>
          <w:p w14:paraId="4A98F537"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0.47</w:t>
            </w:r>
          </w:p>
        </w:tc>
        <w:tc>
          <w:tcPr>
            <w:tcW w:w="824" w:type="dxa"/>
            <w:noWrap/>
            <w:hideMark/>
          </w:tcPr>
          <w:p w14:paraId="69040AA8"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0.37</w:t>
            </w:r>
          </w:p>
        </w:tc>
        <w:tc>
          <w:tcPr>
            <w:tcW w:w="1224" w:type="dxa"/>
            <w:noWrap/>
            <w:hideMark/>
          </w:tcPr>
          <w:p w14:paraId="5B19BA67"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0.27</w:t>
            </w:r>
          </w:p>
        </w:tc>
        <w:tc>
          <w:tcPr>
            <w:tcW w:w="1390" w:type="dxa"/>
            <w:noWrap/>
            <w:hideMark/>
          </w:tcPr>
          <w:p w14:paraId="0510E66D"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0.66</w:t>
            </w:r>
          </w:p>
        </w:tc>
        <w:tc>
          <w:tcPr>
            <w:tcW w:w="877" w:type="dxa"/>
            <w:noWrap/>
            <w:hideMark/>
          </w:tcPr>
          <w:p w14:paraId="74649160"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0.37</w:t>
            </w:r>
          </w:p>
        </w:tc>
      </w:tr>
      <w:tr w:rsidR="00304AE7" w14:paraId="6B0FA9C2" w14:textId="77777777" w:rsidTr="00126944">
        <w:trPr>
          <w:trHeight w:val="528"/>
        </w:trPr>
        <w:tc>
          <w:tcPr>
            <w:tcW w:w="2043" w:type="dxa"/>
            <w:noWrap/>
            <w:hideMark/>
          </w:tcPr>
          <w:p w14:paraId="559DC240" w14:textId="77777777" w:rsidR="00126944" w:rsidRPr="00126944" w:rsidRDefault="00313C6B" w:rsidP="00126944">
            <w:pPr>
              <w:jc w:val="left"/>
              <w:rPr>
                <w:rFonts w:eastAsia="Times New Roman" w:cs="Times New Roman"/>
                <w:color w:val="000000"/>
                <w:szCs w:val="24"/>
                <w:lang w:val="en-US"/>
              </w:rPr>
            </w:pPr>
            <w:r w:rsidRPr="00126944">
              <w:rPr>
                <w:rFonts w:eastAsia="Times New Roman" w:cs="Times New Roman"/>
                <w:color w:val="000000"/>
                <w:szCs w:val="24"/>
                <w:lang w:val="en-US"/>
              </w:rPr>
              <w:t>Debt ratio</w:t>
            </w:r>
          </w:p>
        </w:tc>
        <w:tc>
          <w:tcPr>
            <w:tcW w:w="824" w:type="dxa"/>
            <w:noWrap/>
            <w:hideMark/>
          </w:tcPr>
          <w:p w14:paraId="2031F74E"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0.35</w:t>
            </w:r>
          </w:p>
        </w:tc>
        <w:tc>
          <w:tcPr>
            <w:tcW w:w="897" w:type="dxa"/>
            <w:noWrap/>
            <w:hideMark/>
          </w:tcPr>
          <w:p w14:paraId="37E92DF3"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0.26</w:t>
            </w:r>
          </w:p>
        </w:tc>
        <w:tc>
          <w:tcPr>
            <w:tcW w:w="1408" w:type="dxa"/>
            <w:noWrap/>
            <w:hideMark/>
          </w:tcPr>
          <w:p w14:paraId="0794891D"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0.13</w:t>
            </w:r>
          </w:p>
        </w:tc>
        <w:tc>
          <w:tcPr>
            <w:tcW w:w="824" w:type="dxa"/>
            <w:noWrap/>
            <w:hideMark/>
          </w:tcPr>
          <w:p w14:paraId="685CDC19"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0.22</w:t>
            </w:r>
          </w:p>
        </w:tc>
        <w:tc>
          <w:tcPr>
            <w:tcW w:w="1224" w:type="dxa"/>
            <w:noWrap/>
            <w:hideMark/>
          </w:tcPr>
          <w:p w14:paraId="4D749E9F"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0.27</w:t>
            </w:r>
          </w:p>
        </w:tc>
        <w:tc>
          <w:tcPr>
            <w:tcW w:w="1390" w:type="dxa"/>
            <w:noWrap/>
            <w:hideMark/>
          </w:tcPr>
          <w:p w14:paraId="0DF6170D"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0.23</w:t>
            </w:r>
          </w:p>
        </w:tc>
        <w:tc>
          <w:tcPr>
            <w:tcW w:w="877" w:type="dxa"/>
            <w:noWrap/>
            <w:hideMark/>
          </w:tcPr>
          <w:p w14:paraId="34DF06AB"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0.24</w:t>
            </w:r>
          </w:p>
        </w:tc>
      </w:tr>
      <w:tr w:rsidR="00304AE7" w14:paraId="2FEAC46B" w14:textId="77777777" w:rsidTr="00126944">
        <w:trPr>
          <w:trHeight w:val="528"/>
        </w:trPr>
        <w:tc>
          <w:tcPr>
            <w:tcW w:w="2043" w:type="dxa"/>
            <w:noWrap/>
            <w:hideMark/>
          </w:tcPr>
          <w:p w14:paraId="52F056EF" w14:textId="77777777" w:rsidR="00126944" w:rsidRPr="00126944" w:rsidRDefault="00313C6B" w:rsidP="00126944">
            <w:pPr>
              <w:jc w:val="left"/>
              <w:rPr>
                <w:rFonts w:eastAsia="Times New Roman" w:cs="Times New Roman"/>
                <w:color w:val="000000"/>
                <w:szCs w:val="24"/>
                <w:lang w:val="en-US"/>
              </w:rPr>
            </w:pPr>
            <w:r w:rsidRPr="00126944">
              <w:rPr>
                <w:rFonts w:eastAsia="Times New Roman" w:cs="Times New Roman"/>
                <w:color w:val="000000"/>
                <w:szCs w:val="24"/>
                <w:lang w:val="en-US"/>
              </w:rPr>
              <w:t>Inventory turnover ratio</w:t>
            </w:r>
          </w:p>
        </w:tc>
        <w:tc>
          <w:tcPr>
            <w:tcW w:w="824" w:type="dxa"/>
            <w:noWrap/>
            <w:hideMark/>
          </w:tcPr>
          <w:p w14:paraId="6943F88C"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1.88</w:t>
            </w:r>
          </w:p>
        </w:tc>
        <w:tc>
          <w:tcPr>
            <w:tcW w:w="897" w:type="dxa"/>
            <w:noWrap/>
            <w:hideMark/>
          </w:tcPr>
          <w:p w14:paraId="6FA2F803"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1.82</w:t>
            </w:r>
          </w:p>
        </w:tc>
        <w:tc>
          <w:tcPr>
            <w:tcW w:w="1408" w:type="dxa"/>
            <w:noWrap/>
            <w:hideMark/>
          </w:tcPr>
          <w:p w14:paraId="5A116D2B"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4.78</w:t>
            </w:r>
          </w:p>
        </w:tc>
        <w:tc>
          <w:tcPr>
            <w:tcW w:w="824" w:type="dxa"/>
            <w:noWrap/>
            <w:hideMark/>
          </w:tcPr>
          <w:p w14:paraId="699601FB"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8.85</w:t>
            </w:r>
          </w:p>
        </w:tc>
        <w:tc>
          <w:tcPr>
            <w:tcW w:w="1224" w:type="dxa"/>
            <w:noWrap/>
            <w:hideMark/>
          </w:tcPr>
          <w:p w14:paraId="3AD6E196"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2.19</w:t>
            </w:r>
          </w:p>
        </w:tc>
        <w:tc>
          <w:tcPr>
            <w:tcW w:w="1390" w:type="dxa"/>
            <w:noWrap/>
            <w:hideMark/>
          </w:tcPr>
          <w:p w14:paraId="60990471"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1.55</w:t>
            </w:r>
          </w:p>
        </w:tc>
        <w:tc>
          <w:tcPr>
            <w:tcW w:w="877" w:type="dxa"/>
            <w:noWrap/>
            <w:hideMark/>
          </w:tcPr>
          <w:p w14:paraId="694C51CB"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3.51</w:t>
            </w:r>
          </w:p>
        </w:tc>
      </w:tr>
      <w:tr w:rsidR="00304AE7" w14:paraId="5E780E3F" w14:textId="77777777" w:rsidTr="00126944">
        <w:trPr>
          <w:trHeight w:val="528"/>
        </w:trPr>
        <w:tc>
          <w:tcPr>
            <w:tcW w:w="2043" w:type="dxa"/>
            <w:noWrap/>
            <w:hideMark/>
          </w:tcPr>
          <w:p w14:paraId="5C7E1762" w14:textId="77777777" w:rsidR="00126944" w:rsidRPr="00126944" w:rsidRDefault="00313C6B" w:rsidP="00126944">
            <w:pPr>
              <w:jc w:val="left"/>
              <w:rPr>
                <w:rFonts w:eastAsia="Times New Roman" w:cs="Times New Roman"/>
                <w:color w:val="000000"/>
                <w:szCs w:val="24"/>
                <w:lang w:val="en-US"/>
              </w:rPr>
            </w:pPr>
            <w:r w:rsidRPr="00126944">
              <w:rPr>
                <w:rFonts w:eastAsia="Times New Roman" w:cs="Times New Roman"/>
                <w:color w:val="000000"/>
                <w:szCs w:val="24"/>
                <w:lang w:val="en-US"/>
              </w:rPr>
              <w:t>Asset turnover ratio</w:t>
            </w:r>
          </w:p>
        </w:tc>
        <w:tc>
          <w:tcPr>
            <w:tcW w:w="824" w:type="dxa"/>
            <w:noWrap/>
            <w:hideMark/>
          </w:tcPr>
          <w:p w14:paraId="6C53F49F"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0.45</w:t>
            </w:r>
          </w:p>
        </w:tc>
        <w:tc>
          <w:tcPr>
            <w:tcW w:w="897" w:type="dxa"/>
            <w:noWrap/>
            <w:hideMark/>
          </w:tcPr>
          <w:p w14:paraId="6BDC78C9"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0.47</w:t>
            </w:r>
          </w:p>
        </w:tc>
        <w:tc>
          <w:tcPr>
            <w:tcW w:w="1408" w:type="dxa"/>
            <w:noWrap/>
            <w:hideMark/>
          </w:tcPr>
          <w:p w14:paraId="0412AF22"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0.53</w:t>
            </w:r>
          </w:p>
        </w:tc>
        <w:tc>
          <w:tcPr>
            <w:tcW w:w="824" w:type="dxa"/>
            <w:noWrap/>
            <w:hideMark/>
          </w:tcPr>
          <w:p w14:paraId="5BD5656B"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0.64</w:t>
            </w:r>
          </w:p>
        </w:tc>
        <w:tc>
          <w:tcPr>
            <w:tcW w:w="1224" w:type="dxa"/>
            <w:noWrap/>
            <w:hideMark/>
          </w:tcPr>
          <w:p w14:paraId="24A0B14F"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0.34</w:t>
            </w:r>
          </w:p>
        </w:tc>
        <w:tc>
          <w:tcPr>
            <w:tcW w:w="1390" w:type="dxa"/>
            <w:noWrap/>
            <w:hideMark/>
          </w:tcPr>
          <w:p w14:paraId="43BEEBB5"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0.23</w:t>
            </w:r>
          </w:p>
        </w:tc>
        <w:tc>
          <w:tcPr>
            <w:tcW w:w="877" w:type="dxa"/>
            <w:noWrap/>
            <w:hideMark/>
          </w:tcPr>
          <w:p w14:paraId="0E654796" w14:textId="77777777" w:rsidR="00126944" w:rsidRPr="00126944" w:rsidRDefault="00313C6B" w:rsidP="00126944">
            <w:pPr>
              <w:jc w:val="right"/>
              <w:rPr>
                <w:rFonts w:eastAsia="Times New Roman" w:cs="Times New Roman"/>
                <w:color w:val="000000"/>
                <w:szCs w:val="24"/>
                <w:lang w:val="en-US"/>
              </w:rPr>
            </w:pPr>
            <w:r w:rsidRPr="00126944">
              <w:rPr>
                <w:rFonts w:eastAsia="Times New Roman" w:cs="Times New Roman"/>
                <w:color w:val="000000"/>
                <w:szCs w:val="24"/>
                <w:lang w:val="en-US"/>
              </w:rPr>
              <w:t>0.44</w:t>
            </w:r>
          </w:p>
        </w:tc>
      </w:tr>
    </w:tbl>
    <w:p w14:paraId="3EC76F0A" w14:textId="77777777" w:rsidR="00895262" w:rsidRPr="00FB5261" w:rsidRDefault="00895262" w:rsidP="00FB5261">
      <w:pPr>
        <w:spacing w:line="360" w:lineRule="auto"/>
        <w:rPr>
          <w:rFonts w:cs="Times New Roman"/>
          <w:szCs w:val="24"/>
        </w:rPr>
      </w:pPr>
    </w:p>
    <w:p w14:paraId="03FB988B" w14:textId="77777777" w:rsidR="00814872" w:rsidRDefault="00313C6B" w:rsidP="00FB5261">
      <w:pPr>
        <w:spacing w:line="360" w:lineRule="auto"/>
        <w:rPr>
          <w:rFonts w:cs="Times New Roman"/>
          <w:szCs w:val="24"/>
        </w:rPr>
      </w:pPr>
      <w:r>
        <w:rPr>
          <w:rFonts w:cs="Times New Roman"/>
          <w:szCs w:val="24"/>
        </w:rPr>
        <w:t>It has been seen from the above table that the average gross profit margin in 2016 was 55.72%. Where GSK could easily surpass the average as it has a margin of 67%. On the other hand, the average net profit margin was 10.09%. But it was quite unfortunate t</w:t>
      </w:r>
      <w:r>
        <w:rPr>
          <w:rFonts w:cs="Times New Roman"/>
          <w:szCs w:val="24"/>
        </w:rPr>
        <w:t>hat the net profit margin of GSK significantly decreased in 2016. It is because the company used most of its revenue to meet up its increasing operating expenses. The return on equity of GSK was 21%, which exceeds the average of 15.82%. But GSK's return on</w:t>
      </w:r>
      <w:r>
        <w:rPr>
          <w:rFonts w:cs="Times New Roman"/>
          <w:szCs w:val="24"/>
        </w:rPr>
        <w:t xml:space="preserve"> </w:t>
      </w:r>
      <w:r w:rsidR="00A862ED">
        <w:rPr>
          <w:rFonts w:cs="Times New Roman"/>
          <w:szCs w:val="24"/>
        </w:rPr>
        <w:t xml:space="preserve">the </w:t>
      </w:r>
      <w:r>
        <w:rPr>
          <w:rFonts w:cs="Times New Roman"/>
          <w:szCs w:val="24"/>
        </w:rPr>
        <w:t>asset was only 2% compared to the average of 4.70%.</w:t>
      </w:r>
    </w:p>
    <w:p w14:paraId="6617D207" w14:textId="77777777" w:rsidR="00814872" w:rsidRDefault="00313C6B" w:rsidP="00FB5261">
      <w:pPr>
        <w:spacing w:line="360" w:lineRule="auto"/>
        <w:rPr>
          <w:rFonts w:cs="Times New Roman"/>
          <w:szCs w:val="24"/>
        </w:rPr>
      </w:pPr>
      <w:r>
        <w:rPr>
          <w:rFonts w:cs="Times New Roman"/>
          <w:szCs w:val="24"/>
        </w:rPr>
        <w:t xml:space="preserve">In </w:t>
      </w:r>
      <w:r w:rsidR="00A862ED">
        <w:rPr>
          <w:rFonts w:cs="Times New Roman"/>
          <w:szCs w:val="24"/>
        </w:rPr>
        <w:t xml:space="preserve">the </w:t>
      </w:r>
      <w:r>
        <w:rPr>
          <w:rFonts w:cs="Times New Roman"/>
          <w:szCs w:val="24"/>
        </w:rPr>
        <w:t>case of liquidity ratios, also in 2016, GSK was seen having below</w:t>
      </w:r>
      <w:r w:rsidR="00A862ED">
        <w:rPr>
          <w:rFonts w:cs="Times New Roman"/>
          <w:szCs w:val="24"/>
        </w:rPr>
        <w:t>-</w:t>
      </w:r>
      <w:r>
        <w:rPr>
          <w:rFonts w:cs="Times New Roman"/>
          <w:szCs w:val="24"/>
        </w:rPr>
        <w:t xml:space="preserve">average ratios. It implies that the situation of GSK couldn’t become any better than the previous year. </w:t>
      </w:r>
    </w:p>
    <w:p w14:paraId="3AE145F6" w14:textId="77777777" w:rsidR="00F824D7" w:rsidRDefault="00313C6B" w:rsidP="00FB5261">
      <w:pPr>
        <w:spacing w:line="360" w:lineRule="auto"/>
        <w:rPr>
          <w:rFonts w:cs="Times New Roman"/>
          <w:szCs w:val="24"/>
        </w:rPr>
      </w:pPr>
      <w:r>
        <w:rPr>
          <w:rFonts w:cs="Times New Roman"/>
          <w:szCs w:val="24"/>
        </w:rPr>
        <w:lastRenderedPageBreak/>
        <w:t>In 2016 also, the deb</w:t>
      </w:r>
      <w:r>
        <w:rPr>
          <w:rFonts w:cs="Times New Roman"/>
          <w:szCs w:val="24"/>
        </w:rPr>
        <w:t xml:space="preserve">t-to-equity ratio and the debt ratio of GSK were higher than those of </w:t>
      </w:r>
      <w:r w:rsidR="00A862ED">
        <w:rPr>
          <w:rFonts w:cs="Times New Roman"/>
          <w:szCs w:val="24"/>
        </w:rPr>
        <w:t xml:space="preserve">the </w:t>
      </w:r>
      <w:r>
        <w:rPr>
          <w:rFonts w:cs="Times New Roman"/>
          <w:szCs w:val="24"/>
        </w:rPr>
        <w:t xml:space="preserve">average ratio. But, in </w:t>
      </w:r>
      <w:r w:rsidR="00A862ED">
        <w:rPr>
          <w:rFonts w:cs="Times New Roman"/>
          <w:szCs w:val="24"/>
        </w:rPr>
        <w:t xml:space="preserve">the </w:t>
      </w:r>
      <w:r>
        <w:rPr>
          <w:rFonts w:cs="Times New Roman"/>
          <w:szCs w:val="24"/>
        </w:rPr>
        <w:t xml:space="preserve">case of equity ratio, GSK couldn’t gain </w:t>
      </w:r>
      <w:r w:rsidR="00A862ED">
        <w:rPr>
          <w:rFonts w:cs="Times New Roman"/>
          <w:szCs w:val="24"/>
        </w:rPr>
        <w:t xml:space="preserve">a </w:t>
      </w:r>
      <w:r>
        <w:rPr>
          <w:rFonts w:cs="Times New Roman"/>
          <w:szCs w:val="24"/>
        </w:rPr>
        <w:t>competitive advantage as it has below average equity ratio.</w:t>
      </w:r>
    </w:p>
    <w:p w14:paraId="6F45CC06" w14:textId="77777777" w:rsidR="00246195" w:rsidRDefault="00313C6B" w:rsidP="00FB5261">
      <w:pPr>
        <w:spacing w:line="360" w:lineRule="auto"/>
        <w:rPr>
          <w:rFonts w:cs="Times New Roman"/>
          <w:szCs w:val="24"/>
        </w:rPr>
      </w:pPr>
      <w:r>
        <w:rPr>
          <w:rFonts w:cs="Times New Roman"/>
          <w:szCs w:val="24"/>
        </w:rPr>
        <w:t>The average inventory turnover ratio and average asse</w:t>
      </w:r>
      <w:r>
        <w:rPr>
          <w:rFonts w:cs="Times New Roman"/>
          <w:szCs w:val="24"/>
        </w:rPr>
        <w:t xml:space="preserve">t turnover ratio were 3.51 and 0.44, respectively. Though GSK touches the average somehow, it significantly lags in </w:t>
      </w:r>
      <w:r w:rsidR="00A862ED">
        <w:rPr>
          <w:rFonts w:cs="Times New Roman"/>
          <w:szCs w:val="24"/>
        </w:rPr>
        <w:t xml:space="preserve">the </w:t>
      </w:r>
      <w:r>
        <w:rPr>
          <w:rFonts w:cs="Times New Roman"/>
          <w:szCs w:val="24"/>
        </w:rPr>
        <w:t xml:space="preserve">case of inventory turnover ratio. </w:t>
      </w:r>
    </w:p>
    <w:p w14:paraId="63B10454" w14:textId="77777777" w:rsidR="00F93B9D" w:rsidRPr="00246195" w:rsidRDefault="00313C6B" w:rsidP="00FB5261">
      <w:pPr>
        <w:spacing w:line="360" w:lineRule="auto"/>
        <w:rPr>
          <w:rFonts w:cs="Times New Roman"/>
          <w:b/>
          <w:bCs/>
          <w:szCs w:val="24"/>
        </w:rPr>
      </w:pPr>
      <w:r w:rsidRPr="00246195">
        <w:rPr>
          <w:rFonts w:cs="Times New Roman"/>
          <w:b/>
          <w:bCs/>
          <w:szCs w:val="24"/>
        </w:rPr>
        <w:t>2017</w:t>
      </w:r>
    </w:p>
    <w:tbl>
      <w:tblPr>
        <w:tblStyle w:val="TableGrid"/>
        <w:tblW w:w="10234" w:type="dxa"/>
        <w:tblLook w:val="04A0" w:firstRow="1" w:lastRow="0" w:firstColumn="1" w:lastColumn="0" w:noHBand="0" w:noVBand="1"/>
      </w:tblPr>
      <w:tblGrid>
        <w:gridCol w:w="2499"/>
        <w:gridCol w:w="956"/>
        <w:gridCol w:w="1096"/>
        <w:gridCol w:w="1248"/>
        <w:gridCol w:w="836"/>
        <w:gridCol w:w="1523"/>
        <w:gridCol w:w="1234"/>
        <w:gridCol w:w="1069"/>
      </w:tblGrid>
      <w:tr w:rsidR="00304AE7" w14:paraId="675C58AF" w14:textId="77777777" w:rsidTr="00246195">
        <w:trPr>
          <w:trHeight w:val="318"/>
        </w:trPr>
        <w:tc>
          <w:tcPr>
            <w:tcW w:w="2499" w:type="dxa"/>
            <w:noWrap/>
            <w:hideMark/>
          </w:tcPr>
          <w:p w14:paraId="18FFF7FD" w14:textId="77777777" w:rsidR="00C51649" w:rsidRPr="00246195" w:rsidRDefault="00C51649" w:rsidP="00C51649">
            <w:pPr>
              <w:jc w:val="left"/>
              <w:rPr>
                <w:rFonts w:eastAsia="Times New Roman" w:cs="Times New Roman"/>
                <w:b/>
                <w:bCs/>
                <w:szCs w:val="24"/>
                <w:lang w:val="en-US"/>
              </w:rPr>
            </w:pPr>
          </w:p>
        </w:tc>
        <w:tc>
          <w:tcPr>
            <w:tcW w:w="916" w:type="dxa"/>
            <w:noWrap/>
            <w:hideMark/>
          </w:tcPr>
          <w:p w14:paraId="2ED966D9" w14:textId="77777777" w:rsidR="00C51649" w:rsidRPr="00246195" w:rsidRDefault="00313C6B" w:rsidP="00C51649">
            <w:pPr>
              <w:jc w:val="left"/>
              <w:rPr>
                <w:rFonts w:eastAsia="Times New Roman" w:cs="Times New Roman"/>
                <w:b/>
                <w:bCs/>
                <w:color w:val="000000"/>
                <w:szCs w:val="24"/>
                <w:lang w:val="en-US"/>
              </w:rPr>
            </w:pPr>
            <w:r w:rsidRPr="00246195">
              <w:rPr>
                <w:rFonts w:eastAsia="Times New Roman" w:cs="Times New Roman"/>
                <w:b/>
                <w:bCs/>
                <w:color w:val="000000"/>
                <w:szCs w:val="24"/>
                <w:lang w:val="en-US"/>
              </w:rPr>
              <w:t>GSK</w:t>
            </w:r>
          </w:p>
        </w:tc>
        <w:tc>
          <w:tcPr>
            <w:tcW w:w="1051" w:type="dxa"/>
            <w:noWrap/>
            <w:hideMark/>
          </w:tcPr>
          <w:p w14:paraId="654B66AD" w14:textId="77777777" w:rsidR="00C51649" w:rsidRPr="00246195" w:rsidRDefault="00313C6B" w:rsidP="00C51649">
            <w:pPr>
              <w:jc w:val="left"/>
              <w:rPr>
                <w:rFonts w:eastAsia="Times New Roman" w:cs="Times New Roman"/>
                <w:b/>
                <w:bCs/>
                <w:color w:val="000000"/>
                <w:szCs w:val="24"/>
                <w:lang w:val="en-US"/>
              </w:rPr>
            </w:pPr>
            <w:r w:rsidRPr="00246195">
              <w:rPr>
                <w:rFonts w:eastAsia="Times New Roman" w:cs="Times New Roman"/>
                <w:b/>
                <w:bCs/>
                <w:color w:val="000000"/>
                <w:szCs w:val="24"/>
                <w:lang w:val="en-US"/>
              </w:rPr>
              <w:t>Unilever</w:t>
            </w:r>
          </w:p>
        </w:tc>
        <w:tc>
          <w:tcPr>
            <w:tcW w:w="1248" w:type="dxa"/>
            <w:noWrap/>
            <w:hideMark/>
          </w:tcPr>
          <w:p w14:paraId="18AEDE81" w14:textId="77777777" w:rsidR="00C51649" w:rsidRPr="00246195" w:rsidRDefault="00313C6B" w:rsidP="00C51649">
            <w:pPr>
              <w:jc w:val="left"/>
              <w:rPr>
                <w:rFonts w:eastAsia="Times New Roman" w:cs="Times New Roman"/>
                <w:b/>
                <w:bCs/>
                <w:color w:val="000000"/>
                <w:szCs w:val="24"/>
                <w:lang w:val="en-US"/>
              </w:rPr>
            </w:pPr>
            <w:r w:rsidRPr="00246195">
              <w:rPr>
                <w:rFonts w:eastAsia="Times New Roman" w:cs="Times New Roman"/>
                <w:b/>
                <w:bCs/>
                <w:color w:val="000000"/>
                <w:szCs w:val="24"/>
                <w:lang w:val="en-US"/>
              </w:rPr>
              <w:t>Reckitt Benckiser</w:t>
            </w:r>
          </w:p>
        </w:tc>
        <w:tc>
          <w:tcPr>
            <w:tcW w:w="801" w:type="dxa"/>
            <w:noWrap/>
            <w:hideMark/>
          </w:tcPr>
          <w:p w14:paraId="079AC4AC" w14:textId="77777777" w:rsidR="00C51649" w:rsidRPr="00246195" w:rsidRDefault="00313C6B" w:rsidP="00C51649">
            <w:pPr>
              <w:jc w:val="left"/>
              <w:rPr>
                <w:rFonts w:eastAsia="Times New Roman" w:cs="Times New Roman"/>
                <w:b/>
                <w:bCs/>
                <w:color w:val="000000"/>
                <w:szCs w:val="24"/>
                <w:lang w:val="en-US"/>
              </w:rPr>
            </w:pPr>
            <w:r w:rsidRPr="00246195">
              <w:rPr>
                <w:rFonts w:eastAsia="Times New Roman" w:cs="Times New Roman"/>
                <w:b/>
                <w:bCs/>
                <w:color w:val="000000"/>
                <w:szCs w:val="24"/>
                <w:lang w:val="en-US"/>
              </w:rPr>
              <w:t>B.P.</w:t>
            </w:r>
          </w:p>
        </w:tc>
        <w:tc>
          <w:tcPr>
            <w:tcW w:w="1460" w:type="dxa"/>
            <w:noWrap/>
            <w:hideMark/>
          </w:tcPr>
          <w:p w14:paraId="5777AABD" w14:textId="77777777" w:rsidR="00C51649" w:rsidRPr="00246195" w:rsidRDefault="00313C6B" w:rsidP="00C51649">
            <w:pPr>
              <w:jc w:val="left"/>
              <w:rPr>
                <w:rFonts w:eastAsia="Times New Roman" w:cs="Times New Roman"/>
                <w:b/>
                <w:bCs/>
                <w:color w:val="000000"/>
                <w:szCs w:val="24"/>
                <w:lang w:val="en-US"/>
              </w:rPr>
            </w:pPr>
            <w:r w:rsidRPr="00246195">
              <w:rPr>
                <w:rFonts w:eastAsia="Times New Roman" w:cs="Times New Roman"/>
                <w:b/>
                <w:bCs/>
                <w:color w:val="000000"/>
                <w:szCs w:val="24"/>
                <w:lang w:val="en-US"/>
              </w:rPr>
              <w:t>AstraZeneca</w:t>
            </w:r>
          </w:p>
        </w:tc>
        <w:tc>
          <w:tcPr>
            <w:tcW w:w="1234" w:type="dxa"/>
            <w:noWrap/>
            <w:hideMark/>
          </w:tcPr>
          <w:p w14:paraId="24DDED9A" w14:textId="77777777" w:rsidR="00C51649" w:rsidRPr="00246195" w:rsidRDefault="00313C6B" w:rsidP="00C51649">
            <w:pPr>
              <w:jc w:val="left"/>
              <w:rPr>
                <w:rFonts w:eastAsia="Times New Roman" w:cs="Times New Roman"/>
                <w:b/>
                <w:bCs/>
                <w:color w:val="000000"/>
                <w:szCs w:val="24"/>
                <w:lang w:val="en-US"/>
              </w:rPr>
            </w:pPr>
            <w:r w:rsidRPr="00246195">
              <w:rPr>
                <w:rFonts w:eastAsia="Times New Roman" w:cs="Times New Roman"/>
                <w:b/>
                <w:bCs/>
                <w:color w:val="000000"/>
                <w:szCs w:val="24"/>
                <w:lang w:val="en-US"/>
              </w:rPr>
              <w:t>Alliance Pharma</w:t>
            </w:r>
          </w:p>
        </w:tc>
        <w:tc>
          <w:tcPr>
            <w:tcW w:w="1025" w:type="dxa"/>
            <w:noWrap/>
            <w:hideMark/>
          </w:tcPr>
          <w:p w14:paraId="70F0F7B9" w14:textId="77777777" w:rsidR="00C51649" w:rsidRPr="00246195" w:rsidRDefault="00313C6B" w:rsidP="00C51649">
            <w:pPr>
              <w:jc w:val="left"/>
              <w:rPr>
                <w:rFonts w:eastAsia="Times New Roman" w:cs="Times New Roman"/>
                <w:b/>
                <w:bCs/>
                <w:color w:val="000000"/>
                <w:szCs w:val="24"/>
                <w:lang w:val="en-US"/>
              </w:rPr>
            </w:pPr>
            <w:r w:rsidRPr="00246195">
              <w:rPr>
                <w:rFonts w:eastAsia="Times New Roman" w:cs="Times New Roman"/>
                <w:b/>
                <w:bCs/>
                <w:color w:val="000000"/>
                <w:szCs w:val="24"/>
                <w:lang w:val="en-US"/>
              </w:rPr>
              <w:t>Average</w:t>
            </w:r>
          </w:p>
        </w:tc>
      </w:tr>
      <w:tr w:rsidR="00304AE7" w14:paraId="0056C1B7" w14:textId="77777777" w:rsidTr="00246195">
        <w:trPr>
          <w:trHeight w:val="318"/>
        </w:trPr>
        <w:tc>
          <w:tcPr>
            <w:tcW w:w="2499" w:type="dxa"/>
            <w:noWrap/>
            <w:hideMark/>
          </w:tcPr>
          <w:p w14:paraId="5CC321BE" w14:textId="77777777" w:rsidR="00C51649" w:rsidRPr="00C51649" w:rsidRDefault="00313C6B" w:rsidP="00C51649">
            <w:pPr>
              <w:jc w:val="left"/>
              <w:rPr>
                <w:rFonts w:eastAsia="Times New Roman" w:cs="Times New Roman"/>
                <w:color w:val="000000"/>
                <w:szCs w:val="24"/>
                <w:lang w:val="en-US"/>
              </w:rPr>
            </w:pPr>
            <w:r w:rsidRPr="00C51649">
              <w:rPr>
                <w:rFonts w:eastAsia="Times New Roman" w:cs="Times New Roman"/>
                <w:color w:val="000000"/>
                <w:szCs w:val="24"/>
                <w:lang w:val="en-US"/>
              </w:rPr>
              <w:t xml:space="preserve">Gross profit </w:t>
            </w:r>
            <w:r w:rsidRPr="00C51649">
              <w:rPr>
                <w:rFonts w:eastAsia="Times New Roman" w:cs="Times New Roman"/>
                <w:color w:val="000000"/>
                <w:szCs w:val="24"/>
                <w:lang w:val="en-US"/>
              </w:rPr>
              <w:t>margin</w:t>
            </w:r>
          </w:p>
        </w:tc>
        <w:tc>
          <w:tcPr>
            <w:tcW w:w="916" w:type="dxa"/>
            <w:noWrap/>
            <w:hideMark/>
          </w:tcPr>
          <w:p w14:paraId="44F24CA4"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66.00%</w:t>
            </w:r>
          </w:p>
        </w:tc>
        <w:tc>
          <w:tcPr>
            <w:tcW w:w="1051" w:type="dxa"/>
            <w:noWrap/>
            <w:hideMark/>
          </w:tcPr>
          <w:p w14:paraId="1E730885"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43.00%</w:t>
            </w:r>
          </w:p>
        </w:tc>
        <w:tc>
          <w:tcPr>
            <w:tcW w:w="1248" w:type="dxa"/>
            <w:noWrap/>
            <w:hideMark/>
          </w:tcPr>
          <w:p w14:paraId="3E1AA118"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59.00%</w:t>
            </w:r>
          </w:p>
        </w:tc>
        <w:tc>
          <w:tcPr>
            <w:tcW w:w="801" w:type="dxa"/>
            <w:noWrap/>
            <w:hideMark/>
          </w:tcPr>
          <w:p w14:paraId="1EA2FA33"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8.72%</w:t>
            </w:r>
          </w:p>
        </w:tc>
        <w:tc>
          <w:tcPr>
            <w:tcW w:w="1460" w:type="dxa"/>
            <w:noWrap/>
            <w:hideMark/>
          </w:tcPr>
          <w:p w14:paraId="6D654041"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74.11%</w:t>
            </w:r>
          </w:p>
        </w:tc>
        <w:tc>
          <w:tcPr>
            <w:tcW w:w="1234" w:type="dxa"/>
            <w:noWrap/>
            <w:hideMark/>
          </w:tcPr>
          <w:p w14:paraId="605EF3A0"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82.34%</w:t>
            </w:r>
          </w:p>
        </w:tc>
        <w:tc>
          <w:tcPr>
            <w:tcW w:w="1025" w:type="dxa"/>
            <w:noWrap/>
            <w:hideMark/>
          </w:tcPr>
          <w:p w14:paraId="35B51E43"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55.53%</w:t>
            </w:r>
          </w:p>
        </w:tc>
      </w:tr>
      <w:tr w:rsidR="00304AE7" w14:paraId="79D0E7CE" w14:textId="77777777" w:rsidTr="00246195">
        <w:trPr>
          <w:trHeight w:val="318"/>
        </w:trPr>
        <w:tc>
          <w:tcPr>
            <w:tcW w:w="2499" w:type="dxa"/>
            <w:noWrap/>
            <w:hideMark/>
          </w:tcPr>
          <w:p w14:paraId="1B524700" w14:textId="77777777" w:rsidR="00C51649" w:rsidRPr="00C51649" w:rsidRDefault="00313C6B" w:rsidP="00C51649">
            <w:pPr>
              <w:jc w:val="left"/>
              <w:rPr>
                <w:rFonts w:eastAsia="Times New Roman" w:cs="Times New Roman"/>
                <w:color w:val="000000"/>
                <w:szCs w:val="24"/>
                <w:lang w:val="en-US"/>
              </w:rPr>
            </w:pPr>
            <w:r w:rsidRPr="00C51649">
              <w:rPr>
                <w:rFonts w:eastAsia="Times New Roman" w:cs="Times New Roman"/>
                <w:color w:val="000000"/>
                <w:szCs w:val="24"/>
                <w:lang w:val="en-US"/>
              </w:rPr>
              <w:t>Net profit margin</w:t>
            </w:r>
          </w:p>
        </w:tc>
        <w:tc>
          <w:tcPr>
            <w:tcW w:w="916" w:type="dxa"/>
            <w:noWrap/>
            <w:hideMark/>
          </w:tcPr>
          <w:p w14:paraId="3E7A8359"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7.00%</w:t>
            </w:r>
          </w:p>
        </w:tc>
        <w:tc>
          <w:tcPr>
            <w:tcW w:w="1051" w:type="dxa"/>
            <w:noWrap/>
            <w:hideMark/>
          </w:tcPr>
          <w:p w14:paraId="7D0DC5F8"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11.00%</w:t>
            </w:r>
          </w:p>
        </w:tc>
        <w:tc>
          <w:tcPr>
            <w:tcW w:w="1248" w:type="dxa"/>
            <w:noWrap/>
            <w:hideMark/>
          </w:tcPr>
          <w:p w14:paraId="1470B6BA"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29.00%</w:t>
            </w:r>
          </w:p>
        </w:tc>
        <w:tc>
          <w:tcPr>
            <w:tcW w:w="801" w:type="dxa"/>
            <w:noWrap/>
            <w:hideMark/>
          </w:tcPr>
          <w:p w14:paraId="431ECC52"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1.41%</w:t>
            </w:r>
          </w:p>
        </w:tc>
        <w:tc>
          <w:tcPr>
            <w:tcW w:w="1460" w:type="dxa"/>
            <w:noWrap/>
            <w:hideMark/>
          </w:tcPr>
          <w:p w14:paraId="0F913BF6"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13.36%</w:t>
            </w:r>
          </w:p>
        </w:tc>
        <w:tc>
          <w:tcPr>
            <w:tcW w:w="1234" w:type="dxa"/>
            <w:noWrap/>
            <w:hideMark/>
          </w:tcPr>
          <w:p w14:paraId="51B5FB7F"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12.58%</w:t>
            </w:r>
          </w:p>
        </w:tc>
        <w:tc>
          <w:tcPr>
            <w:tcW w:w="1025" w:type="dxa"/>
            <w:noWrap/>
            <w:hideMark/>
          </w:tcPr>
          <w:p w14:paraId="4D7E1AA4"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12.39%</w:t>
            </w:r>
          </w:p>
        </w:tc>
      </w:tr>
      <w:tr w:rsidR="00304AE7" w14:paraId="705CF835" w14:textId="77777777" w:rsidTr="00246195">
        <w:trPr>
          <w:trHeight w:val="318"/>
        </w:trPr>
        <w:tc>
          <w:tcPr>
            <w:tcW w:w="2499" w:type="dxa"/>
            <w:noWrap/>
            <w:hideMark/>
          </w:tcPr>
          <w:p w14:paraId="5E59CF0F" w14:textId="77777777" w:rsidR="00C51649" w:rsidRPr="00C51649" w:rsidRDefault="00313C6B" w:rsidP="00C51649">
            <w:pPr>
              <w:jc w:val="left"/>
              <w:rPr>
                <w:rFonts w:eastAsia="Times New Roman" w:cs="Times New Roman"/>
                <w:color w:val="000000"/>
                <w:szCs w:val="24"/>
                <w:lang w:val="en-US"/>
              </w:rPr>
            </w:pPr>
            <w:r w:rsidRPr="00C51649">
              <w:rPr>
                <w:rFonts w:eastAsia="Times New Roman" w:cs="Times New Roman"/>
                <w:color w:val="000000"/>
                <w:szCs w:val="24"/>
                <w:lang w:val="en-US"/>
              </w:rPr>
              <w:t>ROE</w:t>
            </w:r>
          </w:p>
        </w:tc>
        <w:tc>
          <w:tcPr>
            <w:tcW w:w="916" w:type="dxa"/>
            <w:noWrap/>
            <w:hideMark/>
          </w:tcPr>
          <w:p w14:paraId="36694ACA"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62.00%</w:t>
            </w:r>
          </w:p>
        </w:tc>
        <w:tc>
          <w:tcPr>
            <w:tcW w:w="1051" w:type="dxa"/>
            <w:noWrap/>
            <w:hideMark/>
          </w:tcPr>
          <w:p w14:paraId="00670725"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42.00%</w:t>
            </w:r>
          </w:p>
        </w:tc>
        <w:tc>
          <w:tcPr>
            <w:tcW w:w="1248" w:type="dxa"/>
            <w:noWrap/>
            <w:hideMark/>
          </w:tcPr>
          <w:p w14:paraId="0B89CF2A"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25.00%</w:t>
            </w:r>
          </w:p>
        </w:tc>
        <w:tc>
          <w:tcPr>
            <w:tcW w:w="801" w:type="dxa"/>
            <w:noWrap/>
            <w:hideMark/>
          </w:tcPr>
          <w:p w14:paraId="40DD44FE"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3.55%</w:t>
            </w:r>
          </w:p>
        </w:tc>
        <w:tc>
          <w:tcPr>
            <w:tcW w:w="1460" w:type="dxa"/>
            <w:noWrap/>
            <w:hideMark/>
          </w:tcPr>
          <w:p w14:paraId="03AC981D"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18.94%</w:t>
            </w:r>
          </w:p>
        </w:tc>
        <w:tc>
          <w:tcPr>
            <w:tcW w:w="1234" w:type="dxa"/>
            <w:noWrap/>
            <w:hideMark/>
          </w:tcPr>
          <w:p w14:paraId="0F543E8B"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4.98%</w:t>
            </w:r>
          </w:p>
        </w:tc>
        <w:tc>
          <w:tcPr>
            <w:tcW w:w="1025" w:type="dxa"/>
            <w:noWrap/>
            <w:hideMark/>
          </w:tcPr>
          <w:p w14:paraId="2DF02234"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26.08%</w:t>
            </w:r>
          </w:p>
        </w:tc>
      </w:tr>
      <w:tr w:rsidR="00304AE7" w14:paraId="1038735D" w14:textId="77777777" w:rsidTr="00246195">
        <w:trPr>
          <w:trHeight w:val="318"/>
        </w:trPr>
        <w:tc>
          <w:tcPr>
            <w:tcW w:w="2499" w:type="dxa"/>
            <w:noWrap/>
            <w:hideMark/>
          </w:tcPr>
          <w:p w14:paraId="39AB08DC" w14:textId="77777777" w:rsidR="00C51649" w:rsidRPr="00C51649" w:rsidRDefault="00313C6B" w:rsidP="00C51649">
            <w:pPr>
              <w:jc w:val="left"/>
              <w:rPr>
                <w:rFonts w:eastAsia="Times New Roman" w:cs="Times New Roman"/>
                <w:color w:val="000000"/>
                <w:szCs w:val="24"/>
                <w:lang w:val="en-US"/>
              </w:rPr>
            </w:pPr>
            <w:r w:rsidRPr="00C51649">
              <w:rPr>
                <w:rFonts w:eastAsia="Times New Roman" w:cs="Times New Roman"/>
                <w:color w:val="000000"/>
                <w:szCs w:val="24"/>
                <w:lang w:val="en-US"/>
              </w:rPr>
              <w:t>ROA</w:t>
            </w:r>
          </w:p>
        </w:tc>
        <w:tc>
          <w:tcPr>
            <w:tcW w:w="916" w:type="dxa"/>
            <w:noWrap/>
            <w:hideMark/>
          </w:tcPr>
          <w:p w14:paraId="717FA048"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4.00%</w:t>
            </w:r>
          </w:p>
        </w:tc>
        <w:tc>
          <w:tcPr>
            <w:tcW w:w="1051" w:type="dxa"/>
            <w:noWrap/>
            <w:hideMark/>
          </w:tcPr>
          <w:p w14:paraId="4834EB7B"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10.00%</w:t>
            </w:r>
          </w:p>
        </w:tc>
        <w:tc>
          <w:tcPr>
            <w:tcW w:w="1248" w:type="dxa"/>
            <w:noWrap/>
            <w:hideMark/>
          </w:tcPr>
          <w:p w14:paraId="313ABB4E"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9.00%</w:t>
            </w:r>
          </w:p>
        </w:tc>
        <w:tc>
          <w:tcPr>
            <w:tcW w:w="801" w:type="dxa"/>
            <w:noWrap/>
            <w:hideMark/>
          </w:tcPr>
          <w:p w14:paraId="35306F36"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1.29%</w:t>
            </w:r>
          </w:p>
        </w:tc>
        <w:tc>
          <w:tcPr>
            <w:tcW w:w="1460" w:type="dxa"/>
            <w:noWrap/>
            <w:hideMark/>
          </w:tcPr>
          <w:p w14:paraId="1E273639"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4.98%</w:t>
            </w:r>
          </w:p>
        </w:tc>
        <w:tc>
          <w:tcPr>
            <w:tcW w:w="1234" w:type="dxa"/>
            <w:noWrap/>
            <w:hideMark/>
          </w:tcPr>
          <w:p w14:paraId="6157E6BF"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3.26%</w:t>
            </w:r>
          </w:p>
        </w:tc>
        <w:tc>
          <w:tcPr>
            <w:tcW w:w="1025" w:type="dxa"/>
            <w:noWrap/>
            <w:hideMark/>
          </w:tcPr>
          <w:p w14:paraId="043C1684"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5.42%</w:t>
            </w:r>
          </w:p>
        </w:tc>
      </w:tr>
      <w:tr w:rsidR="00304AE7" w14:paraId="1EBDCB7D" w14:textId="77777777" w:rsidTr="00246195">
        <w:trPr>
          <w:trHeight w:val="318"/>
        </w:trPr>
        <w:tc>
          <w:tcPr>
            <w:tcW w:w="2499" w:type="dxa"/>
            <w:noWrap/>
            <w:hideMark/>
          </w:tcPr>
          <w:p w14:paraId="60AE6D1B" w14:textId="77777777" w:rsidR="00C51649" w:rsidRPr="00C51649" w:rsidRDefault="00313C6B" w:rsidP="00C51649">
            <w:pPr>
              <w:jc w:val="left"/>
              <w:rPr>
                <w:rFonts w:eastAsia="Times New Roman" w:cs="Times New Roman"/>
                <w:color w:val="000000"/>
                <w:szCs w:val="24"/>
                <w:lang w:val="en-US"/>
              </w:rPr>
            </w:pPr>
            <w:r w:rsidRPr="00C51649">
              <w:rPr>
                <w:rFonts w:eastAsia="Times New Roman" w:cs="Times New Roman"/>
                <w:color w:val="000000"/>
                <w:szCs w:val="24"/>
                <w:lang w:val="en-US"/>
              </w:rPr>
              <w:t>Current ratio</w:t>
            </w:r>
          </w:p>
        </w:tc>
        <w:tc>
          <w:tcPr>
            <w:tcW w:w="916" w:type="dxa"/>
            <w:noWrap/>
            <w:hideMark/>
          </w:tcPr>
          <w:p w14:paraId="1E9C991A"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0.60</w:t>
            </w:r>
          </w:p>
        </w:tc>
        <w:tc>
          <w:tcPr>
            <w:tcW w:w="1051" w:type="dxa"/>
            <w:noWrap/>
            <w:hideMark/>
          </w:tcPr>
          <w:p w14:paraId="78AA2A52"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0.73</w:t>
            </w:r>
          </w:p>
        </w:tc>
        <w:tc>
          <w:tcPr>
            <w:tcW w:w="1248" w:type="dxa"/>
            <w:noWrap/>
            <w:hideMark/>
          </w:tcPr>
          <w:p w14:paraId="33268E9D"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0.82</w:t>
            </w:r>
          </w:p>
        </w:tc>
        <w:tc>
          <w:tcPr>
            <w:tcW w:w="801" w:type="dxa"/>
            <w:noWrap/>
            <w:hideMark/>
          </w:tcPr>
          <w:p w14:paraId="6939FC91"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1.16</w:t>
            </w:r>
          </w:p>
        </w:tc>
        <w:tc>
          <w:tcPr>
            <w:tcW w:w="1460" w:type="dxa"/>
            <w:noWrap/>
            <w:hideMark/>
          </w:tcPr>
          <w:p w14:paraId="709B3737"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0.79</w:t>
            </w:r>
          </w:p>
        </w:tc>
        <w:tc>
          <w:tcPr>
            <w:tcW w:w="1234" w:type="dxa"/>
            <w:noWrap/>
            <w:hideMark/>
          </w:tcPr>
          <w:p w14:paraId="0DA23271"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3.10</w:t>
            </w:r>
          </w:p>
        </w:tc>
        <w:tc>
          <w:tcPr>
            <w:tcW w:w="1025" w:type="dxa"/>
            <w:noWrap/>
            <w:hideMark/>
          </w:tcPr>
          <w:p w14:paraId="2275DD76"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1.20</w:t>
            </w:r>
          </w:p>
        </w:tc>
      </w:tr>
      <w:tr w:rsidR="00304AE7" w14:paraId="634C65D8" w14:textId="77777777" w:rsidTr="00246195">
        <w:trPr>
          <w:trHeight w:val="318"/>
        </w:trPr>
        <w:tc>
          <w:tcPr>
            <w:tcW w:w="2499" w:type="dxa"/>
            <w:noWrap/>
            <w:hideMark/>
          </w:tcPr>
          <w:p w14:paraId="72344928" w14:textId="77777777" w:rsidR="00C51649" w:rsidRPr="00C51649" w:rsidRDefault="00313C6B" w:rsidP="00C51649">
            <w:pPr>
              <w:jc w:val="left"/>
              <w:rPr>
                <w:rFonts w:eastAsia="Times New Roman" w:cs="Times New Roman"/>
                <w:color w:val="000000"/>
                <w:szCs w:val="24"/>
                <w:lang w:val="en-US"/>
              </w:rPr>
            </w:pPr>
            <w:r w:rsidRPr="00C51649">
              <w:rPr>
                <w:rFonts w:eastAsia="Times New Roman" w:cs="Times New Roman"/>
                <w:color w:val="000000"/>
                <w:szCs w:val="24"/>
                <w:lang w:val="en-US"/>
              </w:rPr>
              <w:t>Quick ratio</w:t>
            </w:r>
          </w:p>
        </w:tc>
        <w:tc>
          <w:tcPr>
            <w:tcW w:w="916" w:type="dxa"/>
            <w:noWrap/>
            <w:hideMark/>
          </w:tcPr>
          <w:p w14:paraId="5AE78010"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0.39</w:t>
            </w:r>
          </w:p>
        </w:tc>
        <w:tc>
          <w:tcPr>
            <w:tcW w:w="1051" w:type="dxa"/>
            <w:noWrap/>
            <w:hideMark/>
          </w:tcPr>
          <w:p w14:paraId="7E28BB74"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0.56</w:t>
            </w:r>
          </w:p>
        </w:tc>
        <w:tc>
          <w:tcPr>
            <w:tcW w:w="1248" w:type="dxa"/>
            <w:noWrap/>
            <w:hideMark/>
          </w:tcPr>
          <w:p w14:paraId="7BAC4294"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0.64</w:t>
            </w:r>
          </w:p>
        </w:tc>
        <w:tc>
          <w:tcPr>
            <w:tcW w:w="801" w:type="dxa"/>
            <w:noWrap/>
            <w:hideMark/>
          </w:tcPr>
          <w:p w14:paraId="1A832845"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0.86</w:t>
            </w:r>
          </w:p>
        </w:tc>
        <w:tc>
          <w:tcPr>
            <w:tcW w:w="1460" w:type="dxa"/>
            <w:noWrap/>
            <w:hideMark/>
          </w:tcPr>
          <w:p w14:paraId="34ACA653"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0.60</w:t>
            </w:r>
          </w:p>
        </w:tc>
        <w:tc>
          <w:tcPr>
            <w:tcW w:w="1234" w:type="dxa"/>
            <w:noWrap/>
            <w:hideMark/>
          </w:tcPr>
          <w:p w14:paraId="5E758E06"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2.62</w:t>
            </w:r>
          </w:p>
        </w:tc>
        <w:tc>
          <w:tcPr>
            <w:tcW w:w="1025" w:type="dxa"/>
            <w:noWrap/>
            <w:hideMark/>
          </w:tcPr>
          <w:p w14:paraId="5ED66E25"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0.95</w:t>
            </w:r>
          </w:p>
        </w:tc>
      </w:tr>
      <w:tr w:rsidR="00304AE7" w14:paraId="732D4883" w14:textId="77777777" w:rsidTr="00246195">
        <w:trPr>
          <w:trHeight w:val="318"/>
        </w:trPr>
        <w:tc>
          <w:tcPr>
            <w:tcW w:w="2499" w:type="dxa"/>
            <w:noWrap/>
            <w:hideMark/>
          </w:tcPr>
          <w:p w14:paraId="04EBF899" w14:textId="77777777" w:rsidR="00C51649" w:rsidRPr="00C51649" w:rsidRDefault="00313C6B" w:rsidP="00C51649">
            <w:pPr>
              <w:jc w:val="left"/>
              <w:rPr>
                <w:rFonts w:eastAsia="Times New Roman" w:cs="Times New Roman"/>
                <w:color w:val="000000"/>
                <w:szCs w:val="24"/>
                <w:lang w:val="en-US"/>
              </w:rPr>
            </w:pPr>
            <w:r w:rsidRPr="00C51649">
              <w:rPr>
                <w:rFonts w:eastAsia="Times New Roman" w:cs="Times New Roman"/>
                <w:color w:val="000000"/>
                <w:szCs w:val="24"/>
                <w:lang w:val="en-US"/>
              </w:rPr>
              <w:t>Cash ratio</w:t>
            </w:r>
          </w:p>
        </w:tc>
        <w:tc>
          <w:tcPr>
            <w:tcW w:w="916" w:type="dxa"/>
            <w:noWrap/>
            <w:hideMark/>
          </w:tcPr>
          <w:p w14:paraId="6BACB2FC"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0.14</w:t>
            </w:r>
          </w:p>
        </w:tc>
        <w:tc>
          <w:tcPr>
            <w:tcW w:w="1051" w:type="dxa"/>
            <w:noWrap/>
            <w:hideMark/>
          </w:tcPr>
          <w:p w14:paraId="5B5B7098"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0.16</w:t>
            </w:r>
          </w:p>
        </w:tc>
        <w:tc>
          <w:tcPr>
            <w:tcW w:w="1248" w:type="dxa"/>
            <w:noWrap/>
            <w:hideMark/>
          </w:tcPr>
          <w:p w14:paraId="5DFB6B95"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0.32</w:t>
            </w:r>
          </w:p>
        </w:tc>
        <w:tc>
          <w:tcPr>
            <w:tcW w:w="801" w:type="dxa"/>
            <w:noWrap/>
            <w:hideMark/>
          </w:tcPr>
          <w:p w14:paraId="115B1058"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0.45</w:t>
            </w:r>
          </w:p>
        </w:tc>
        <w:tc>
          <w:tcPr>
            <w:tcW w:w="1460" w:type="dxa"/>
            <w:noWrap/>
            <w:hideMark/>
          </w:tcPr>
          <w:p w14:paraId="6D8EB1F2"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0.28</w:t>
            </w:r>
          </w:p>
        </w:tc>
        <w:tc>
          <w:tcPr>
            <w:tcW w:w="1234" w:type="dxa"/>
            <w:noWrap/>
            <w:hideMark/>
          </w:tcPr>
          <w:p w14:paraId="164D70AD"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1.55</w:t>
            </w:r>
          </w:p>
        </w:tc>
        <w:tc>
          <w:tcPr>
            <w:tcW w:w="1025" w:type="dxa"/>
            <w:noWrap/>
            <w:hideMark/>
          </w:tcPr>
          <w:p w14:paraId="33E855B8"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0.48</w:t>
            </w:r>
          </w:p>
        </w:tc>
      </w:tr>
      <w:tr w:rsidR="00304AE7" w14:paraId="77D2C58A" w14:textId="77777777" w:rsidTr="00246195">
        <w:trPr>
          <w:trHeight w:val="318"/>
        </w:trPr>
        <w:tc>
          <w:tcPr>
            <w:tcW w:w="2499" w:type="dxa"/>
            <w:noWrap/>
            <w:hideMark/>
          </w:tcPr>
          <w:p w14:paraId="2B43AD2C" w14:textId="77777777" w:rsidR="00C51649" w:rsidRPr="00C51649" w:rsidRDefault="00313C6B" w:rsidP="00C51649">
            <w:pPr>
              <w:jc w:val="left"/>
              <w:rPr>
                <w:rFonts w:eastAsia="Times New Roman" w:cs="Times New Roman"/>
                <w:color w:val="000000"/>
                <w:szCs w:val="24"/>
                <w:lang w:val="en-US"/>
              </w:rPr>
            </w:pPr>
            <w:r w:rsidRPr="00C51649">
              <w:rPr>
                <w:rFonts w:eastAsia="Times New Roman" w:cs="Times New Roman"/>
                <w:color w:val="000000"/>
                <w:szCs w:val="24"/>
                <w:lang w:val="en-US"/>
              </w:rPr>
              <w:t>Debt-equity ratio</w:t>
            </w:r>
          </w:p>
        </w:tc>
        <w:tc>
          <w:tcPr>
            <w:tcW w:w="916" w:type="dxa"/>
            <w:noWrap/>
            <w:hideMark/>
          </w:tcPr>
          <w:p w14:paraId="5E5733E5"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4.88</w:t>
            </w:r>
          </w:p>
        </w:tc>
        <w:tc>
          <w:tcPr>
            <w:tcW w:w="1051" w:type="dxa"/>
            <w:noWrap/>
            <w:hideMark/>
          </w:tcPr>
          <w:p w14:paraId="526EB9E6"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1.66</w:t>
            </w:r>
          </w:p>
        </w:tc>
        <w:tc>
          <w:tcPr>
            <w:tcW w:w="1248" w:type="dxa"/>
            <w:noWrap/>
            <w:hideMark/>
          </w:tcPr>
          <w:p w14:paraId="7CDE80FF"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0.95</w:t>
            </w:r>
          </w:p>
        </w:tc>
        <w:tc>
          <w:tcPr>
            <w:tcW w:w="801" w:type="dxa"/>
            <w:noWrap/>
            <w:hideMark/>
          </w:tcPr>
          <w:p w14:paraId="7F07ABAC"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0.63</w:t>
            </w:r>
          </w:p>
        </w:tc>
        <w:tc>
          <w:tcPr>
            <w:tcW w:w="1460" w:type="dxa"/>
            <w:noWrap/>
            <w:hideMark/>
          </w:tcPr>
          <w:p w14:paraId="6451DB32"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1.07</w:t>
            </w:r>
          </w:p>
        </w:tc>
        <w:tc>
          <w:tcPr>
            <w:tcW w:w="1234" w:type="dxa"/>
            <w:noWrap/>
            <w:hideMark/>
          </w:tcPr>
          <w:p w14:paraId="3352F4CA"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0.32</w:t>
            </w:r>
          </w:p>
        </w:tc>
        <w:tc>
          <w:tcPr>
            <w:tcW w:w="1025" w:type="dxa"/>
            <w:noWrap/>
            <w:hideMark/>
          </w:tcPr>
          <w:p w14:paraId="1085CB3E"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1.59</w:t>
            </w:r>
          </w:p>
        </w:tc>
      </w:tr>
      <w:tr w:rsidR="00304AE7" w14:paraId="22326C07" w14:textId="77777777" w:rsidTr="00246195">
        <w:trPr>
          <w:trHeight w:val="318"/>
        </w:trPr>
        <w:tc>
          <w:tcPr>
            <w:tcW w:w="2499" w:type="dxa"/>
            <w:noWrap/>
            <w:hideMark/>
          </w:tcPr>
          <w:p w14:paraId="6BF12BED" w14:textId="77777777" w:rsidR="00C51649" w:rsidRPr="00C51649" w:rsidRDefault="00313C6B" w:rsidP="00C51649">
            <w:pPr>
              <w:jc w:val="left"/>
              <w:rPr>
                <w:rFonts w:eastAsia="Times New Roman" w:cs="Times New Roman"/>
                <w:color w:val="000000"/>
                <w:szCs w:val="24"/>
                <w:lang w:val="en-US"/>
              </w:rPr>
            </w:pPr>
            <w:r w:rsidRPr="00C51649">
              <w:rPr>
                <w:rFonts w:eastAsia="Times New Roman" w:cs="Times New Roman"/>
                <w:color w:val="000000"/>
                <w:szCs w:val="24"/>
                <w:lang w:val="en-US"/>
              </w:rPr>
              <w:t>Equity ratio</w:t>
            </w:r>
          </w:p>
        </w:tc>
        <w:tc>
          <w:tcPr>
            <w:tcW w:w="916" w:type="dxa"/>
            <w:noWrap/>
            <w:hideMark/>
          </w:tcPr>
          <w:p w14:paraId="1E2F1969"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0.06</w:t>
            </w:r>
          </w:p>
        </w:tc>
        <w:tc>
          <w:tcPr>
            <w:tcW w:w="1051" w:type="dxa"/>
            <w:noWrap/>
            <w:hideMark/>
          </w:tcPr>
          <w:p w14:paraId="0FEEA3CB"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0.24</w:t>
            </w:r>
          </w:p>
        </w:tc>
        <w:tc>
          <w:tcPr>
            <w:tcW w:w="1248" w:type="dxa"/>
            <w:noWrap/>
            <w:hideMark/>
          </w:tcPr>
          <w:p w14:paraId="510E63A2"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0.37</w:t>
            </w:r>
          </w:p>
        </w:tc>
        <w:tc>
          <w:tcPr>
            <w:tcW w:w="801" w:type="dxa"/>
            <w:noWrap/>
            <w:hideMark/>
          </w:tcPr>
          <w:p w14:paraId="3011233B"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0.36</w:t>
            </w:r>
          </w:p>
        </w:tc>
        <w:tc>
          <w:tcPr>
            <w:tcW w:w="1460" w:type="dxa"/>
            <w:noWrap/>
            <w:hideMark/>
          </w:tcPr>
          <w:p w14:paraId="1C815F0F"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0.26</w:t>
            </w:r>
          </w:p>
        </w:tc>
        <w:tc>
          <w:tcPr>
            <w:tcW w:w="1234" w:type="dxa"/>
            <w:noWrap/>
            <w:hideMark/>
          </w:tcPr>
          <w:p w14:paraId="2A288703"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0.65</w:t>
            </w:r>
          </w:p>
        </w:tc>
        <w:tc>
          <w:tcPr>
            <w:tcW w:w="1025" w:type="dxa"/>
            <w:noWrap/>
            <w:hideMark/>
          </w:tcPr>
          <w:p w14:paraId="6FD03948"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0.32</w:t>
            </w:r>
          </w:p>
        </w:tc>
      </w:tr>
      <w:tr w:rsidR="00304AE7" w14:paraId="4E7E4804" w14:textId="77777777" w:rsidTr="00246195">
        <w:trPr>
          <w:trHeight w:val="318"/>
        </w:trPr>
        <w:tc>
          <w:tcPr>
            <w:tcW w:w="2499" w:type="dxa"/>
            <w:noWrap/>
            <w:hideMark/>
          </w:tcPr>
          <w:p w14:paraId="03671F8A" w14:textId="77777777" w:rsidR="00C51649" w:rsidRPr="00C51649" w:rsidRDefault="00313C6B" w:rsidP="00C51649">
            <w:pPr>
              <w:jc w:val="left"/>
              <w:rPr>
                <w:rFonts w:eastAsia="Times New Roman" w:cs="Times New Roman"/>
                <w:color w:val="000000"/>
                <w:szCs w:val="24"/>
                <w:lang w:val="en-US"/>
              </w:rPr>
            </w:pPr>
            <w:r w:rsidRPr="00C51649">
              <w:rPr>
                <w:rFonts w:eastAsia="Times New Roman" w:cs="Times New Roman"/>
                <w:color w:val="000000"/>
                <w:szCs w:val="24"/>
                <w:lang w:val="en-US"/>
              </w:rPr>
              <w:t>Debt ratio</w:t>
            </w:r>
          </w:p>
        </w:tc>
        <w:tc>
          <w:tcPr>
            <w:tcW w:w="916" w:type="dxa"/>
            <w:noWrap/>
            <w:hideMark/>
          </w:tcPr>
          <w:p w14:paraId="2631A031"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0.30</w:t>
            </w:r>
          </w:p>
        </w:tc>
        <w:tc>
          <w:tcPr>
            <w:tcW w:w="1051" w:type="dxa"/>
            <w:noWrap/>
            <w:hideMark/>
          </w:tcPr>
          <w:p w14:paraId="58DB2DF9"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0.40</w:t>
            </w:r>
          </w:p>
        </w:tc>
        <w:tc>
          <w:tcPr>
            <w:tcW w:w="1248" w:type="dxa"/>
            <w:noWrap/>
            <w:hideMark/>
          </w:tcPr>
          <w:p w14:paraId="6B7F8FCF"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0.35</w:t>
            </w:r>
          </w:p>
        </w:tc>
        <w:tc>
          <w:tcPr>
            <w:tcW w:w="801" w:type="dxa"/>
            <w:noWrap/>
            <w:hideMark/>
          </w:tcPr>
          <w:p w14:paraId="17BCD6B0"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0.23</w:t>
            </w:r>
          </w:p>
        </w:tc>
        <w:tc>
          <w:tcPr>
            <w:tcW w:w="1460" w:type="dxa"/>
            <w:noWrap/>
            <w:hideMark/>
          </w:tcPr>
          <w:p w14:paraId="4284D35D"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0.28</w:t>
            </w:r>
          </w:p>
        </w:tc>
        <w:tc>
          <w:tcPr>
            <w:tcW w:w="1234" w:type="dxa"/>
            <w:noWrap/>
            <w:hideMark/>
          </w:tcPr>
          <w:p w14:paraId="7CAD5DD0"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0.21</w:t>
            </w:r>
          </w:p>
        </w:tc>
        <w:tc>
          <w:tcPr>
            <w:tcW w:w="1025" w:type="dxa"/>
            <w:noWrap/>
            <w:hideMark/>
          </w:tcPr>
          <w:p w14:paraId="21F4FC43"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0.30</w:t>
            </w:r>
          </w:p>
        </w:tc>
      </w:tr>
      <w:tr w:rsidR="00304AE7" w14:paraId="32BC4C51" w14:textId="77777777" w:rsidTr="00246195">
        <w:trPr>
          <w:trHeight w:val="318"/>
        </w:trPr>
        <w:tc>
          <w:tcPr>
            <w:tcW w:w="2499" w:type="dxa"/>
            <w:noWrap/>
            <w:hideMark/>
          </w:tcPr>
          <w:p w14:paraId="5D9DABB3" w14:textId="77777777" w:rsidR="00C51649" w:rsidRPr="00C51649" w:rsidRDefault="00313C6B" w:rsidP="00C51649">
            <w:pPr>
              <w:jc w:val="left"/>
              <w:rPr>
                <w:rFonts w:eastAsia="Times New Roman" w:cs="Times New Roman"/>
                <w:color w:val="000000"/>
                <w:szCs w:val="24"/>
                <w:lang w:val="en-US"/>
              </w:rPr>
            </w:pPr>
            <w:r w:rsidRPr="00094DC0">
              <w:rPr>
                <w:rFonts w:eastAsia="Times New Roman" w:cs="Times New Roman"/>
                <w:color w:val="000000"/>
                <w:szCs w:val="24"/>
                <w:lang w:val="en-US"/>
              </w:rPr>
              <w:t>Inventory turnover ratio</w:t>
            </w:r>
          </w:p>
        </w:tc>
        <w:tc>
          <w:tcPr>
            <w:tcW w:w="916" w:type="dxa"/>
            <w:noWrap/>
            <w:hideMark/>
          </w:tcPr>
          <w:p w14:paraId="04D0E199"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1.86</w:t>
            </w:r>
          </w:p>
        </w:tc>
        <w:tc>
          <w:tcPr>
            <w:tcW w:w="1051" w:type="dxa"/>
            <w:noWrap/>
            <w:hideMark/>
          </w:tcPr>
          <w:p w14:paraId="5C6B6FD0"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1.86</w:t>
            </w:r>
          </w:p>
        </w:tc>
        <w:tc>
          <w:tcPr>
            <w:tcW w:w="1248" w:type="dxa"/>
            <w:noWrap/>
            <w:hideMark/>
          </w:tcPr>
          <w:p w14:paraId="20AD7879"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3.89</w:t>
            </w:r>
          </w:p>
        </w:tc>
        <w:tc>
          <w:tcPr>
            <w:tcW w:w="801" w:type="dxa"/>
            <w:noWrap/>
            <w:hideMark/>
          </w:tcPr>
          <w:p w14:paraId="39F381BD"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12.11</w:t>
            </w:r>
          </w:p>
        </w:tc>
        <w:tc>
          <w:tcPr>
            <w:tcW w:w="1460" w:type="dxa"/>
            <w:noWrap/>
            <w:hideMark/>
          </w:tcPr>
          <w:p w14:paraId="4DC509F3"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2.01</w:t>
            </w:r>
          </w:p>
        </w:tc>
        <w:tc>
          <w:tcPr>
            <w:tcW w:w="1234" w:type="dxa"/>
            <w:noWrap/>
            <w:hideMark/>
          </w:tcPr>
          <w:p w14:paraId="1B1B8466"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1.35</w:t>
            </w:r>
          </w:p>
        </w:tc>
        <w:tc>
          <w:tcPr>
            <w:tcW w:w="1025" w:type="dxa"/>
            <w:noWrap/>
            <w:hideMark/>
          </w:tcPr>
          <w:p w14:paraId="09B2FDB9"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3.85</w:t>
            </w:r>
          </w:p>
        </w:tc>
      </w:tr>
      <w:tr w:rsidR="00304AE7" w14:paraId="2D663BB3" w14:textId="77777777" w:rsidTr="00246195">
        <w:trPr>
          <w:trHeight w:val="318"/>
        </w:trPr>
        <w:tc>
          <w:tcPr>
            <w:tcW w:w="2499" w:type="dxa"/>
            <w:noWrap/>
            <w:hideMark/>
          </w:tcPr>
          <w:p w14:paraId="7CC89C69" w14:textId="77777777" w:rsidR="00C51649" w:rsidRPr="00C51649" w:rsidRDefault="00313C6B" w:rsidP="00C51649">
            <w:pPr>
              <w:jc w:val="left"/>
              <w:rPr>
                <w:rFonts w:eastAsia="Times New Roman" w:cs="Times New Roman"/>
                <w:color w:val="000000"/>
                <w:szCs w:val="24"/>
                <w:lang w:val="en-US"/>
              </w:rPr>
            </w:pPr>
            <w:r w:rsidRPr="00C51649">
              <w:rPr>
                <w:rFonts w:eastAsia="Times New Roman" w:cs="Times New Roman"/>
                <w:color w:val="000000"/>
                <w:szCs w:val="24"/>
                <w:lang w:val="en-US"/>
              </w:rPr>
              <w:t>Asset turnover ratio</w:t>
            </w:r>
          </w:p>
        </w:tc>
        <w:tc>
          <w:tcPr>
            <w:tcW w:w="916" w:type="dxa"/>
            <w:noWrap/>
            <w:hideMark/>
          </w:tcPr>
          <w:p w14:paraId="372551F2"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0.54</w:t>
            </w:r>
          </w:p>
        </w:tc>
        <w:tc>
          <w:tcPr>
            <w:tcW w:w="1051" w:type="dxa"/>
            <w:noWrap/>
            <w:hideMark/>
          </w:tcPr>
          <w:p w14:paraId="2DC576AC"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0.54</w:t>
            </w:r>
          </w:p>
        </w:tc>
        <w:tc>
          <w:tcPr>
            <w:tcW w:w="1248" w:type="dxa"/>
            <w:noWrap/>
            <w:hideMark/>
          </w:tcPr>
          <w:p w14:paraId="0B668273"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0.31</w:t>
            </w:r>
          </w:p>
        </w:tc>
        <w:tc>
          <w:tcPr>
            <w:tcW w:w="801" w:type="dxa"/>
            <w:noWrap/>
            <w:hideMark/>
          </w:tcPr>
          <w:p w14:paraId="76A720B5"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0.91</w:t>
            </w:r>
          </w:p>
        </w:tc>
        <w:tc>
          <w:tcPr>
            <w:tcW w:w="1460" w:type="dxa"/>
            <w:noWrap/>
            <w:hideMark/>
          </w:tcPr>
          <w:p w14:paraId="049EC308"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0.37</w:t>
            </w:r>
          </w:p>
        </w:tc>
        <w:tc>
          <w:tcPr>
            <w:tcW w:w="1234" w:type="dxa"/>
            <w:noWrap/>
            <w:hideMark/>
          </w:tcPr>
          <w:p w14:paraId="59ACC65F"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0.26</w:t>
            </w:r>
          </w:p>
        </w:tc>
        <w:tc>
          <w:tcPr>
            <w:tcW w:w="1025" w:type="dxa"/>
            <w:noWrap/>
            <w:hideMark/>
          </w:tcPr>
          <w:p w14:paraId="54431AC1" w14:textId="77777777" w:rsidR="00C51649" w:rsidRPr="00C51649" w:rsidRDefault="00313C6B" w:rsidP="00C51649">
            <w:pPr>
              <w:jc w:val="right"/>
              <w:rPr>
                <w:rFonts w:eastAsia="Times New Roman" w:cs="Times New Roman"/>
                <w:color w:val="000000"/>
                <w:szCs w:val="24"/>
                <w:lang w:val="en-US"/>
              </w:rPr>
            </w:pPr>
            <w:r w:rsidRPr="00C51649">
              <w:rPr>
                <w:rFonts w:eastAsia="Times New Roman" w:cs="Times New Roman"/>
                <w:color w:val="000000"/>
                <w:szCs w:val="24"/>
                <w:lang w:val="en-US"/>
              </w:rPr>
              <w:t>0.49</w:t>
            </w:r>
          </w:p>
        </w:tc>
      </w:tr>
    </w:tbl>
    <w:p w14:paraId="460D16D9" w14:textId="77777777" w:rsidR="00895262" w:rsidRDefault="00895262" w:rsidP="00FB5261">
      <w:pPr>
        <w:spacing w:line="360" w:lineRule="auto"/>
        <w:rPr>
          <w:rFonts w:cs="Times New Roman"/>
          <w:szCs w:val="24"/>
        </w:rPr>
      </w:pPr>
    </w:p>
    <w:p w14:paraId="7F324DFB" w14:textId="77777777" w:rsidR="00C51649" w:rsidRDefault="00313C6B" w:rsidP="00FB5261">
      <w:pPr>
        <w:spacing w:line="360" w:lineRule="auto"/>
        <w:rPr>
          <w:rFonts w:cs="Times New Roman"/>
          <w:szCs w:val="24"/>
        </w:rPr>
      </w:pPr>
      <w:r>
        <w:rPr>
          <w:rFonts w:cs="Times New Roman"/>
          <w:szCs w:val="24"/>
        </w:rPr>
        <w:t xml:space="preserve">In 2017, GSK had </w:t>
      </w:r>
      <w:r w:rsidR="00A862ED">
        <w:rPr>
          <w:rFonts w:cs="Times New Roman"/>
          <w:szCs w:val="24"/>
        </w:rPr>
        <w:t xml:space="preserve">an </w:t>
      </w:r>
      <w:r>
        <w:rPr>
          <w:rFonts w:cs="Times New Roman"/>
          <w:szCs w:val="24"/>
        </w:rPr>
        <w:t xml:space="preserve">above-average gross profit margin. But as it used most of its revenue in operating </w:t>
      </w:r>
      <w:r>
        <w:rPr>
          <w:rFonts w:cs="Times New Roman"/>
          <w:szCs w:val="24"/>
        </w:rPr>
        <w:t>expenses, it could generate a below</w:t>
      </w:r>
      <w:r w:rsidR="00A862ED">
        <w:rPr>
          <w:rFonts w:cs="Times New Roman"/>
          <w:szCs w:val="24"/>
        </w:rPr>
        <w:t>-</w:t>
      </w:r>
      <w:r>
        <w:rPr>
          <w:rFonts w:cs="Times New Roman"/>
          <w:szCs w:val="24"/>
        </w:rPr>
        <w:t xml:space="preserve">average net profit margin that year. It is quite vivid that the ROE of GSK in that year surpassed the average ROE by a great extent. </w:t>
      </w:r>
      <w:r w:rsidR="004E360D">
        <w:rPr>
          <w:rFonts w:cs="Times New Roman"/>
          <w:szCs w:val="24"/>
        </w:rPr>
        <w:t>On the other hand, the ROA of GSK couldn’t touch the average ratio.</w:t>
      </w:r>
    </w:p>
    <w:p w14:paraId="47E69D81" w14:textId="77777777" w:rsidR="004E360D" w:rsidRDefault="00313C6B" w:rsidP="00FB5261">
      <w:pPr>
        <w:spacing w:line="360" w:lineRule="auto"/>
        <w:rPr>
          <w:rFonts w:cs="Times New Roman"/>
          <w:szCs w:val="24"/>
        </w:rPr>
      </w:pPr>
      <w:r>
        <w:rPr>
          <w:rFonts w:cs="Times New Roman"/>
          <w:szCs w:val="24"/>
        </w:rPr>
        <w:t xml:space="preserve">In </w:t>
      </w:r>
      <w:r w:rsidR="00A862ED">
        <w:rPr>
          <w:rFonts w:cs="Times New Roman"/>
          <w:szCs w:val="24"/>
        </w:rPr>
        <w:t xml:space="preserve">the </w:t>
      </w:r>
      <w:r>
        <w:rPr>
          <w:rFonts w:cs="Times New Roman"/>
          <w:szCs w:val="24"/>
        </w:rPr>
        <w:t>case of liqu</w:t>
      </w:r>
      <w:r>
        <w:rPr>
          <w:rFonts w:cs="Times New Roman"/>
          <w:szCs w:val="24"/>
        </w:rPr>
        <w:t xml:space="preserve">idity, GSK could not even touch the average ratios. All the ratios are below the average, implying that the liquidity condition of GSK is not satisfactory at all. </w:t>
      </w:r>
    </w:p>
    <w:p w14:paraId="7535397F" w14:textId="77777777" w:rsidR="00BD4160" w:rsidRDefault="00313C6B" w:rsidP="00FB5261">
      <w:pPr>
        <w:spacing w:line="360" w:lineRule="auto"/>
        <w:rPr>
          <w:rFonts w:cs="Times New Roman"/>
          <w:szCs w:val="24"/>
        </w:rPr>
      </w:pPr>
      <w:r>
        <w:rPr>
          <w:rFonts w:cs="Times New Roman"/>
          <w:szCs w:val="24"/>
        </w:rPr>
        <w:t>The debt-to-equity ratio of GSK in 2017 surpasses the average rate by a great extent. At the</w:t>
      </w:r>
      <w:r>
        <w:rPr>
          <w:rFonts w:cs="Times New Roman"/>
          <w:szCs w:val="24"/>
        </w:rPr>
        <w:t xml:space="preserve"> same time, the difference between equity and asset was nearly equal. </w:t>
      </w:r>
    </w:p>
    <w:p w14:paraId="15EBC2F6" w14:textId="77777777" w:rsidR="00094DC0" w:rsidRDefault="00313C6B" w:rsidP="00FB5261">
      <w:pPr>
        <w:spacing w:line="360" w:lineRule="auto"/>
        <w:rPr>
          <w:rFonts w:cs="Times New Roman"/>
          <w:szCs w:val="24"/>
        </w:rPr>
      </w:pPr>
      <w:r>
        <w:rPr>
          <w:rFonts w:cs="Times New Roman"/>
          <w:szCs w:val="24"/>
        </w:rPr>
        <w:lastRenderedPageBreak/>
        <w:t>The inventory turnover ratio and the asset turnover ratio of GSK in 2017 w</w:t>
      </w:r>
      <w:r w:rsidR="00A862ED">
        <w:rPr>
          <w:rFonts w:cs="Times New Roman"/>
          <w:szCs w:val="24"/>
        </w:rPr>
        <w:t>ere</w:t>
      </w:r>
      <w:r>
        <w:rPr>
          <w:rFonts w:cs="Times New Roman"/>
          <w:szCs w:val="24"/>
        </w:rPr>
        <w:t xml:space="preserve"> 1.86 and 0.54, respectively. </w:t>
      </w:r>
      <w:r w:rsidR="00F0577E">
        <w:rPr>
          <w:rFonts w:cs="Times New Roman"/>
          <w:szCs w:val="24"/>
        </w:rPr>
        <w:t>The inventory turnover ratio is far below the average ratio, where GSK could manage to use its assets properly to exceed the average asset turnover ratio.</w:t>
      </w:r>
    </w:p>
    <w:p w14:paraId="10A31ABB" w14:textId="77777777" w:rsidR="00094DC0" w:rsidRDefault="00094DC0" w:rsidP="00FB5261">
      <w:pPr>
        <w:spacing w:line="360" w:lineRule="auto"/>
        <w:rPr>
          <w:rFonts w:cs="Times New Roman"/>
          <w:szCs w:val="24"/>
        </w:rPr>
      </w:pPr>
    </w:p>
    <w:p w14:paraId="5C4536B9" w14:textId="77777777" w:rsidR="00895262" w:rsidRPr="00246195" w:rsidRDefault="00313C6B" w:rsidP="00FB5261">
      <w:pPr>
        <w:spacing w:line="360" w:lineRule="auto"/>
        <w:rPr>
          <w:rFonts w:cs="Times New Roman"/>
          <w:b/>
          <w:bCs/>
          <w:szCs w:val="24"/>
        </w:rPr>
      </w:pPr>
      <w:r w:rsidRPr="00246195">
        <w:rPr>
          <w:rFonts w:cs="Times New Roman"/>
          <w:b/>
          <w:bCs/>
          <w:szCs w:val="24"/>
        </w:rPr>
        <w:t>2018</w:t>
      </w:r>
    </w:p>
    <w:tbl>
      <w:tblPr>
        <w:tblStyle w:val="TableGrid"/>
        <w:tblW w:w="10216" w:type="dxa"/>
        <w:tblLook w:val="04A0" w:firstRow="1" w:lastRow="0" w:firstColumn="1" w:lastColumn="0" w:noHBand="0" w:noVBand="1"/>
      </w:tblPr>
      <w:tblGrid>
        <w:gridCol w:w="2061"/>
        <w:gridCol w:w="1076"/>
        <w:gridCol w:w="1096"/>
        <w:gridCol w:w="1420"/>
        <w:gridCol w:w="836"/>
        <w:gridCol w:w="1523"/>
        <w:gridCol w:w="1402"/>
        <w:gridCol w:w="1069"/>
      </w:tblGrid>
      <w:tr w:rsidR="00304AE7" w14:paraId="41937ABC" w14:textId="77777777" w:rsidTr="00246195">
        <w:trPr>
          <w:trHeight w:val="307"/>
        </w:trPr>
        <w:tc>
          <w:tcPr>
            <w:tcW w:w="2061" w:type="dxa"/>
            <w:noWrap/>
            <w:hideMark/>
          </w:tcPr>
          <w:p w14:paraId="66513949" w14:textId="77777777" w:rsidR="00CF7E4D" w:rsidRPr="00246195" w:rsidRDefault="00CF7E4D" w:rsidP="00CF7E4D">
            <w:pPr>
              <w:jc w:val="left"/>
              <w:rPr>
                <w:rFonts w:eastAsia="Times New Roman" w:cs="Times New Roman"/>
                <w:b/>
                <w:bCs/>
                <w:szCs w:val="24"/>
                <w:lang w:val="en-US"/>
              </w:rPr>
            </w:pPr>
          </w:p>
        </w:tc>
        <w:tc>
          <w:tcPr>
            <w:tcW w:w="1017" w:type="dxa"/>
            <w:noWrap/>
            <w:hideMark/>
          </w:tcPr>
          <w:p w14:paraId="550F9CCE" w14:textId="77777777" w:rsidR="00CF7E4D" w:rsidRPr="00246195" w:rsidRDefault="00313C6B" w:rsidP="00CF7E4D">
            <w:pPr>
              <w:jc w:val="left"/>
              <w:rPr>
                <w:rFonts w:eastAsia="Times New Roman" w:cs="Times New Roman"/>
                <w:b/>
                <w:bCs/>
                <w:color w:val="000000"/>
                <w:szCs w:val="24"/>
                <w:lang w:val="en-US"/>
              </w:rPr>
            </w:pPr>
            <w:r w:rsidRPr="00246195">
              <w:rPr>
                <w:rFonts w:eastAsia="Times New Roman" w:cs="Times New Roman"/>
                <w:b/>
                <w:bCs/>
                <w:color w:val="000000"/>
                <w:szCs w:val="24"/>
                <w:lang w:val="en-US"/>
              </w:rPr>
              <w:t>GSK</w:t>
            </w:r>
          </w:p>
        </w:tc>
        <w:tc>
          <w:tcPr>
            <w:tcW w:w="1036" w:type="dxa"/>
            <w:noWrap/>
            <w:hideMark/>
          </w:tcPr>
          <w:p w14:paraId="52FF6B45" w14:textId="77777777" w:rsidR="00CF7E4D" w:rsidRPr="00246195" w:rsidRDefault="00313C6B" w:rsidP="00CF7E4D">
            <w:pPr>
              <w:jc w:val="left"/>
              <w:rPr>
                <w:rFonts w:eastAsia="Times New Roman" w:cs="Times New Roman"/>
                <w:b/>
                <w:bCs/>
                <w:color w:val="000000"/>
                <w:szCs w:val="24"/>
                <w:lang w:val="en-US"/>
              </w:rPr>
            </w:pPr>
            <w:r w:rsidRPr="00246195">
              <w:rPr>
                <w:rFonts w:eastAsia="Times New Roman" w:cs="Times New Roman"/>
                <w:b/>
                <w:bCs/>
                <w:color w:val="000000"/>
                <w:szCs w:val="24"/>
                <w:lang w:val="en-US"/>
              </w:rPr>
              <w:t>Unilever</w:t>
            </w:r>
          </w:p>
        </w:tc>
        <w:tc>
          <w:tcPr>
            <w:tcW w:w="1420" w:type="dxa"/>
            <w:noWrap/>
            <w:hideMark/>
          </w:tcPr>
          <w:p w14:paraId="2BC30724" w14:textId="77777777" w:rsidR="00CF7E4D" w:rsidRPr="00246195" w:rsidRDefault="00313C6B" w:rsidP="00CF7E4D">
            <w:pPr>
              <w:jc w:val="left"/>
              <w:rPr>
                <w:rFonts w:eastAsia="Times New Roman" w:cs="Times New Roman"/>
                <w:b/>
                <w:bCs/>
                <w:color w:val="000000"/>
                <w:szCs w:val="24"/>
                <w:lang w:val="en-US"/>
              </w:rPr>
            </w:pPr>
            <w:r w:rsidRPr="00246195">
              <w:rPr>
                <w:rFonts w:eastAsia="Times New Roman" w:cs="Times New Roman"/>
                <w:b/>
                <w:bCs/>
                <w:color w:val="000000"/>
                <w:szCs w:val="24"/>
                <w:lang w:val="en-US"/>
              </w:rPr>
              <w:t>Reckitt Benckiser</w:t>
            </w:r>
          </w:p>
        </w:tc>
        <w:tc>
          <w:tcPr>
            <w:tcW w:w="830" w:type="dxa"/>
            <w:noWrap/>
            <w:hideMark/>
          </w:tcPr>
          <w:p w14:paraId="73F5B815" w14:textId="77777777" w:rsidR="00CF7E4D" w:rsidRPr="00246195" w:rsidRDefault="00313C6B" w:rsidP="00CF7E4D">
            <w:pPr>
              <w:jc w:val="left"/>
              <w:rPr>
                <w:rFonts w:eastAsia="Times New Roman" w:cs="Times New Roman"/>
                <w:b/>
                <w:bCs/>
                <w:color w:val="000000"/>
                <w:szCs w:val="24"/>
                <w:lang w:val="en-US"/>
              </w:rPr>
            </w:pPr>
            <w:r w:rsidRPr="00246195">
              <w:rPr>
                <w:rFonts w:eastAsia="Times New Roman" w:cs="Times New Roman"/>
                <w:b/>
                <w:bCs/>
                <w:color w:val="000000"/>
                <w:szCs w:val="24"/>
                <w:lang w:val="en-US"/>
              </w:rPr>
              <w:t>B.P.</w:t>
            </w:r>
          </w:p>
        </w:tc>
        <w:tc>
          <w:tcPr>
            <w:tcW w:w="1440" w:type="dxa"/>
            <w:noWrap/>
            <w:hideMark/>
          </w:tcPr>
          <w:p w14:paraId="34A3ECD3" w14:textId="77777777" w:rsidR="00CF7E4D" w:rsidRPr="00246195" w:rsidRDefault="00313C6B" w:rsidP="00CF7E4D">
            <w:pPr>
              <w:jc w:val="left"/>
              <w:rPr>
                <w:rFonts w:eastAsia="Times New Roman" w:cs="Times New Roman"/>
                <w:b/>
                <w:bCs/>
                <w:color w:val="000000"/>
                <w:szCs w:val="24"/>
                <w:lang w:val="en-US"/>
              </w:rPr>
            </w:pPr>
            <w:r w:rsidRPr="00246195">
              <w:rPr>
                <w:rFonts w:eastAsia="Times New Roman" w:cs="Times New Roman"/>
                <w:b/>
                <w:bCs/>
                <w:color w:val="000000"/>
                <w:szCs w:val="24"/>
                <w:lang w:val="en-US"/>
              </w:rPr>
              <w:t>AstraZeneca</w:t>
            </w:r>
          </w:p>
        </w:tc>
        <w:tc>
          <w:tcPr>
            <w:tcW w:w="1402" w:type="dxa"/>
            <w:noWrap/>
            <w:hideMark/>
          </w:tcPr>
          <w:p w14:paraId="0FC12369" w14:textId="77777777" w:rsidR="00CF7E4D" w:rsidRPr="00246195" w:rsidRDefault="00313C6B" w:rsidP="00CF7E4D">
            <w:pPr>
              <w:jc w:val="left"/>
              <w:rPr>
                <w:rFonts w:eastAsia="Times New Roman" w:cs="Times New Roman"/>
                <w:b/>
                <w:bCs/>
                <w:color w:val="000000"/>
                <w:szCs w:val="24"/>
                <w:lang w:val="en-US"/>
              </w:rPr>
            </w:pPr>
            <w:r w:rsidRPr="00246195">
              <w:rPr>
                <w:rFonts w:eastAsia="Times New Roman" w:cs="Times New Roman"/>
                <w:b/>
                <w:bCs/>
                <w:color w:val="000000"/>
                <w:szCs w:val="24"/>
                <w:lang w:val="en-US"/>
              </w:rPr>
              <w:t>Alliance Pharma</w:t>
            </w:r>
          </w:p>
        </w:tc>
        <w:tc>
          <w:tcPr>
            <w:tcW w:w="1010" w:type="dxa"/>
            <w:noWrap/>
            <w:hideMark/>
          </w:tcPr>
          <w:p w14:paraId="7F7834EE" w14:textId="77777777" w:rsidR="00CF7E4D" w:rsidRPr="00246195" w:rsidRDefault="00313C6B" w:rsidP="00CF7E4D">
            <w:pPr>
              <w:jc w:val="left"/>
              <w:rPr>
                <w:rFonts w:eastAsia="Times New Roman" w:cs="Times New Roman"/>
                <w:b/>
                <w:bCs/>
                <w:color w:val="000000"/>
                <w:szCs w:val="24"/>
                <w:lang w:val="en-US"/>
              </w:rPr>
            </w:pPr>
            <w:r w:rsidRPr="00246195">
              <w:rPr>
                <w:rFonts w:eastAsia="Times New Roman" w:cs="Times New Roman"/>
                <w:b/>
                <w:bCs/>
                <w:color w:val="000000"/>
                <w:szCs w:val="24"/>
                <w:lang w:val="en-US"/>
              </w:rPr>
              <w:t>Average</w:t>
            </w:r>
          </w:p>
        </w:tc>
      </w:tr>
      <w:tr w:rsidR="00304AE7" w14:paraId="6FAF774C" w14:textId="77777777" w:rsidTr="00246195">
        <w:trPr>
          <w:trHeight w:val="307"/>
        </w:trPr>
        <w:tc>
          <w:tcPr>
            <w:tcW w:w="2061" w:type="dxa"/>
            <w:noWrap/>
            <w:hideMark/>
          </w:tcPr>
          <w:p w14:paraId="51D843E8" w14:textId="77777777" w:rsidR="00CF7E4D" w:rsidRPr="00CF7E4D" w:rsidRDefault="00313C6B" w:rsidP="00CF7E4D">
            <w:pPr>
              <w:jc w:val="left"/>
              <w:rPr>
                <w:rFonts w:eastAsia="Times New Roman" w:cs="Times New Roman"/>
                <w:color w:val="000000"/>
                <w:szCs w:val="24"/>
                <w:lang w:val="en-US"/>
              </w:rPr>
            </w:pPr>
            <w:r w:rsidRPr="00CF7E4D">
              <w:rPr>
                <w:rFonts w:eastAsia="Times New Roman" w:cs="Times New Roman"/>
                <w:color w:val="000000"/>
                <w:szCs w:val="24"/>
                <w:lang w:val="en-US"/>
              </w:rPr>
              <w:t>Gross profit margin</w:t>
            </w:r>
          </w:p>
        </w:tc>
        <w:tc>
          <w:tcPr>
            <w:tcW w:w="1017" w:type="dxa"/>
            <w:noWrap/>
            <w:hideMark/>
          </w:tcPr>
          <w:p w14:paraId="70B1EB4D"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67.00%</w:t>
            </w:r>
          </w:p>
        </w:tc>
        <w:tc>
          <w:tcPr>
            <w:tcW w:w="1036" w:type="dxa"/>
            <w:noWrap/>
            <w:hideMark/>
          </w:tcPr>
          <w:p w14:paraId="749CE8DF"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44.00%</w:t>
            </w:r>
          </w:p>
        </w:tc>
        <w:tc>
          <w:tcPr>
            <w:tcW w:w="1420" w:type="dxa"/>
            <w:noWrap/>
            <w:hideMark/>
          </w:tcPr>
          <w:p w14:paraId="429EB59D"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60.00%</w:t>
            </w:r>
          </w:p>
        </w:tc>
        <w:tc>
          <w:tcPr>
            <w:tcW w:w="830" w:type="dxa"/>
            <w:noWrap/>
            <w:hideMark/>
          </w:tcPr>
          <w:p w14:paraId="5DAA1296"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9.70%</w:t>
            </w:r>
          </w:p>
        </w:tc>
        <w:tc>
          <w:tcPr>
            <w:tcW w:w="1440" w:type="dxa"/>
            <w:noWrap/>
            <w:hideMark/>
          </w:tcPr>
          <w:p w14:paraId="6097FA6D"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71.78%</w:t>
            </w:r>
          </w:p>
        </w:tc>
        <w:tc>
          <w:tcPr>
            <w:tcW w:w="1402" w:type="dxa"/>
            <w:noWrap/>
            <w:hideMark/>
          </w:tcPr>
          <w:p w14:paraId="416F240E"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83.33%</w:t>
            </w:r>
          </w:p>
        </w:tc>
        <w:tc>
          <w:tcPr>
            <w:tcW w:w="1010" w:type="dxa"/>
            <w:noWrap/>
            <w:hideMark/>
          </w:tcPr>
          <w:p w14:paraId="5FC6FB9C"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55.97%</w:t>
            </w:r>
          </w:p>
        </w:tc>
      </w:tr>
      <w:tr w:rsidR="00304AE7" w14:paraId="0F65F2F7" w14:textId="77777777" w:rsidTr="00246195">
        <w:trPr>
          <w:trHeight w:val="307"/>
        </w:trPr>
        <w:tc>
          <w:tcPr>
            <w:tcW w:w="2061" w:type="dxa"/>
            <w:noWrap/>
            <w:hideMark/>
          </w:tcPr>
          <w:p w14:paraId="39808077" w14:textId="77777777" w:rsidR="00CF7E4D" w:rsidRPr="00CF7E4D" w:rsidRDefault="00313C6B" w:rsidP="00CF7E4D">
            <w:pPr>
              <w:jc w:val="left"/>
              <w:rPr>
                <w:rFonts w:eastAsia="Times New Roman" w:cs="Times New Roman"/>
                <w:color w:val="000000"/>
                <w:szCs w:val="24"/>
                <w:lang w:val="en-US"/>
              </w:rPr>
            </w:pPr>
            <w:r w:rsidRPr="00CF7E4D">
              <w:rPr>
                <w:rFonts w:eastAsia="Times New Roman" w:cs="Times New Roman"/>
                <w:color w:val="000000"/>
                <w:szCs w:val="24"/>
                <w:lang w:val="en-US"/>
              </w:rPr>
              <w:t>Net profit margin</w:t>
            </w:r>
          </w:p>
        </w:tc>
        <w:tc>
          <w:tcPr>
            <w:tcW w:w="1017" w:type="dxa"/>
            <w:noWrap/>
            <w:hideMark/>
          </w:tcPr>
          <w:p w14:paraId="11CD37C4"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13.00%</w:t>
            </w:r>
          </w:p>
        </w:tc>
        <w:tc>
          <w:tcPr>
            <w:tcW w:w="1036" w:type="dxa"/>
            <w:noWrap/>
            <w:hideMark/>
          </w:tcPr>
          <w:p w14:paraId="08E10836"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18.00%</w:t>
            </w:r>
          </w:p>
        </w:tc>
        <w:tc>
          <w:tcPr>
            <w:tcW w:w="1420" w:type="dxa"/>
            <w:noWrap/>
            <w:hideMark/>
          </w:tcPr>
          <w:p w14:paraId="3C04C753"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17.00%</w:t>
            </w:r>
          </w:p>
        </w:tc>
        <w:tc>
          <w:tcPr>
            <w:tcW w:w="830" w:type="dxa"/>
            <w:noWrap/>
            <w:hideMark/>
          </w:tcPr>
          <w:p w14:paraId="1E5F8E7A"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3.14%</w:t>
            </w:r>
          </w:p>
        </w:tc>
        <w:tc>
          <w:tcPr>
            <w:tcW w:w="1440" w:type="dxa"/>
            <w:noWrap/>
            <w:hideMark/>
          </w:tcPr>
          <w:p w14:paraId="52E99132"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9.75%</w:t>
            </w:r>
          </w:p>
        </w:tc>
        <w:tc>
          <w:tcPr>
            <w:tcW w:w="1402" w:type="dxa"/>
            <w:noWrap/>
            <w:hideMark/>
          </w:tcPr>
          <w:p w14:paraId="657411D0"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1.89%</w:t>
            </w:r>
          </w:p>
        </w:tc>
        <w:tc>
          <w:tcPr>
            <w:tcW w:w="1010" w:type="dxa"/>
            <w:noWrap/>
            <w:hideMark/>
          </w:tcPr>
          <w:p w14:paraId="30DC52EC"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10.46%</w:t>
            </w:r>
          </w:p>
        </w:tc>
      </w:tr>
      <w:tr w:rsidR="00304AE7" w14:paraId="6D35302D" w14:textId="77777777" w:rsidTr="00246195">
        <w:trPr>
          <w:trHeight w:val="307"/>
        </w:trPr>
        <w:tc>
          <w:tcPr>
            <w:tcW w:w="2061" w:type="dxa"/>
            <w:noWrap/>
            <w:hideMark/>
          </w:tcPr>
          <w:p w14:paraId="5526AF4B" w14:textId="77777777" w:rsidR="00CF7E4D" w:rsidRPr="00CF7E4D" w:rsidRDefault="00313C6B" w:rsidP="00CF7E4D">
            <w:pPr>
              <w:jc w:val="left"/>
              <w:rPr>
                <w:rFonts w:eastAsia="Times New Roman" w:cs="Times New Roman"/>
                <w:color w:val="000000"/>
                <w:szCs w:val="24"/>
                <w:lang w:val="en-US"/>
              </w:rPr>
            </w:pPr>
            <w:r w:rsidRPr="00CF7E4D">
              <w:rPr>
                <w:rFonts w:eastAsia="Times New Roman" w:cs="Times New Roman"/>
                <w:color w:val="000000"/>
                <w:szCs w:val="24"/>
                <w:lang w:val="en-US"/>
              </w:rPr>
              <w:t>ROE</w:t>
            </w:r>
          </w:p>
        </w:tc>
        <w:tc>
          <w:tcPr>
            <w:tcW w:w="1017" w:type="dxa"/>
            <w:noWrap/>
            <w:hideMark/>
          </w:tcPr>
          <w:p w14:paraId="481FA79D"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110.00%</w:t>
            </w:r>
          </w:p>
        </w:tc>
        <w:tc>
          <w:tcPr>
            <w:tcW w:w="1036" w:type="dxa"/>
            <w:noWrap/>
            <w:hideMark/>
          </w:tcPr>
          <w:p w14:paraId="016E03F0"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76.00%</w:t>
            </w:r>
          </w:p>
        </w:tc>
        <w:tc>
          <w:tcPr>
            <w:tcW w:w="1420" w:type="dxa"/>
            <w:noWrap/>
            <w:hideMark/>
          </w:tcPr>
          <w:p w14:paraId="7499AFC1"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15.00%</w:t>
            </w:r>
          </w:p>
        </w:tc>
        <w:tc>
          <w:tcPr>
            <w:tcW w:w="830" w:type="dxa"/>
            <w:noWrap/>
            <w:hideMark/>
          </w:tcPr>
          <w:p w14:paraId="46F86757"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8.83%</w:t>
            </w:r>
          </w:p>
        </w:tc>
        <w:tc>
          <w:tcPr>
            <w:tcW w:w="1440" w:type="dxa"/>
            <w:noWrap/>
            <w:hideMark/>
          </w:tcPr>
          <w:p w14:paraId="42A14D19"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14.65%</w:t>
            </w:r>
          </w:p>
        </w:tc>
        <w:tc>
          <w:tcPr>
            <w:tcW w:w="1402" w:type="dxa"/>
            <w:noWrap/>
            <w:hideMark/>
          </w:tcPr>
          <w:p w14:paraId="41177F6A"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85.00%</w:t>
            </w:r>
          </w:p>
        </w:tc>
        <w:tc>
          <w:tcPr>
            <w:tcW w:w="1010" w:type="dxa"/>
            <w:noWrap/>
            <w:hideMark/>
          </w:tcPr>
          <w:p w14:paraId="3D7FDC5A"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51.58%</w:t>
            </w:r>
          </w:p>
        </w:tc>
      </w:tr>
      <w:tr w:rsidR="00304AE7" w14:paraId="5DF92604" w14:textId="77777777" w:rsidTr="00246195">
        <w:trPr>
          <w:trHeight w:val="307"/>
        </w:trPr>
        <w:tc>
          <w:tcPr>
            <w:tcW w:w="2061" w:type="dxa"/>
            <w:noWrap/>
            <w:hideMark/>
          </w:tcPr>
          <w:p w14:paraId="2C861321" w14:textId="77777777" w:rsidR="00CF7E4D" w:rsidRPr="00CF7E4D" w:rsidRDefault="00313C6B" w:rsidP="00CF7E4D">
            <w:pPr>
              <w:jc w:val="left"/>
              <w:rPr>
                <w:rFonts w:eastAsia="Times New Roman" w:cs="Times New Roman"/>
                <w:color w:val="000000"/>
                <w:szCs w:val="24"/>
                <w:lang w:val="en-US"/>
              </w:rPr>
            </w:pPr>
            <w:r w:rsidRPr="00CF7E4D">
              <w:rPr>
                <w:rFonts w:eastAsia="Times New Roman" w:cs="Times New Roman"/>
                <w:color w:val="000000"/>
                <w:szCs w:val="24"/>
                <w:lang w:val="en-US"/>
              </w:rPr>
              <w:t>ROA</w:t>
            </w:r>
          </w:p>
        </w:tc>
        <w:tc>
          <w:tcPr>
            <w:tcW w:w="1017" w:type="dxa"/>
            <w:noWrap/>
            <w:hideMark/>
          </w:tcPr>
          <w:p w14:paraId="2E98984E"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7.00%</w:t>
            </w:r>
          </w:p>
        </w:tc>
        <w:tc>
          <w:tcPr>
            <w:tcW w:w="1036" w:type="dxa"/>
            <w:noWrap/>
            <w:hideMark/>
          </w:tcPr>
          <w:p w14:paraId="2F17AE78"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17.00%</w:t>
            </w:r>
          </w:p>
        </w:tc>
        <w:tc>
          <w:tcPr>
            <w:tcW w:w="1420" w:type="dxa"/>
            <w:noWrap/>
            <w:hideMark/>
          </w:tcPr>
          <w:p w14:paraId="3A8D0C08"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6.00%</w:t>
            </w:r>
          </w:p>
        </w:tc>
        <w:tc>
          <w:tcPr>
            <w:tcW w:w="830" w:type="dxa"/>
            <w:noWrap/>
            <w:hideMark/>
          </w:tcPr>
          <w:p w14:paraId="501371F6"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3.18%</w:t>
            </w:r>
          </w:p>
        </w:tc>
        <w:tc>
          <w:tcPr>
            <w:tcW w:w="1440" w:type="dxa"/>
            <w:noWrap/>
            <w:hideMark/>
          </w:tcPr>
          <w:p w14:paraId="1507C928"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3.39%</w:t>
            </w:r>
          </w:p>
        </w:tc>
        <w:tc>
          <w:tcPr>
            <w:tcW w:w="1402" w:type="dxa"/>
            <w:noWrap/>
            <w:hideMark/>
          </w:tcPr>
          <w:p w14:paraId="66BCAE63"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56.00%</w:t>
            </w:r>
          </w:p>
        </w:tc>
        <w:tc>
          <w:tcPr>
            <w:tcW w:w="1010" w:type="dxa"/>
            <w:noWrap/>
            <w:hideMark/>
          </w:tcPr>
          <w:p w14:paraId="6F7B0845"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15.43%</w:t>
            </w:r>
          </w:p>
        </w:tc>
      </w:tr>
      <w:tr w:rsidR="00304AE7" w14:paraId="16C820F5" w14:textId="77777777" w:rsidTr="00246195">
        <w:trPr>
          <w:trHeight w:val="307"/>
        </w:trPr>
        <w:tc>
          <w:tcPr>
            <w:tcW w:w="2061" w:type="dxa"/>
            <w:noWrap/>
            <w:hideMark/>
          </w:tcPr>
          <w:p w14:paraId="3A345779" w14:textId="77777777" w:rsidR="00CF7E4D" w:rsidRPr="00CF7E4D" w:rsidRDefault="00313C6B" w:rsidP="00CF7E4D">
            <w:pPr>
              <w:jc w:val="left"/>
              <w:rPr>
                <w:rFonts w:eastAsia="Times New Roman" w:cs="Times New Roman"/>
                <w:color w:val="000000"/>
                <w:szCs w:val="24"/>
                <w:lang w:val="en-US"/>
              </w:rPr>
            </w:pPr>
            <w:r w:rsidRPr="00CF7E4D">
              <w:rPr>
                <w:rFonts w:eastAsia="Times New Roman" w:cs="Times New Roman"/>
                <w:color w:val="000000"/>
                <w:szCs w:val="24"/>
                <w:lang w:val="en-US"/>
              </w:rPr>
              <w:t>Current ratio</w:t>
            </w:r>
          </w:p>
        </w:tc>
        <w:tc>
          <w:tcPr>
            <w:tcW w:w="1017" w:type="dxa"/>
            <w:noWrap/>
            <w:hideMark/>
          </w:tcPr>
          <w:p w14:paraId="050C85A4"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0.75</w:t>
            </w:r>
          </w:p>
        </w:tc>
        <w:tc>
          <w:tcPr>
            <w:tcW w:w="1036" w:type="dxa"/>
            <w:noWrap/>
            <w:hideMark/>
          </w:tcPr>
          <w:p w14:paraId="4C6F9F65"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0.76</w:t>
            </w:r>
          </w:p>
        </w:tc>
        <w:tc>
          <w:tcPr>
            <w:tcW w:w="1420" w:type="dxa"/>
            <w:noWrap/>
            <w:hideMark/>
          </w:tcPr>
          <w:p w14:paraId="7142D615"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0.65</w:t>
            </w:r>
          </w:p>
        </w:tc>
        <w:tc>
          <w:tcPr>
            <w:tcW w:w="830" w:type="dxa"/>
            <w:noWrap/>
            <w:hideMark/>
          </w:tcPr>
          <w:p w14:paraId="2C1BCF27"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1.05</w:t>
            </w:r>
          </w:p>
        </w:tc>
        <w:tc>
          <w:tcPr>
            <w:tcW w:w="1440" w:type="dxa"/>
            <w:noWrap/>
            <w:hideMark/>
          </w:tcPr>
          <w:p w14:paraId="41E6D7D2"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0.95</w:t>
            </w:r>
          </w:p>
        </w:tc>
        <w:tc>
          <w:tcPr>
            <w:tcW w:w="1402" w:type="dxa"/>
            <w:noWrap/>
            <w:hideMark/>
          </w:tcPr>
          <w:p w14:paraId="4FF26629"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2.88</w:t>
            </w:r>
          </w:p>
        </w:tc>
        <w:tc>
          <w:tcPr>
            <w:tcW w:w="1010" w:type="dxa"/>
            <w:noWrap/>
            <w:hideMark/>
          </w:tcPr>
          <w:p w14:paraId="214608B1"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1.17</w:t>
            </w:r>
          </w:p>
        </w:tc>
      </w:tr>
      <w:tr w:rsidR="00304AE7" w14:paraId="2F40319E" w14:textId="77777777" w:rsidTr="00246195">
        <w:trPr>
          <w:trHeight w:val="307"/>
        </w:trPr>
        <w:tc>
          <w:tcPr>
            <w:tcW w:w="2061" w:type="dxa"/>
            <w:noWrap/>
            <w:hideMark/>
          </w:tcPr>
          <w:p w14:paraId="16A50264" w14:textId="77777777" w:rsidR="00CF7E4D" w:rsidRPr="00CF7E4D" w:rsidRDefault="00313C6B" w:rsidP="00CF7E4D">
            <w:pPr>
              <w:jc w:val="left"/>
              <w:rPr>
                <w:rFonts w:eastAsia="Times New Roman" w:cs="Times New Roman"/>
                <w:color w:val="000000"/>
                <w:szCs w:val="24"/>
                <w:lang w:val="en-US"/>
              </w:rPr>
            </w:pPr>
            <w:r w:rsidRPr="00CF7E4D">
              <w:rPr>
                <w:rFonts w:eastAsia="Times New Roman" w:cs="Times New Roman"/>
                <w:color w:val="000000"/>
                <w:szCs w:val="24"/>
                <w:lang w:val="en-US"/>
              </w:rPr>
              <w:t>Quick ratio</w:t>
            </w:r>
          </w:p>
        </w:tc>
        <w:tc>
          <w:tcPr>
            <w:tcW w:w="1017" w:type="dxa"/>
            <w:noWrap/>
            <w:hideMark/>
          </w:tcPr>
          <w:p w14:paraId="53597052"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0.51</w:t>
            </w:r>
          </w:p>
        </w:tc>
        <w:tc>
          <w:tcPr>
            <w:tcW w:w="1036" w:type="dxa"/>
            <w:noWrap/>
            <w:hideMark/>
          </w:tcPr>
          <w:p w14:paraId="2936EA42"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0.55</w:t>
            </w:r>
          </w:p>
        </w:tc>
        <w:tc>
          <w:tcPr>
            <w:tcW w:w="1420" w:type="dxa"/>
            <w:noWrap/>
            <w:hideMark/>
          </w:tcPr>
          <w:p w14:paraId="3AC5B21B"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0.48</w:t>
            </w:r>
          </w:p>
        </w:tc>
        <w:tc>
          <w:tcPr>
            <w:tcW w:w="830" w:type="dxa"/>
            <w:noWrap/>
            <w:hideMark/>
          </w:tcPr>
          <w:p w14:paraId="4D4E7E44"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0.78</w:t>
            </w:r>
          </w:p>
        </w:tc>
        <w:tc>
          <w:tcPr>
            <w:tcW w:w="1440" w:type="dxa"/>
            <w:noWrap/>
            <w:hideMark/>
          </w:tcPr>
          <w:p w14:paraId="574EC2FB"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0.78</w:t>
            </w:r>
          </w:p>
        </w:tc>
        <w:tc>
          <w:tcPr>
            <w:tcW w:w="1402" w:type="dxa"/>
            <w:noWrap/>
            <w:hideMark/>
          </w:tcPr>
          <w:p w14:paraId="039AED94"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2.48</w:t>
            </w:r>
          </w:p>
        </w:tc>
        <w:tc>
          <w:tcPr>
            <w:tcW w:w="1010" w:type="dxa"/>
            <w:noWrap/>
            <w:hideMark/>
          </w:tcPr>
          <w:p w14:paraId="69990ACC"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0.93</w:t>
            </w:r>
          </w:p>
        </w:tc>
      </w:tr>
      <w:tr w:rsidR="00304AE7" w14:paraId="0E550884" w14:textId="77777777" w:rsidTr="00246195">
        <w:trPr>
          <w:trHeight w:val="307"/>
        </w:trPr>
        <w:tc>
          <w:tcPr>
            <w:tcW w:w="2061" w:type="dxa"/>
            <w:noWrap/>
            <w:hideMark/>
          </w:tcPr>
          <w:p w14:paraId="4CBC3764" w14:textId="77777777" w:rsidR="00CF7E4D" w:rsidRPr="00CF7E4D" w:rsidRDefault="00313C6B" w:rsidP="00CF7E4D">
            <w:pPr>
              <w:jc w:val="left"/>
              <w:rPr>
                <w:rFonts w:eastAsia="Times New Roman" w:cs="Times New Roman"/>
                <w:color w:val="000000"/>
                <w:szCs w:val="24"/>
                <w:lang w:val="en-US"/>
              </w:rPr>
            </w:pPr>
            <w:r w:rsidRPr="00CF7E4D">
              <w:rPr>
                <w:rFonts w:eastAsia="Times New Roman" w:cs="Times New Roman"/>
                <w:color w:val="000000"/>
                <w:szCs w:val="24"/>
                <w:lang w:val="en-US"/>
              </w:rPr>
              <w:t xml:space="preserve">Cash </w:t>
            </w:r>
            <w:r w:rsidRPr="00CF7E4D">
              <w:rPr>
                <w:rFonts w:eastAsia="Times New Roman" w:cs="Times New Roman"/>
                <w:color w:val="000000"/>
                <w:szCs w:val="24"/>
                <w:lang w:val="en-US"/>
              </w:rPr>
              <w:t>ratio</w:t>
            </w:r>
          </w:p>
        </w:tc>
        <w:tc>
          <w:tcPr>
            <w:tcW w:w="1017" w:type="dxa"/>
            <w:noWrap/>
            <w:hideMark/>
          </w:tcPr>
          <w:p w14:paraId="6BA5CB9F"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0.17</w:t>
            </w:r>
          </w:p>
        </w:tc>
        <w:tc>
          <w:tcPr>
            <w:tcW w:w="1036" w:type="dxa"/>
            <w:noWrap/>
            <w:hideMark/>
          </w:tcPr>
          <w:p w14:paraId="528179DD"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0.20</w:t>
            </w:r>
          </w:p>
        </w:tc>
        <w:tc>
          <w:tcPr>
            <w:tcW w:w="1420" w:type="dxa"/>
            <w:noWrap/>
            <w:hideMark/>
          </w:tcPr>
          <w:p w14:paraId="4C2CEABA"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0.19</w:t>
            </w:r>
          </w:p>
        </w:tc>
        <w:tc>
          <w:tcPr>
            <w:tcW w:w="830" w:type="dxa"/>
            <w:noWrap/>
            <w:hideMark/>
          </w:tcPr>
          <w:p w14:paraId="7235BA6F"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0.33</w:t>
            </w:r>
          </w:p>
        </w:tc>
        <w:tc>
          <w:tcPr>
            <w:tcW w:w="1440" w:type="dxa"/>
            <w:noWrap/>
            <w:hideMark/>
          </w:tcPr>
          <w:p w14:paraId="123E1E80"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0.35</w:t>
            </w:r>
          </w:p>
        </w:tc>
        <w:tc>
          <w:tcPr>
            <w:tcW w:w="1402" w:type="dxa"/>
            <w:noWrap/>
            <w:hideMark/>
          </w:tcPr>
          <w:p w14:paraId="7424D6CF"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1.33</w:t>
            </w:r>
          </w:p>
        </w:tc>
        <w:tc>
          <w:tcPr>
            <w:tcW w:w="1010" w:type="dxa"/>
            <w:noWrap/>
            <w:hideMark/>
          </w:tcPr>
          <w:p w14:paraId="4451B9E3"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0.43</w:t>
            </w:r>
          </w:p>
        </w:tc>
      </w:tr>
      <w:tr w:rsidR="00304AE7" w14:paraId="2D6ACD75" w14:textId="77777777" w:rsidTr="00246195">
        <w:trPr>
          <w:trHeight w:val="307"/>
        </w:trPr>
        <w:tc>
          <w:tcPr>
            <w:tcW w:w="2061" w:type="dxa"/>
            <w:noWrap/>
            <w:hideMark/>
          </w:tcPr>
          <w:p w14:paraId="6F347BA1" w14:textId="77777777" w:rsidR="00CF7E4D" w:rsidRPr="00CF7E4D" w:rsidRDefault="00313C6B" w:rsidP="00CF7E4D">
            <w:pPr>
              <w:jc w:val="left"/>
              <w:rPr>
                <w:rFonts w:eastAsia="Times New Roman" w:cs="Times New Roman"/>
                <w:color w:val="000000"/>
                <w:szCs w:val="24"/>
                <w:lang w:val="en-US"/>
              </w:rPr>
            </w:pPr>
            <w:r w:rsidRPr="00CF7E4D">
              <w:rPr>
                <w:rFonts w:eastAsia="Times New Roman" w:cs="Times New Roman"/>
                <w:color w:val="000000"/>
                <w:szCs w:val="24"/>
                <w:lang w:val="en-US"/>
              </w:rPr>
              <w:t>Debt-equity ratio</w:t>
            </w:r>
          </w:p>
        </w:tc>
        <w:tc>
          <w:tcPr>
            <w:tcW w:w="1017" w:type="dxa"/>
            <w:noWrap/>
            <w:hideMark/>
          </w:tcPr>
          <w:p w14:paraId="4B77BADC"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7.08</w:t>
            </w:r>
          </w:p>
        </w:tc>
        <w:tc>
          <w:tcPr>
            <w:tcW w:w="1036" w:type="dxa"/>
            <w:noWrap/>
            <w:hideMark/>
          </w:tcPr>
          <w:p w14:paraId="4B486F00"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2.16</w:t>
            </w:r>
          </w:p>
        </w:tc>
        <w:tc>
          <w:tcPr>
            <w:tcW w:w="1420" w:type="dxa"/>
            <w:noWrap/>
            <w:hideMark/>
          </w:tcPr>
          <w:p w14:paraId="34D72E1D"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0.83</w:t>
            </w:r>
          </w:p>
        </w:tc>
        <w:tc>
          <w:tcPr>
            <w:tcW w:w="830" w:type="dxa"/>
            <w:noWrap/>
            <w:hideMark/>
          </w:tcPr>
          <w:p w14:paraId="3E10E394"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0.65</w:t>
            </w:r>
          </w:p>
        </w:tc>
        <w:tc>
          <w:tcPr>
            <w:tcW w:w="1440" w:type="dxa"/>
            <w:noWrap/>
            <w:hideMark/>
          </w:tcPr>
          <w:p w14:paraId="28F784D3"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1.36</w:t>
            </w:r>
          </w:p>
        </w:tc>
        <w:tc>
          <w:tcPr>
            <w:tcW w:w="1402" w:type="dxa"/>
            <w:noWrap/>
            <w:hideMark/>
          </w:tcPr>
          <w:p w14:paraId="3AAF673F"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0.35</w:t>
            </w:r>
          </w:p>
        </w:tc>
        <w:tc>
          <w:tcPr>
            <w:tcW w:w="1010" w:type="dxa"/>
            <w:noWrap/>
            <w:hideMark/>
          </w:tcPr>
          <w:p w14:paraId="7618B87F"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2.07</w:t>
            </w:r>
          </w:p>
        </w:tc>
      </w:tr>
      <w:tr w:rsidR="00304AE7" w14:paraId="1F0DE85E" w14:textId="77777777" w:rsidTr="00246195">
        <w:trPr>
          <w:trHeight w:val="307"/>
        </w:trPr>
        <w:tc>
          <w:tcPr>
            <w:tcW w:w="2061" w:type="dxa"/>
            <w:noWrap/>
            <w:hideMark/>
          </w:tcPr>
          <w:p w14:paraId="7558DBF0" w14:textId="77777777" w:rsidR="00CF7E4D" w:rsidRPr="00CF7E4D" w:rsidRDefault="00313C6B" w:rsidP="00CF7E4D">
            <w:pPr>
              <w:jc w:val="left"/>
              <w:rPr>
                <w:rFonts w:eastAsia="Times New Roman" w:cs="Times New Roman"/>
                <w:color w:val="000000"/>
                <w:szCs w:val="24"/>
                <w:lang w:val="en-US"/>
              </w:rPr>
            </w:pPr>
            <w:r w:rsidRPr="00CF7E4D">
              <w:rPr>
                <w:rFonts w:eastAsia="Times New Roman" w:cs="Times New Roman"/>
                <w:color w:val="000000"/>
                <w:szCs w:val="24"/>
                <w:lang w:val="en-US"/>
              </w:rPr>
              <w:t>Equity ratio</w:t>
            </w:r>
          </w:p>
        </w:tc>
        <w:tc>
          <w:tcPr>
            <w:tcW w:w="1017" w:type="dxa"/>
            <w:noWrap/>
            <w:hideMark/>
          </w:tcPr>
          <w:p w14:paraId="6CFA8F9B"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0.06</w:t>
            </w:r>
          </w:p>
        </w:tc>
        <w:tc>
          <w:tcPr>
            <w:tcW w:w="1036" w:type="dxa"/>
            <w:noWrap/>
            <w:hideMark/>
          </w:tcPr>
          <w:p w14:paraId="63640C3E"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0.23</w:t>
            </w:r>
          </w:p>
        </w:tc>
        <w:tc>
          <w:tcPr>
            <w:tcW w:w="1420" w:type="dxa"/>
            <w:noWrap/>
            <w:hideMark/>
          </w:tcPr>
          <w:p w14:paraId="103685C3"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0.39</w:t>
            </w:r>
          </w:p>
        </w:tc>
        <w:tc>
          <w:tcPr>
            <w:tcW w:w="830" w:type="dxa"/>
            <w:noWrap/>
            <w:hideMark/>
          </w:tcPr>
          <w:p w14:paraId="16B63826"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0.36</w:t>
            </w:r>
          </w:p>
        </w:tc>
        <w:tc>
          <w:tcPr>
            <w:tcW w:w="1440" w:type="dxa"/>
            <w:noWrap/>
            <w:hideMark/>
          </w:tcPr>
          <w:p w14:paraId="6794C705"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0.23</w:t>
            </w:r>
          </w:p>
        </w:tc>
        <w:tc>
          <w:tcPr>
            <w:tcW w:w="1402" w:type="dxa"/>
            <w:noWrap/>
            <w:hideMark/>
          </w:tcPr>
          <w:p w14:paraId="51A3F404"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0.66</w:t>
            </w:r>
          </w:p>
        </w:tc>
        <w:tc>
          <w:tcPr>
            <w:tcW w:w="1010" w:type="dxa"/>
            <w:noWrap/>
            <w:hideMark/>
          </w:tcPr>
          <w:p w14:paraId="19D51832"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0.32</w:t>
            </w:r>
          </w:p>
        </w:tc>
      </w:tr>
      <w:tr w:rsidR="00304AE7" w14:paraId="021635AD" w14:textId="77777777" w:rsidTr="00246195">
        <w:trPr>
          <w:trHeight w:val="307"/>
        </w:trPr>
        <w:tc>
          <w:tcPr>
            <w:tcW w:w="2061" w:type="dxa"/>
            <w:noWrap/>
            <w:hideMark/>
          </w:tcPr>
          <w:p w14:paraId="73982C72" w14:textId="77777777" w:rsidR="00CF7E4D" w:rsidRPr="00CF7E4D" w:rsidRDefault="00313C6B" w:rsidP="00CF7E4D">
            <w:pPr>
              <w:jc w:val="left"/>
              <w:rPr>
                <w:rFonts w:eastAsia="Times New Roman" w:cs="Times New Roman"/>
                <w:color w:val="000000"/>
                <w:szCs w:val="24"/>
                <w:lang w:val="en-US"/>
              </w:rPr>
            </w:pPr>
            <w:r w:rsidRPr="00CF7E4D">
              <w:rPr>
                <w:rFonts w:eastAsia="Times New Roman" w:cs="Times New Roman"/>
                <w:color w:val="000000"/>
                <w:szCs w:val="24"/>
                <w:lang w:val="en-US"/>
              </w:rPr>
              <w:t>Debt ratio</w:t>
            </w:r>
          </w:p>
        </w:tc>
        <w:tc>
          <w:tcPr>
            <w:tcW w:w="1017" w:type="dxa"/>
            <w:noWrap/>
            <w:hideMark/>
          </w:tcPr>
          <w:p w14:paraId="2FEE0A80"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0.45</w:t>
            </w:r>
          </w:p>
        </w:tc>
        <w:tc>
          <w:tcPr>
            <w:tcW w:w="1036" w:type="dxa"/>
            <w:noWrap/>
            <w:hideMark/>
          </w:tcPr>
          <w:p w14:paraId="5A15985B"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0.49</w:t>
            </w:r>
          </w:p>
        </w:tc>
        <w:tc>
          <w:tcPr>
            <w:tcW w:w="1420" w:type="dxa"/>
            <w:noWrap/>
            <w:hideMark/>
          </w:tcPr>
          <w:p w14:paraId="0982BC52"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0.32</w:t>
            </w:r>
          </w:p>
        </w:tc>
        <w:tc>
          <w:tcPr>
            <w:tcW w:w="830" w:type="dxa"/>
            <w:noWrap/>
            <w:hideMark/>
          </w:tcPr>
          <w:p w14:paraId="777F406C"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0.23</w:t>
            </w:r>
          </w:p>
        </w:tc>
        <w:tc>
          <w:tcPr>
            <w:tcW w:w="1440" w:type="dxa"/>
            <w:noWrap/>
            <w:hideMark/>
          </w:tcPr>
          <w:p w14:paraId="67D756A2"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0.32</w:t>
            </w:r>
          </w:p>
        </w:tc>
        <w:tc>
          <w:tcPr>
            <w:tcW w:w="1402" w:type="dxa"/>
            <w:noWrap/>
            <w:hideMark/>
          </w:tcPr>
          <w:p w14:paraId="4B23782A"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0.23</w:t>
            </w:r>
          </w:p>
        </w:tc>
        <w:tc>
          <w:tcPr>
            <w:tcW w:w="1010" w:type="dxa"/>
            <w:noWrap/>
            <w:hideMark/>
          </w:tcPr>
          <w:p w14:paraId="2AC5D201"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0.34</w:t>
            </w:r>
          </w:p>
        </w:tc>
      </w:tr>
      <w:tr w:rsidR="00304AE7" w14:paraId="16395581" w14:textId="77777777" w:rsidTr="00246195">
        <w:trPr>
          <w:trHeight w:val="307"/>
        </w:trPr>
        <w:tc>
          <w:tcPr>
            <w:tcW w:w="2061" w:type="dxa"/>
            <w:noWrap/>
            <w:hideMark/>
          </w:tcPr>
          <w:p w14:paraId="2915E200" w14:textId="77777777" w:rsidR="00CF7E4D" w:rsidRPr="00CF7E4D" w:rsidRDefault="00313C6B" w:rsidP="00CF7E4D">
            <w:pPr>
              <w:jc w:val="left"/>
              <w:rPr>
                <w:rFonts w:eastAsia="Times New Roman" w:cs="Times New Roman"/>
                <w:color w:val="000000"/>
                <w:szCs w:val="24"/>
                <w:lang w:val="en-US"/>
              </w:rPr>
            </w:pPr>
            <w:r w:rsidRPr="00CF7E4D">
              <w:rPr>
                <w:rFonts w:eastAsia="Times New Roman" w:cs="Times New Roman"/>
                <w:color w:val="000000"/>
                <w:szCs w:val="24"/>
                <w:lang w:val="en-US"/>
              </w:rPr>
              <w:t>Inventory</w:t>
            </w:r>
            <w:r w:rsidR="009E4B21">
              <w:rPr>
                <w:rFonts w:eastAsia="Times New Roman" w:cs="Times New Roman"/>
                <w:color w:val="000000"/>
                <w:szCs w:val="24"/>
                <w:lang w:val="en-US"/>
              </w:rPr>
              <w:t xml:space="preserve"> turnover</w:t>
            </w:r>
            <w:r w:rsidRPr="00CF7E4D">
              <w:rPr>
                <w:rFonts w:eastAsia="Times New Roman" w:cs="Times New Roman"/>
                <w:color w:val="000000"/>
                <w:szCs w:val="24"/>
                <w:lang w:val="en-US"/>
              </w:rPr>
              <w:t xml:space="preserve"> ratio</w:t>
            </w:r>
          </w:p>
        </w:tc>
        <w:tc>
          <w:tcPr>
            <w:tcW w:w="1017" w:type="dxa"/>
            <w:noWrap/>
            <w:hideMark/>
          </w:tcPr>
          <w:p w14:paraId="478BDDAA"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1.87</w:t>
            </w:r>
          </w:p>
        </w:tc>
        <w:tc>
          <w:tcPr>
            <w:tcW w:w="1036" w:type="dxa"/>
            <w:noWrap/>
            <w:hideMark/>
          </w:tcPr>
          <w:p w14:paraId="5BC38E0F"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1.87</w:t>
            </w:r>
          </w:p>
        </w:tc>
        <w:tc>
          <w:tcPr>
            <w:tcW w:w="1420" w:type="dxa"/>
            <w:noWrap/>
            <w:hideMark/>
          </w:tcPr>
          <w:p w14:paraId="782DC457"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3.95</w:t>
            </w:r>
          </w:p>
        </w:tc>
        <w:tc>
          <w:tcPr>
            <w:tcW w:w="830" w:type="dxa"/>
            <w:noWrap/>
            <w:hideMark/>
          </w:tcPr>
          <w:p w14:paraId="0ED23738"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14.33</w:t>
            </w:r>
          </w:p>
        </w:tc>
        <w:tc>
          <w:tcPr>
            <w:tcW w:w="1440" w:type="dxa"/>
            <w:noWrap/>
            <w:hideMark/>
          </w:tcPr>
          <w:p w14:paraId="319D0B54"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2.06</w:t>
            </w:r>
          </w:p>
        </w:tc>
        <w:tc>
          <w:tcPr>
            <w:tcW w:w="1402" w:type="dxa"/>
            <w:noWrap/>
            <w:hideMark/>
          </w:tcPr>
          <w:p w14:paraId="70C860E4"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1.46</w:t>
            </w:r>
          </w:p>
        </w:tc>
        <w:tc>
          <w:tcPr>
            <w:tcW w:w="1010" w:type="dxa"/>
            <w:noWrap/>
            <w:hideMark/>
          </w:tcPr>
          <w:p w14:paraId="523A00B1"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4.26</w:t>
            </w:r>
          </w:p>
        </w:tc>
      </w:tr>
      <w:tr w:rsidR="00304AE7" w14:paraId="75D83ABE" w14:textId="77777777" w:rsidTr="00246195">
        <w:trPr>
          <w:trHeight w:val="307"/>
        </w:trPr>
        <w:tc>
          <w:tcPr>
            <w:tcW w:w="2061" w:type="dxa"/>
            <w:noWrap/>
            <w:hideMark/>
          </w:tcPr>
          <w:p w14:paraId="3091E91E" w14:textId="77777777" w:rsidR="00CF7E4D" w:rsidRPr="00CF7E4D" w:rsidRDefault="00313C6B" w:rsidP="00CF7E4D">
            <w:pPr>
              <w:jc w:val="left"/>
              <w:rPr>
                <w:rFonts w:eastAsia="Times New Roman" w:cs="Times New Roman"/>
                <w:color w:val="000000"/>
                <w:szCs w:val="24"/>
                <w:lang w:val="en-US"/>
              </w:rPr>
            </w:pPr>
            <w:r w:rsidRPr="00CF7E4D">
              <w:rPr>
                <w:rFonts w:eastAsia="Times New Roman" w:cs="Times New Roman"/>
                <w:color w:val="000000"/>
                <w:szCs w:val="24"/>
                <w:lang w:val="en-US"/>
              </w:rPr>
              <w:t>Asset turnover ratio</w:t>
            </w:r>
          </w:p>
        </w:tc>
        <w:tc>
          <w:tcPr>
            <w:tcW w:w="1017" w:type="dxa"/>
            <w:noWrap/>
            <w:hideMark/>
          </w:tcPr>
          <w:p w14:paraId="68A8E0AA"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0.53</w:t>
            </w:r>
          </w:p>
        </w:tc>
        <w:tc>
          <w:tcPr>
            <w:tcW w:w="1036" w:type="dxa"/>
            <w:noWrap/>
            <w:hideMark/>
          </w:tcPr>
          <w:p w14:paraId="31BFBF83"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0.53</w:t>
            </w:r>
          </w:p>
        </w:tc>
        <w:tc>
          <w:tcPr>
            <w:tcW w:w="1420" w:type="dxa"/>
            <w:noWrap/>
            <w:hideMark/>
          </w:tcPr>
          <w:p w14:paraId="2422D1B1"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0.33</w:t>
            </w:r>
          </w:p>
        </w:tc>
        <w:tc>
          <w:tcPr>
            <w:tcW w:w="830" w:type="dxa"/>
            <w:noWrap/>
            <w:hideMark/>
          </w:tcPr>
          <w:p w14:paraId="66D3499E"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1.01</w:t>
            </w:r>
          </w:p>
        </w:tc>
        <w:tc>
          <w:tcPr>
            <w:tcW w:w="1440" w:type="dxa"/>
            <w:noWrap/>
            <w:hideMark/>
          </w:tcPr>
          <w:p w14:paraId="52BC15D4"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0.35</w:t>
            </w:r>
          </w:p>
        </w:tc>
        <w:tc>
          <w:tcPr>
            <w:tcW w:w="1402" w:type="dxa"/>
            <w:noWrap/>
            <w:hideMark/>
          </w:tcPr>
          <w:p w14:paraId="149E4148"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0.30</w:t>
            </w:r>
          </w:p>
        </w:tc>
        <w:tc>
          <w:tcPr>
            <w:tcW w:w="1010" w:type="dxa"/>
            <w:noWrap/>
            <w:hideMark/>
          </w:tcPr>
          <w:p w14:paraId="163B23C7" w14:textId="77777777" w:rsidR="00CF7E4D" w:rsidRPr="00CF7E4D" w:rsidRDefault="00313C6B" w:rsidP="00CF7E4D">
            <w:pPr>
              <w:jc w:val="right"/>
              <w:rPr>
                <w:rFonts w:eastAsia="Times New Roman" w:cs="Times New Roman"/>
                <w:color w:val="000000"/>
                <w:szCs w:val="24"/>
                <w:lang w:val="en-US"/>
              </w:rPr>
            </w:pPr>
            <w:r w:rsidRPr="00CF7E4D">
              <w:rPr>
                <w:rFonts w:eastAsia="Times New Roman" w:cs="Times New Roman"/>
                <w:color w:val="000000"/>
                <w:szCs w:val="24"/>
                <w:lang w:val="en-US"/>
              </w:rPr>
              <w:t>0.51</w:t>
            </w:r>
          </w:p>
        </w:tc>
      </w:tr>
    </w:tbl>
    <w:p w14:paraId="035286BC" w14:textId="77777777" w:rsidR="00895262" w:rsidRPr="00FB5261" w:rsidRDefault="00895262" w:rsidP="00FB5261">
      <w:pPr>
        <w:spacing w:line="360" w:lineRule="auto"/>
        <w:rPr>
          <w:rFonts w:cs="Times New Roman"/>
          <w:szCs w:val="24"/>
        </w:rPr>
      </w:pPr>
    </w:p>
    <w:p w14:paraId="10078994" w14:textId="77777777" w:rsidR="006F508A" w:rsidRDefault="00313C6B" w:rsidP="00FB5261">
      <w:pPr>
        <w:spacing w:line="360" w:lineRule="auto"/>
        <w:rPr>
          <w:rFonts w:cs="Times New Roman"/>
          <w:szCs w:val="24"/>
        </w:rPr>
      </w:pPr>
      <w:r>
        <w:rPr>
          <w:rFonts w:cs="Times New Roman"/>
          <w:szCs w:val="24"/>
        </w:rPr>
        <w:t xml:space="preserve">In 2018, GSK was seen to make </w:t>
      </w:r>
      <w:r w:rsidR="00A862ED">
        <w:rPr>
          <w:rFonts w:cs="Times New Roman"/>
          <w:szCs w:val="24"/>
        </w:rPr>
        <w:t xml:space="preserve">an </w:t>
      </w:r>
      <w:r>
        <w:rPr>
          <w:rFonts w:cs="Times New Roman"/>
          <w:szCs w:val="24"/>
        </w:rPr>
        <w:t>above</w:t>
      </w:r>
      <w:r w:rsidR="00A862ED">
        <w:rPr>
          <w:rFonts w:cs="Times New Roman"/>
          <w:szCs w:val="24"/>
        </w:rPr>
        <w:t>-</w:t>
      </w:r>
      <w:r>
        <w:rPr>
          <w:rFonts w:cs="Times New Roman"/>
          <w:szCs w:val="24"/>
        </w:rPr>
        <w:t xml:space="preserve">average gross profit. In 2018, the company could manage to increase its net profit margin surpassing the average. The ROE of GSK in this year was quite </w:t>
      </w:r>
      <w:r>
        <w:rPr>
          <w:rFonts w:cs="Times New Roman"/>
          <w:szCs w:val="24"/>
        </w:rPr>
        <w:t xml:space="preserve">higher, exceeding 100%. But the ROA was 7% only, which is nearly half the average ratio. </w:t>
      </w:r>
    </w:p>
    <w:p w14:paraId="0C35BDD9" w14:textId="77777777" w:rsidR="00327C6E" w:rsidRDefault="00313C6B" w:rsidP="00FB5261">
      <w:pPr>
        <w:spacing w:line="360" w:lineRule="auto"/>
        <w:rPr>
          <w:rFonts w:cs="Times New Roman"/>
          <w:szCs w:val="24"/>
        </w:rPr>
      </w:pPr>
      <w:r>
        <w:rPr>
          <w:rFonts w:cs="Times New Roman"/>
          <w:szCs w:val="24"/>
        </w:rPr>
        <w:t xml:space="preserve">In </w:t>
      </w:r>
      <w:r w:rsidR="00A862ED">
        <w:rPr>
          <w:rFonts w:cs="Times New Roman"/>
          <w:szCs w:val="24"/>
        </w:rPr>
        <w:t xml:space="preserve">the </w:t>
      </w:r>
      <w:r>
        <w:rPr>
          <w:rFonts w:cs="Times New Roman"/>
          <w:szCs w:val="24"/>
        </w:rPr>
        <w:t xml:space="preserve">case of liquidity, GSK could generate </w:t>
      </w:r>
      <w:r w:rsidR="00A862ED">
        <w:rPr>
          <w:rFonts w:cs="Times New Roman"/>
          <w:szCs w:val="24"/>
        </w:rPr>
        <w:t xml:space="preserve">a </w:t>
      </w:r>
      <w:r>
        <w:rPr>
          <w:rFonts w:cs="Times New Roman"/>
          <w:szCs w:val="24"/>
        </w:rPr>
        <w:t>below</w:t>
      </w:r>
      <w:r w:rsidR="00A862ED">
        <w:rPr>
          <w:rFonts w:cs="Times New Roman"/>
          <w:szCs w:val="24"/>
        </w:rPr>
        <w:t>-</w:t>
      </w:r>
      <w:r>
        <w:rPr>
          <w:rFonts w:cs="Times New Roman"/>
          <w:szCs w:val="24"/>
        </w:rPr>
        <w:t xml:space="preserve">average ratio, which is consistent with those of previous years. </w:t>
      </w:r>
    </w:p>
    <w:p w14:paraId="04C0F877" w14:textId="77777777" w:rsidR="009E4B21" w:rsidRDefault="00313C6B" w:rsidP="00FB5261">
      <w:pPr>
        <w:spacing w:line="360" w:lineRule="auto"/>
        <w:rPr>
          <w:rFonts w:cs="Times New Roman"/>
          <w:szCs w:val="24"/>
        </w:rPr>
      </w:pPr>
      <w:r>
        <w:rPr>
          <w:rFonts w:cs="Times New Roman"/>
          <w:szCs w:val="24"/>
        </w:rPr>
        <w:t xml:space="preserve">The debt-to-equity ratio and debt ratio of GSK </w:t>
      </w:r>
      <w:r>
        <w:rPr>
          <w:rFonts w:cs="Times New Roman"/>
          <w:szCs w:val="24"/>
        </w:rPr>
        <w:t xml:space="preserve">exceed the average ratio, but </w:t>
      </w:r>
      <w:r w:rsidR="00A862ED">
        <w:rPr>
          <w:rFonts w:cs="Times New Roman"/>
          <w:szCs w:val="24"/>
        </w:rPr>
        <w:t xml:space="preserve">the </w:t>
      </w:r>
      <w:r>
        <w:rPr>
          <w:rFonts w:cs="Times New Roman"/>
          <w:szCs w:val="24"/>
        </w:rPr>
        <w:t xml:space="preserve">equity ratio could not have </w:t>
      </w:r>
      <w:r w:rsidR="00A862ED">
        <w:rPr>
          <w:rFonts w:cs="Times New Roman"/>
          <w:szCs w:val="24"/>
        </w:rPr>
        <w:t xml:space="preserve">a </w:t>
      </w:r>
      <w:r>
        <w:rPr>
          <w:rFonts w:cs="Times New Roman"/>
          <w:szCs w:val="24"/>
        </w:rPr>
        <w:t>competitive advantage.</w:t>
      </w:r>
    </w:p>
    <w:p w14:paraId="7A089D68" w14:textId="77777777" w:rsidR="00895262" w:rsidRPr="00FB5261" w:rsidRDefault="00313C6B" w:rsidP="00FB5261">
      <w:pPr>
        <w:spacing w:line="360" w:lineRule="auto"/>
        <w:rPr>
          <w:rFonts w:cs="Times New Roman"/>
          <w:szCs w:val="24"/>
        </w:rPr>
      </w:pPr>
      <w:r>
        <w:rPr>
          <w:rFonts w:cs="Times New Roman"/>
          <w:szCs w:val="24"/>
        </w:rPr>
        <w:t>Despite</w:t>
      </w:r>
      <w:r w:rsidR="009E4B21">
        <w:rPr>
          <w:rFonts w:cs="Times New Roman"/>
          <w:szCs w:val="24"/>
        </w:rPr>
        <w:t xml:space="preserve"> </w:t>
      </w:r>
      <w:r>
        <w:rPr>
          <w:rFonts w:cs="Times New Roman"/>
          <w:szCs w:val="24"/>
        </w:rPr>
        <w:t xml:space="preserve">the </w:t>
      </w:r>
      <w:r w:rsidR="009E4B21">
        <w:rPr>
          <w:rFonts w:cs="Times New Roman"/>
          <w:szCs w:val="24"/>
        </w:rPr>
        <w:t xml:space="preserve">above-average asset turnover ratio, the company could not have </w:t>
      </w:r>
      <w:r>
        <w:rPr>
          <w:rFonts w:cs="Times New Roman"/>
          <w:szCs w:val="24"/>
        </w:rPr>
        <w:t xml:space="preserve">an </w:t>
      </w:r>
      <w:r w:rsidR="009E4B21">
        <w:rPr>
          <w:rFonts w:cs="Times New Roman"/>
          <w:szCs w:val="24"/>
        </w:rPr>
        <w:t xml:space="preserve">advantage over </w:t>
      </w:r>
      <w:r>
        <w:rPr>
          <w:rFonts w:cs="Times New Roman"/>
          <w:szCs w:val="24"/>
        </w:rPr>
        <w:t xml:space="preserve">the </w:t>
      </w:r>
      <w:r w:rsidR="009E4B21">
        <w:rPr>
          <w:rFonts w:cs="Times New Roman"/>
          <w:szCs w:val="24"/>
        </w:rPr>
        <w:t xml:space="preserve">inventory turnover ratio. </w:t>
      </w:r>
      <w:r w:rsidRPr="00FB5261">
        <w:rPr>
          <w:rFonts w:cs="Times New Roman"/>
          <w:szCs w:val="24"/>
        </w:rPr>
        <w:br w:type="page"/>
      </w:r>
    </w:p>
    <w:p w14:paraId="378B971E" w14:textId="77777777" w:rsidR="00895262" w:rsidRPr="00246195" w:rsidRDefault="00313C6B" w:rsidP="00FB5261">
      <w:pPr>
        <w:spacing w:line="360" w:lineRule="auto"/>
        <w:rPr>
          <w:rFonts w:cs="Times New Roman"/>
          <w:b/>
          <w:bCs/>
          <w:szCs w:val="24"/>
        </w:rPr>
      </w:pPr>
      <w:r w:rsidRPr="00246195">
        <w:rPr>
          <w:rFonts w:cs="Times New Roman"/>
          <w:b/>
          <w:bCs/>
          <w:szCs w:val="24"/>
        </w:rPr>
        <w:lastRenderedPageBreak/>
        <w:t>2019</w:t>
      </w:r>
    </w:p>
    <w:tbl>
      <w:tblPr>
        <w:tblStyle w:val="TableGrid"/>
        <w:tblW w:w="9927" w:type="dxa"/>
        <w:tblLook w:val="04A0" w:firstRow="1" w:lastRow="0" w:firstColumn="1" w:lastColumn="0" w:noHBand="0" w:noVBand="1"/>
      </w:tblPr>
      <w:tblGrid>
        <w:gridCol w:w="2538"/>
        <w:gridCol w:w="956"/>
        <w:gridCol w:w="1056"/>
        <w:gridCol w:w="1268"/>
        <w:gridCol w:w="836"/>
        <w:gridCol w:w="1429"/>
        <w:gridCol w:w="1253"/>
        <w:gridCol w:w="1029"/>
      </w:tblGrid>
      <w:tr w:rsidR="00304AE7" w14:paraId="223B3FE7" w14:textId="77777777" w:rsidTr="00246195">
        <w:trPr>
          <w:trHeight w:val="293"/>
        </w:trPr>
        <w:tc>
          <w:tcPr>
            <w:tcW w:w="2538" w:type="dxa"/>
            <w:noWrap/>
            <w:hideMark/>
          </w:tcPr>
          <w:p w14:paraId="013128F4" w14:textId="77777777" w:rsidR="00DF62C3" w:rsidRPr="00246195" w:rsidRDefault="00DF62C3" w:rsidP="00DF62C3">
            <w:pPr>
              <w:jc w:val="left"/>
              <w:rPr>
                <w:rFonts w:eastAsia="Times New Roman" w:cs="Times New Roman"/>
                <w:szCs w:val="24"/>
                <w:lang w:val="en-US"/>
              </w:rPr>
            </w:pPr>
          </w:p>
        </w:tc>
        <w:tc>
          <w:tcPr>
            <w:tcW w:w="877" w:type="dxa"/>
            <w:noWrap/>
            <w:hideMark/>
          </w:tcPr>
          <w:p w14:paraId="55FCBDF4"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GSK</w:t>
            </w:r>
          </w:p>
        </w:tc>
        <w:tc>
          <w:tcPr>
            <w:tcW w:w="969" w:type="dxa"/>
            <w:noWrap/>
            <w:hideMark/>
          </w:tcPr>
          <w:p w14:paraId="5C102503"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Unilever</w:t>
            </w:r>
          </w:p>
        </w:tc>
        <w:tc>
          <w:tcPr>
            <w:tcW w:w="1268" w:type="dxa"/>
            <w:noWrap/>
            <w:hideMark/>
          </w:tcPr>
          <w:p w14:paraId="7268D48E"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 xml:space="preserve">Reckitt </w:t>
            </w:r>
            <w:r w:rsidRPr="00246195">
              <w:rPr>
                <w:rFonts w:eastAsia="Times New Roman" w:cs="Times New Roman"/>
                <w:color w:val="000000"/>
                <w:szCs w:val="24"/>
                <w:lang w:val="en-US"/>
              </w:rPr>
              <w:t>Benckiser</w:t>
            </w:r>
          </w:p>
        </w:tc>
        <w:tc>
          <w:tcPr>
            <w:tcW w:w="767" w:type="dxa"/>
            <w:noWrap/>
            <w:hideMark/>
          </w:tcPr>
          <w:p w14:paraId="3AAF3E14"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B.P.</w:t>
            </w:r>
          </w:p>
        </w:tc>
        <w:tc>
          <w:tcPr>
            <w:tcW w:w="1311" w:type="dxa"/>
            <w:noWrap/>
            <w:hideMark/>
          </w:tcPr>
          <w:p w14:paraId="6FED4DB8"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AstraZeneca</w:t>
            </w:r>
          </w:p>
        </w:tc>
        <w:tc>
          <w:tcPr>
            <w:tcW w:w="1253" w:type="dxa"/>
            <w:noWrap/>
            <w:hideMark/>
          </w:tcPr>
          <w:p w14:paraId="7DCB7E7B"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Alliance Pharma</w:t>
            </w:r>
          </w:p>
        </w:tc>
        <w:tc>
          <w:tcPr>
            <w:tcW w:w="944" w:type="dxa"/>
            <w:noWrap/>
            <w:hideMark/>
          </w:tcPr>
          <w:p w14:paraId="02C03198"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Average</w:t>
            </w:r>
          </w:p>
        </w:tc>
      </w:tr>
      <w:tr w:rsidR="00304AE7" w14:paraId="16D7538F" w14:textId="77777777" w:rsidTr="00246195">
        <w:trPr>
          <w:trHeight w:val="293"/>
        </w:trPr>
        <w:tc>
          <w:tcPr>
            <w:tcW w:w="2538" w:type="dxa"/>
            <w:noWrap/>
            <w:hideMark/>
          </w:tcPr>
          <w:p w14:paraId="560F56CA"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Gross profit margin</w:t>
            </w:r>
          </w:p>
        </w:tc>
        <w:tc>
          <w:tcPr>
            <w:tcW w:w="877" w:type="dxa"/>
            <w:noWrap/>
            <w:hideMark/>
          </w:tcPr>
          <w:p w14:paraId="25815402"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65.00%</w:t>
            </w:r>
          </w:p>
        </w:tc>
        <w:tc>
          <w:tcPr>
            <w:tcW w:w="969" w:type="dxa"/>
            <w:noWrap/>
            <w:hideMark/>
          </w:tcPr>
          <w:p w14:paraId="6D809549"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44.00%</w:t>
            </w:r>
          </w:p>
        </w:tc>
        <w:tc>
          <w:tcPr>
            <w:tcW w:w="1268" w:type="dxa"/>
            <w:noWrap/>
            <w:hideMark/>
          </w:tcPr>
          <w:p w14:paraId="78EBF313"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60.00%</w:t>
            </w:r>
          </w:p>
        </w:tc>
        <w:tc>
          <w:tcPr>
            <w:tcW w:w="767" w:type="dxa"/>
            <w:noWrap/>
            <w:hideMark/>
          </w:tcPr>
          <w:p w14:paraId="0ED90CED"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9.40%</w:t>
            </w:r>
          </w:p>
        </w:tc>
        <w:tc>
          <w:tcPr>
            <w:tcW w:w="1311" w:type="dxa"/>
            <w:noWrap/>
            <w:hideMark/>
          </w:tcPr>
          <w:p w14:paraId="37D19EAA"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72.35%</w:t>
            </w:r>
          </w:p>
        </w:tc>
        <w:tc>
          <w:tcPr>
            <w:tcW w:w="1253" w:type="dxa"/>
            <w:noWrap/>
            <w:hideMark/>
          </w:tcPr>
          <w:p w14:paraId="7FC0ACEE"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85.79%</w:t>
            </w:r>
          </w:p>
        </w:tc>
        <w:tc>
          <w:tcPr>
            <w:tcW w:w="944" w:type="dxa"/>
            <w:noWrap/>
            <w:hideMark/>
          </w:tcPr>
          <w:p w14:paraId="1DB72A1D"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56.09%</w:t>
            </w:r>
          </w:p>
        </w:tc>
      </w:tr>
      <w:tr w:rsidR="00304AE7" w14:paraId="107B4F53" w14:textId="77777777" w:rsidTr="00246195">
        <w:trPr>
          <w:trHeight w:val="293"/>
        </w:trPr>
        <w:tc>
          <w:tcPr>
            <w:tcW w:w="2538" w:type="dxa"/>
            <w:noWrap/>
            <w:hideMark/>
          </w:tcPr>
          <w:p w14:paraId="5DAD5131"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Net profit margin</w:t>
            </w:r>
          </w:p>
        </w:tc>
        <w:tc>
          <w:tcPr>
            <w:tcW w:w="877" w:type="dxa"/>
            <w:noWrap/>
            <w:hideMark/>
          </w:tcPr>
          <w:p w14:paraId="5D10A023"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16.00%</w:t>
            </w:r>
          </w:p>
        </w:tc>
        <w:tc>
          <w:tcPr>
            <w:tcW w:w="969" w:type="dxa"/>
            <w:noWrap/>
            <w:hideMark/>
          </w:tcPr>
          <w:p w14:paraId="61DC48A9"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11.00%</w:t>
            </w:r>
          </w:p>
        </w:tc>
        <w:tc>
          <w:tcPr>
            <w:tcW w:w="1268" w:type="dxa"/>
            <w:noWrap/>
            <w:hideMark/>
          </w:tcPr>
          <w:p w14:paraId="5ADC7574"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-22.00%</w:t>
            </w:r>
          </w:p>
        </w:tc>
        <w:tc>
          <w:tcPr>
            <w:tcW w:w="767" w:type="dxa"/>
            <w:noWrap/>
            <w:hideMark/>
          </w:tcPr>
          <w:p w14:paraId="5692B8DC"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1.45%</w:t>
            </w:r>
          </w:p>
        </w:tc>
        <w:tc>
          <w:tcPr>
            <w:tcW w:w="1311" w:type="dxa"/>
            <w:noWrap/>
            <w:hideMark/>
          </w:tcPr>
          <w:p w14:paraId="55CAA1F8"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5.47%</w:t>
            </w:r>
          </w:p>
        </w:tc>
        <w:tc>
          <w:tcPr>
            <w:tcW w:w="1253" w:type="dxa"/>
            <w:noWrap/>
            <w:hideMark/>
          </w:tcPr>
          <w:p w14:paraId="59B47CF6"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48.53%</w:t>
            </w:r>
          </w:p>
        </w:tc>
        <w:tc>
          <w:tcPr>
            <w:tcW w:w="944" w:type="dxa"/>
            <w:noWrap/>
            <w:hideMark/>
          </w:tcPr>
          <w:p w14:paraId="7C2AC959"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10.08%</w:t>
            </w:r>
          </w:p>
        </w:tc>
      </w:tr>
      <w:tr w:rsidR="00304AE7" w14:paraId="3A632D14" w14:textId="77777777" w:rsidTr="00246195">
        <w:trPr>
          <w:trHeight w:val="293"/>
        </w:trPr>
        <w:tc>
          <w:tcPr>
            <w:tcW w:w="2538" w:type="dxa"/>
            <w:noWrap/>
            <w:hideMark/>
          </w:tcPr>
          <w:p w14:paraId="659EDD85"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ROE</w:t>
            </w:r>
          </w:p>
        </w:tc>
        <w:tc>
          <w:tcPr>
            <w:tcW w:w="877" w:type="dxa"/>
            <w:noWrap/>
            <w:hideMark/>
          </w:tcPr>
          <w:p w14:paraId="1AA52444"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29.00%</w:t>
            </w:r>
          </w:p>
        </w:tc>
        <w:tc>
          <w:tcPr>
            <w:tcW w:w="969" w:type="dxa"/>
            <w:noWrap/>
            <w:hideMark/>
          </w:tcPr>
          <w:p w14:paraId="4C6CFC39"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42.00%</w:t>
            </w:r>
          </w:p>
        </w:tc>
        <w:tc>
          <w:tcPr>
            <w:tcW w:w="1268" w:type="dxa"/>
            <w:noWrap/>
            <w:hideMark/>
          </w:tcPr>
          <w:p w14:paraId="0C150767"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-30.00%</w:t>
            </w:r>
          </w:p>
        </w:tc>
        <w:tc>
          <w:tcPr>
            <w:tcW w:w="767" w:type="dxa"/>
            <w:noWrap/>
            <w:hideMark/>
          </w:tcPr>
          <w:p w14:paraId="1DC9B517"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4.15%</w:t>
            </w:r>
          </w:p>
        </w:tc>
        <w:tc>
          <w:tcPr>
            <w:tcW w:w="1311" w:type="dxa"/>
            <w:noWrap/>
            <w:hideMark/>
          </w:tcPr>
          <w:p w14:paraId="5E34EF72"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9.49%</w:t>
            </w:r>
          </w:p>
        </w:tc>
        <w:tc>
          <w:tcPr>
            <w:tcW w:w="1253" w:type="dxa"/>
            <w:noWrap/>
            <w:hideMark/>
          </w:tcPr>
          <w:p w14:paraId="2FD2DC2E"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21.33%</w:t>
            </w:r>
          </w:p>
        </w:tc>
        <w:tc>
          <w:tcPr>
            <w:tcW w:w="944" w:type="dxa"/>
            <w:noWrap/>
            <w:hideMark/>
          </w:tcPr>
          <w:p w14:paraId="47559C8A"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12.66%</w:t>
            </w:r>
          </w:p>
        </w:tc>
      </w:tr>
      <w:tr w:rsidR="00304AE7" w14:paraId="5BE01185" w14:textId="77777777" w:rsidTr="00246195">
        <w:trPr>
          <w:trHeight w:val="293"/>
        </w:trPr>
        <w:tc>
          <w:tcPr>
            <w:tcW w:w="2538" w:type="dxa"/>
            <w:noWrap/>
            <w:hideMark/>
          </w:tcPr>
          <w:p w14:paraId="09C53508"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ROA</w:t>
            </w:r>
          </w:p>
        </w:tc>
        <w:tc>
          <w:tcPr>
            <w:tcW w:w="877" w:type="dxa"/>
            <w:noWrap/>
            <w:hideMark/>
          </w:tcPr>
          <w:p w14:paraId="6D90226F"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7.00%</w:t>
            </w:r>
          </w:p>
        </w:tc>
        <w:tc>
          <w:tcPr>
            <w:tcW w:w="969" w:type="dxa"/>
            <w:noWrap/>
            <w:hideMark/>
          </w:tcPr>
          <w:p w14:paraId="4D85F4CF"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13.00%</w:t>
            </w:r>
          </w:p>
        </w:tc>
        <w:tc>
          <w:tcPr>
            <w:tcW w:w="1268" w:type="dxa"/>
            <w:noWrap/>
            <w:hideMark/>
          </w:tcPr>
          <w:p w14:paraId="270D860A"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-9.00%</w:t>
            </w:r>
          </w:p>
        </w:tc>
        <w:tc>
          <w:tcPr>
            <w:tcW w:w="767" w:type="dxa"/>
            <w:noWrap/>
            <w:hideMark/>
          </w:tcPr>
          <w:p w14:paraId="4CDBE322"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1.42%</w:t>
            </w:r>
          </w:p>
        </w:tc>
        <w:tc>
          <w:tcPr>
            <w:tcW w:w="1311" w:type="dxa"/>
            <w:noWrap/>
            <w:hideMark/>
          </w:tcPr>
          <w:p w14:paraId="2AA55D5B"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2.26%</w:t>
            </w:r>
          </w:p>
        </w:tc>
        <w:tc>
          <w:tcPr>
            <w:tcW w:w="1253" w:type="dxa"/>
            <w:noWrap/>
            <w:hideMark/>
          </w:tcPr>
          <w:p w14:paraId="24FB22E8"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13.70%</w:t>
            </w:r>
          </w:p>
        </w:tc>
        <w:tc>
          <w:tcPr>
            <w:tcW w:w="944" w:type="dxa"/>
            <w:noWrap/>
            <w:hideMark/>
          </w:tcPr>
          <w:p w14:paraId="5176F69F"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4.73%</w:t>
            </w:r>
          </w:p>
        </w:tc>
      </w:tr>
      <w:tr w:rsidR="00304AE7" w14:paraId="6B0C3399" w14:textId="77777777" w:rsidTr="00246195">
        <w:trPr>
          <w:trHeight w:val="293"/>
        </w:trPr>
        <w:tc>
          <w:tcPr>
            <w:tcW w:w="2538" w:type="dxa"/>
            <w:noWrap/>
            <w:hideMark/>
          </w:tcPr>
          <w:p w14:paraId="3E0CFA67"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Current ratio</w:t>
            </w:r>
          </w:p>
        </w:tc>
        <w:tc>
          <w:tcPr>
            <w:tcW w:w="877" w:type="dxa"/>
            <w:noWrap/>
            <w:hideMark/>
          </w:tcPr>
          <w:p w14:paraId="12EF0827"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0.81</w:t>
            </w:r>
          </w:p>
        </w:tc>
        <w:tc>
          <w:tcPr>
            <w:tcW w:w="969" w:type="dxa"/>
            <w:noWrap/>
            <w:hideMark/>
          </w:tcPr>
          <w:p w14:paraId="771885A0"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0.78</w:t>
            </w:r>
          </w:p>
        </w:tc>
        <w:tc>
          <w:tcPr>
            <w:tcW w:w="1268" w:type="dxa"/>
            <w:noWrap/>
            <w:hideMark/>
          </w:tcPr>
          <w:p w14:paraId="02CB3394"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0.56</w:t>
            </w:r>
          </w:p>
        </w:tc>
        <w:tc>
          <w:tcPr>
            <w:tcW w:w="767" w:type="dxa"/>
            <w:noWrap/>
            <w:hideMark/>
          </w:tcPr>
          <w:p w14:paraId="48867055"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1.01</w:t>
            </w:r>
          </w:p>
        </w:tc>
        <w:tc>
          <w:tcPr>
            <w:tcW w:w="1311" w:type="dxa"/>
            <w:noWrap/>
            <w:hideMark/>
          </w:tcPr>
          <w:p w14:paraId="6890563A"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0.86</w:t>
            </w:r>
          </w:p>
        </w:tc>
        <w:tc>
          <w:tcPr>
            <w:tcW w:w="1253" w:type="dxa"/>
            <w:noWrap/>
            <w:hideMark/>
          </w:tcPr>
          <w:p w14:paraId="0448EEC1"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4.25</w:t>
            </w:r>
          </w:p>
        </w:tc>
        <w:tc>
          <w:tcPr>
            <w:tcW w:w="944" w:type="dxa"/>
            <w:noWrap/>
            <w:hideMark/>
          </w:tcPr>
          <w:p w14:paraId="7CFC0301"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1.38</w:t>
            </w:r>
          </w:p>
        </w:tc>
      </w:tr>
      <w:tr w:rsidR="00304AE7" w14:paraId="2D39B9C4" w14:textId="77777777" w:rsidTr="00246195">
        <w:trPr>
          <w:trHeight w:val="293"/>
        </w:trPr>
        <w:tc>
          <w:tcPr>
            <w:tcW w:w="2538" w:type="dxa"/>
            <w:noWrap/>
            <w:hideMark/>
          </w:tcPr>
          <w:p w14:paraId="4E2466B3"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Quick ratio</w:t>
            </w:r>
          </w:p>
        </w:tc>
        <w:tc>
          <w:tcPr>
            <w:tcW w:w="877" w:type="dxa"/>
            <w:noWrap/>
            <w:hideMark/>
          </w:tcPr>
          <w:p w14:paraId="6584AD14"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0.56</w:t>
            </w:r>
          </w:p>
        </w:tc>
        <w:tc>
          <w:tcPr>
            <w:tcW w:w="969" w:type="dxa"/>
            <w:noWrap/>
            <w:hideMark/>
          </w:tcPr>
          <w:p w14:paraId="2DF0C01E"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0.58</w:t>
            </w:r>
          </w:p>
        </w:tc>
        <w:tc>
          <w:tcPr>
            <w:tcW w:w="1268" w:type="dxa"/>
            <w:noWrap/>
            <w:hideMark/>
          </w:tcPr>
          <w:p w14:paraId="08070F4D"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0.42</w:t>
            </w:r>
          </w:p>
        </w:tc>
        <w:tc>
          <w:tcPr>
            <w:tcW w:w="767" w:type="dxa"/>
            <w:noWrap/>
            <w:hideMark/>
          </w:tcPr>
          <w:p w14:paraId="11E2ACA1"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0.73</w:t>
            </w:r>
          </w:p>
        </w:tc>
        <w:tc>
          <w:tcPr>
            <w:tcW w:w="1311" w:type="dxa"/>
            <w:noWrap/>
            <w:hideMark/>
          </w:tcPr>
          <w:p w14:paraId="4005640C"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0.68</w:t>
            </w:r>
          </w:p>
        </w:tc>
        <w:tc>
          <w:tcPr>
            <w:tcW w:w="1253" w:type="dxa"/>
            <w:noWrap/>
            <w:hideMark/>
          </w:tcPr>
          <w:p w14:paraId="29DBE5BF"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3.73</w:t>
            </w:r>
          </w:p>
        </w:tc>
        <w:tc>
          <w:tcPr>
            <w:tcW w:w="944" w:type="dxa"/>
            <w:noWrap/>
            <w:hideMark/>
          </w:tcPr>
          <w:p w14:paraId="74098B81"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1.12</w:t>
            </w:r>
          </w:p>
        </w:tc>
      </w:tr>
      <w:tr w:rsidR="00304AE7" w14:paraId="61629E1B" w14:textId="77777777" w:rsidTr="00246195">
        <w:trPr>
          <w:trHeight w:val="293"/>
        </w:trPr>
        <w:tc>
          <w:tcPr>
            <w:tcW w:w="2538" w:type="dxa"/>
            <w:noWrap/>
            <w:hideMark/>
          </w:tcPr>
          <w:p w14:paraId="1A986F3E"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Cash ratio</w:t>
            </w:r>
          </w:p>
        </w:tc>
        <w:tc>
          <w:tcPr>
            <w:tcW w:w="877" w:type="dxa"/>
            <w:noWrap/>
            <w:hideMark/>
          </w:tcPr>
          <w:p w14:paraId="64F06B99"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0.20</w:t>
            </w:r>
          </w:p>
        </w:tc>
        <w:tc>
          <w:tcPr>
            <w:tcW w:w="969" w:type="dxa"/>
            <w:noWrap/>
            <w:hideMark/>
          </w:tcPr>
          <w:p w14:paraId="765CB0C2"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0.24</w:t>
            </w:r>
          </w:p>
        </w:tc>
        <w:tc>
          <w:tcPr>
            <w:tcW w:w="1268" w:type="dxa"/>
            <w:noWrap/>
            <w:hideMark/>
          </w:tcPr>
          <w:p w14:paraId="5CF5FD0F"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0.17</w:t>
            </w:r>
          </w:p>
        </w:tc>
        <w:tc>
          <w:tcPr>
            <w:tcW w:w="767" w:type="dxa"/>
            <w:noWrap/>
            <w:hideMark/>
          </w:tcPr>
          <w:p w14:paraId="63FA0895"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0.31</w:t>
            </w:r>
          </w:p>
        </w:tc>
        <w:tc>
          <w:tcPr>
            <w:tcW w:w="1311" w:type="dxa"/>
            <w:noWrap/>
            <w:hideMark/>
          </w:tcPr>
          <w:p w14:paraId="0A2817B2"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0.34</w:t>
            </w:r>
          </w:p>
        </w:tc>
        <w:tc>
          <w:tcPr>
            <w:tcW w:w="1253" w:type="dxa"/>
            <w:noWrap/>
            <w:hideMark/>
          </w:tcPr>
          <w:p w14:paraId="3F21B9CB"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2.33</w:t>
            </w:r>
          </w:p>
        </w:tc>
        <w:tc>
          <w:tcPr>
            <w:tcW w:w="944" w:type="dxa"/>
            <w:noWrap/>
            <w:hideMark/>
          </w:tcPr>
          <w:p w14:paraId="0BE16815"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0.60</w:t>
            </w:r>
          </w:p>
        </w:tc>
      </w:tr>
      <w:tr w:rsidR="00304AE7" w14:paraId="1715E8BE" w14:textId="77777777" w:rsidTr="00246195">
        <w:trPr>
          <w:trHeight w:val="293"/>
        </w:trPr>
        <w:tc>
          <w:tcPr>
            <w:tcW w:w="2538" w:type="dxa"/>
            <w:noWrap/>
            <w:hideMark/>
          </w:tcPr>
          <w:p w14:paraId="1F585FA8"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Debt-equity ratio</w:t>
            </w:r>
          </w:p>
        </w:tc>
        <w:tc>
          <w:tcPr>
            <w:tcW w:w="877" w:type="dxa"/>
            <w:noWrap/>
            <w:hideMark/>
          </w:tcPr>
          <w:p w14:paraId="1C5A6E73"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1.59</w:t>
            </w:r>
          </w:p>
        </w:tc>
        <w:tc>
          <w:tcPr>
            <w:tcW w:w="969" w:type="dxa"/>
            <w:noWrap/>
            <w:hideMark/>
          </w:tcPr>
          <w:p w14:paraId="544BF104"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2.00</w:t>
            </w:r>
          </w:p>
        </w:tc>
        <w:tc>
          <w:tcPr>
            <w:tcW w:w="1268" w:type="dxa"/>
            <w:noWrap/>
            <w:hideMark/>
          </w:tcPr>
          <w:p w14:paraId="006A0BFC"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1.30</w:t>
            </w:r>
          </w:p>
        </w:tc>
        <w:tc>
          <w:tcPr>
            <w:tcW w:w="767" w:type="dxa"/>
            <w:noWrap/>
            <w:hideMark/>
          </w:tcPr>
          <w:p w14:paraId="7F5A7ABD"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0.77</w:t>
            </w:r>
          </w:p>
        </w:tc>
        <w:tc>
          <w:tcPr>
            <w:tcW w:w="1311" w:type="dxa"/>
            <w:noWrap/>
            <w:hideMark/>
          </w:tcPr>
          <w:p w14:paraId="4D23ADB4"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1.25</w:t>
            </w:r>
          </w:p>
        </w:tc>
        <w:tc>
          <w:tcPr>
            <w:tcW w:w="1253" w:type="dxa"/>
            <w:noWrap/>
            <w:hideMark/>
          </w:tcPr>
          <w:p w14:paraId="6CCBC328"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0.24</w:t>
            </w:r>
          </w:p>
        </w:tc>
        <w:tc>
          <w:tcPr>
            <w:tcW w:w="944" w:type="dxa"/>
            <w:noWrap/>
            <w:hideMark/>
          </w:tcPr>
          <w:p w14:paraId="600ABD88"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1.19</w:t>
            </w:r>
          </w:p>
        </w:tc>
      </w:tr>
      <w:tr w:rsidR="00304AE7" w14:paraId="5FCD1BF6" w14:textId="77777777" w:rsidTr="00246195">
        <w:trPr>
          <w:trHeight w:val="293"/>
        </w:trPr>
        <w:tc>
          <w:tcPr>
            <w:tcW w:w="2538" w:type="dxa"/>
            <w:noWrap/>
            <w:hideMark/>
          </w:tcPr>
          <w:p w14:paraId="3E8E8ECD"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Equity ratio</w:t>
            </w:r>
          </w:p>
        </w:tc>
        <w:tc>
          <w:tcPr>
            <w:tcW w:w="877" w:type="dxa"/>
            <w:noWrap/>
            <w:hideMark/>
          </w:tcPr>
          <w:p w14:paraId="7E0916C6"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0.23</w:t>
            </w:r>
          </w:p>
        </w:tc>
        <w:tc>
          <w:tcPr>
            <w:tcW w:w="969" w:type="dxa"/>
            <w:noWrap/>
            <w:hideMark/>
          </w:tcPr>
          <w:p w14:paraId="3DBBB4FF"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0.31</w:t>
            </w:r>
          </w:p>
        </w:tc>
        <w:tc>
          <w:tcPr>
            <w:tcW w:w="1268" w:type="dxa"/>
            <w:noWrap/>
            <w:hideMark/>
          </w:tcPr>
          <w:p w14:paraId="651B7945"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0.29</w:t>
            </w:r>
          </w:p>
        </w:tc>
        <w:tc>
          <w:tcPr>
            <w:tcW w:w="767" w:type="dxa"/>
            <w:noWrap/>
            <w:hideMark/>
          </w:tcPr>
          <w:p w14:paraId="6A0835B7"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0.34</w:t>
            </w:r>
          </w:p>
        </w:tc>
        <w:tc>
          <w:tcPr>
            <w:tcW w:w="1311" w:type="dxa"/>
            <w:noWrap/>
            <w:hideMark/>
          </w:tcPr>
          <w:p w14:paraId="58018BAA"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0.24</w:t>
            </w:r>
          </w:p>
        </w:tc>
        <w:tc>
          <w:tcPr>
            <w:tcW w:w="1253" w:type="dxa"/>
            <w:noWrap/>
            <w:hideMark/>
          </w:tcPr>
          <w:p w14:paraId="4E57DEF6"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0.64</w:t>
            </w:r>
          </w:p>
        </w:tc>
        <w:tc>
          <w:tcPr>
            <w:tcW w:w="944" w:type="dxa"/>
            <w:noWrap/>
            <w:hideMark/>
          </w:tcPr>
          <w:p w14:paraId="1C1153EB"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0.34</w:t>
            </w:r>
          </w:p>
        </w:tc>
      </w:tr>
      <w:tr w:rsidR="00304AE7" w14:paraId="18D4B7D1" w14:textId="77777777" w:rsidTr="00246195">
        <w:trPr>
          <w:trHeight w:val="293"/>
        </w:trPr>
        <w:tc>
          <w:tcPr>
            <w:tcW w:w="2538" w:type="dxa"/>
            <w:noWrap/>
            <w:hideMark/>
          </w:tcPr>
          <w:p w14:paraId="5AB6920B"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Debt ratio</w:t>
            </w:r>
          </w:p>
        </w:tc>
        <w:tc>
          <w:tcPr>
            <w:tcW w:w="877" w:type="dxa"/>
            <w:noWrap/>
            <w:hideMark/>
          </w:tcPr>
          <w:p w14:paraId="290D9C7E"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0.37</w:t>
            </w:r>
          </w:p>
        </w:tc>
        <w:tc>
          <w:tcPr>
            <w:tcW w:w="969" w:type="dxa"/>
            <w:noWrap/>
            <w:hideMark/>
          </w:tcPr>
          <w:p w14:paraId="0A396837"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0.61</w:t>
            </w:r>
          </w:p>
        </w:tc>
        <w:tc>
          <w:tcPr>
            <w:tcW w:w="1268" w:type="dxa"/>
            <w:noWrap/>
            <w:hideMark/>
          </w:tcPr>
          <w:p w14:paraId="575FC2AC"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0.38</w:t>
            </w:r>
          </w:p>
        </w:tc>
        <w:tc>
          <w:tcPr>
            <w:tcW w:w="767" w:type="dxa"/>
            <w:noWrap/>
            <w:hideMark/>
          </w:tcPr>
          <w:p w14:paraId="0FBC1F46"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0.26</w:t>
            </w:r>
          </w:p>
        </w:tc>
        <w:tc>
          <w:tcPr>
            <w:tcW w:w="1311" w:type="dxa"/>
            <w:noWrap/>
            <w:hideMark/>
          </w:tcPr>
          <w:p w14:paraId="3F086B4A"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0.30</w:t>
            </w:r>
          </w:p>
        </w:tc>
        <w:tc>
          <w:tcPr>
            <w:tcW w:w="1253" w:type="dxa"/>
            <w:noWrap/>
            <w:hideMark/>
          </w:tcPr>
          <w:p w14:paraId="4108CBD3"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0.16</w:t>
            </w:r>
          </w:p>
        </w:tc>
        <w:tc>
          <w:tcPr>
            <w:tcW w:w="944" w:type="dxa"/>
            <w:noWrap/>
            <w:hideMark/>
          </w:tcPr>
          <w:p w14:paraId="0980449C"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0.35</w:t>
            </w:r>
          </w:p>
        </w:tc>
      </w:tr>
      <w:tr w:rsidR="00304AE7" w14:paraId="4E7436D5" w14:textId="77777777" w:rsidTr="00246195">
        <w:trPr>
          <w:trHeight w:val="293"/>
        </w:trPr>
        <w:tc>
          <w:tcPr>
            <w:tcW w:w="2538" w:type="dxa"/>
            <w:noWrap/>
            <w:hideMark/>
          </w:tcPr>
          <w:p w14:paraId="339C87AC"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Inventory turnover ratio</w:t>
            </w:r>
          </w:p>
        </w:tc>
        <w:tc>
          <w:tcPr>
            <w:tcW w:w="877" w:type="dxa"/>
            <w:noWrap/>
            <w:hideMark/>
          </w:tcPr>
          <w:p w14:paraId="170D948C"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1.99</w:t>
            </w:r>
          </w:p>
        </w:tc>
        <w:tc>
          <w:tcPr>
            <w:tcW w:w="969" w:type="dxa"/>
            <w:noWrap/>
            <w:hideMark/>
          </w:tcPr>
          <w:p w14:paraId="7F088823"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1.99</w:t>
            </w:r>
          </w:p>
        </w:tc>
        <w:tc>
          <w:tcPr>
            <w:tcW w:w="1268" w:type="dxa"/>
            <w:noWrap/>
            <w:hideMark/>
          </w:tcPr>
          <w:p w14:paraId="055B9949"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3.92</w:t>
            </w:r>
          </w:p>
        </w:tc>
        <w:tc>
          <w:tcPr>
            <w:tcW w:w="767" w:type="dxa"/>
            <w:noWrap/>
            <w:hideMark/>
          </w:tcPr>
          <w:p w14:paraId="26142EA8"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12.54</w:t>
            </w:r>
          </w:p>
        </w:tc>
        <w:tc>
          <w:tcPr>
            <w:tcW w:w="1311" w:type="dxa"/>
            <w:noWrap/>
            <w:hideMark/>
          </w:tcPr>
          <w:p w14:paraId="6F4EB227"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2.19</w:t>
            </w:r>
          </w:p>
        </w:tc>
        <w:tc>
          <w:tcPr>
            <w:tcW w:w="1253" w:type="dxa"/>
            <w:noWrap/>
            <w:hideMark/>
          </w:tcPr>
          <w:p w14:paraId="39157B2E"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1.12</w:t>
            </w:r>
          </w:p>
        </w:tc>
        <w:tc>
          <w:tcPr>
            <w:tcW w:w="944" w:type="dxa"/>
            <w:noWrap/>
            <w:hideMark/>
          </w:tcPr>
          <w:p w14:paraId="082354AD"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3.96</w:t>
            </w:r>
          </w:p>
        </w:tc>
      </w:tr>
      <w:tr w:rsidR="00304AE7" w14:paraId="544B8280" w14:textId="77777777" w:rsidTr="00246195">
        <w:trPr>
          <w:trHeight w:val="293"/>
        </w:trPr>
        <w:tc>
          <w:tcPr>
            <w:tcW w:w="2538" w:type="dxa"/>
            <w:noWrap/>
            <w:hideMark/>
          </w:tcPr>
          <w:p w14:paraId="5B6855E1" w14:textId="77777777" w:rsidR="00DF62C3" w:rsidRPr="00246195" w:rsidRDefault="00313C6B" w:rsidP="00DF62C3">
            <w:pPr>
              <w:jc w:val="left"/>
              <w:rPr>
                <w:rFonts w:eastAsia="Times New Roman" w:cs="Times New Roman"/>
                <w:color w:val="000000"/>
                <w:szCs w:val="24"/>
                <w:lang w:val="en-US"/>
              </w:rPr>
            </w:pPr>
            <w:r w:rsidRPr="00246195">
              <w:rPr>
                <w:rFonts w:eastAsia="Times New Roman" w:cs="Times New Roman"/>
                <w:color w:val="000000"/>
                <w:szCs w:val="24"/>
                <w:lang w:val="en-US"/>
              </w:rPr>
              <w:t>Asset turnover ratio</w:t>
            </w:r>
          </w:p>
        </w:tc>
        <w:tc>
          <w:tcPr>
            <w:tcW w:w="877" w:type="dxa"/>
            <w:noWrap/>
            <w:hideMark/>
          </w:tcPr>
          <w:p w14:paraId="4CB38409"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0.42</w:t>
            </w:r>
          </w:p>
        </w:tc>
        <w:tc>
          <w:tcPr>
            <w:tcW w:w="969" w:type="dxa"/>
            <w:noWrap/>
            <w:hideMark/>
          </w:tcPr>
          <w:p w14:paraId="1DDD2B4F"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0.42</w:t>
            </w:r>
          </w:p>
        </w:tc>
        <w:tc>
          <w:tcPr>
            <w:tcW w:w="1268" w:type="dxa"/>
            <w:noWrap/>
            <w:hideMark/>
          </w:tcPr>
          <w:p w14:paraId="48D3279A"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0.40</w:t>
            </w:r>
          </w:p>
        </w:tc>
        <w:tc>
          <w:tcPr>
            <w:tcW w:w="767" w:type="dxa"/>
            <w:noWrap/>
            <w:hideMark/>
          </w:tcPr>
          <w:p w14:paraId="67A317BC"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0.98</w:t>
            </w:r>
          </w:p>
        </w:tc>
        <w:tc>
          <w:tcPr>
            <w:tcW w:w="1311" w:type="dxa"/>
            <w:noWrap/>
            <w:hideMark/>
          </w:tcPr>
          <w:p w14:paraId="76D26A80"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0.41</w:t>
            </w:r>
          </w:p>
        </w:tc>
        <w:tc>
          <w:tcPr>
            <w:tcW w:w="1253" w:type="dxa"/>
            <w:noWrap/>
            <w:hideMark/>
          </w:tcPr>
          <w:p w14:paraId="014C9D3A"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0.28</w:t>
            </w:r>
          </w:p>
        </w:tc>
        <w:tc>
          <w:tcPr>
            <w:tcW w:w="944" w:type="dxa"/>
            <w:noWrap/>
            <w:hideMark/>
          </w:tcPr>
          <w:p w14:paraId="73385CC2" w14:textId="77777777" w:rsidR="00DF62C3" w:rsidRPr="00246195" w:rsidRDefault="00313C6B" w:rsidP="00DF62C3">
            <w:pPr>
              <w:jc w:val="right"/>
              <w:rPr>
                <w:rFonts w:eastAsia="Times New Roman" w:cs="Times New Roman"/>
                <w:color w:val="000000"/>
                <w:szCs w:val="24"/>
                <w:lang w:val="en-US"/>
              </w:rPr>
            </w:pPr>
            <w:r w:rsidRPr="00246195">
              <w:rPr>
                <w:rFonts w:eastAsia="Times New Roman" w:cs="Times New Roman"/>
                <w:color w:val="000000"/>
                <w:szCs w:val="24"/>
                <w:lang w:val="en-US"/>
              </w:rPr>
              <w:t>0.49</w:t>
            </w:r>
          </w:p>
        </w:tc>
      </w:tr>
    </w:tbl>
    <w:p w14:paraId="6FDA4FD3" w14:textId="77777777" w:rsidR="00895262" w:rsidRDefault="00895262" w:rsidP="00FB5261">
      <w:pPr>
        <w:spacing w:line="360" w:lineRule="auto"/>
        <w:rPr>
          <w:rFonts w:cs="Times New Roman"/>
          <w:szCs w:val="24"/>
        </w:rPr>
      </w:pPr>
    </w:p>
    <w:p w14:paraId="25353E00" w14:textId="77777777" w:rsidR="00E025A5" w:rsidRDefault="00313C6B" w:rsidP="00FB5261">
      <w:pPr>
        <w:spacing w:line="360" w:lineRule="auto"/>
        <w:rPr>
          <w:rFonts w:cs="Times New Roman"/>
          <w:szCs w:val="24"/>
        </w:rPr>
      </w:pPr>
      <w:r>
        <w:rPr>
          <w:rFonts w:cs="Times New Roman"/>
          <w:szCs w:val="24"/>
        </w:rPr>
        <w:t xml:space="preserve">In 2019, consistently with other years, the company generated </w:t>
      </w:r>
      <w:r w:rsidR="00A862ED">
        <w:rPr>
          <w:rFonts w:cs="Times New Roman"/>
          <w:szCs w:val="24"/>
        </w:rPr>
        <w:t xml:space="preserve">an </w:t>
      </w:r>
      <w:r>
        <w:rPr>
          <w:rFonts w:cs="Times New Roman"/>
          <w:szCs w:val="24"/>
        </w:rPr>
        <w:t xml:space="preserve">above-average gross profit margin. The net profit margin in that year seemed to be increasing. ROE and ROA both were above the average. </w:t>
      </w:r>
      <w:r w:rsidR="00232704">
        <w:rPr>
          <w:rFonts w:cs="Times New Roman"/>
          <w:szCs w:val="24"/>
        </w:rPr>
        <w:t xml:space="preserve">It suggests that, in 2019, GSK could better their performance compared to previous years. </w:t>
      </w:r>
    </w:p>
    <w:p w14:paraId="069852A8" w14:textId="77777777" w:rsidR="002E0814" w:rsidRDefault="00313C6B" w:rsidP="00FB5261">
      <w:pPr>
        <w:spacing w:line="360" w:lineRule="auto"/>
        <w:rPr>
          <w:rFonts w:cs="Times New Roman"/>
          <w:szCs w:val="24"/>
        </w:rPr>
      </w:pPr>
      <w:r>
        <w:rPr>
          <w:rFonts w:cs="Times New Roman"/>
          <w:szCs w:val="24"/>
        </w:rPr>
        <w:t>It is quite unfortunate that GSK could not improve the liquidity condition of their business in 2019 too.</w:t>
      </w:r>
    </w:p>
    <w:p w14:paraId="1CA7A38B" w14:textId="77777777" w:rsidR="002E0814" w:rsidRDefault="00313C6B" w:rsidP="002E0814">
      <w:pPr>
        <w:spacing w:line="360" w:lineRule="auto"/>
        <w:rPr>
          <w:rFonts w:cs="Times New Roman"/>
          <w:szCs w:val="24"/>
        </w:rPr>
      </w:pPr>
      <w:r>
        <w:rPr>
          <w:rFonts w:cs="Times New Roman"/>
          <w:szCs w:val="24"/>
        </w:rPr>
        <w:t xml:space="preserve">The debt-to-equity ratio and debt ratio of GSK exceed the average ratio, but </w:t>
      </w:r>
      <w:r w:rsidR="00A862ED">
        <w:rPr>
          <w:rFonts w:cs="Times New Roman"/>
          <w:szCs w:val="24"/>
        </w:rPr>
        <w:t xml:space="preserve">the </w:t>
      </w:r>
      <w:r>
        <w:rPr>
          <w:rFonts w:cs="Times New Roman"/>
          <w:szCs w:val="24"/>
        </w:rPr>
        <w:t xml:space="preserve">equity ratio could not have </w:t>
      </w:r>
      <w:r w:rsidR="00A862ED">
        <w:rPr>
          <w:rFonts w:cs="Times New Roman"/>
          <w:szCs w:val="24"/>
        </w:rPr>
        <w:t xml:space="preserve">a </w:t>
      </w:r>
      <w:r>
        <w:rPr>
          <w:rFonts w:cs="Times New Roman"/>
          <w:szCs w:val="24"/>
        </w:rPr>
        <w:t>competitive advantage.</w:t>
      </w:r>
    </w:p>
    <w:p w14:paraId="6639BAEC" w14:textId="77777777" w:rsidR="002E0814" w:rsidRDefault="00313C6B" w:rsidP="00FB5261">
      <w:pPr>
        <w:spacing w:line="360" w:lineRule="auto"/>
        <w:rPr>
          <w:rFonts w:cs="Times New Roman"/>
          <w:szCs w:val="24"/>
        </w:rPr>
      </w:pPr>
      <w:r>
        <w:rPr>
          <w:rFonts w:cs="Times New Roman"/>
          <w:szCs w:val="24"/>
        </w:rPr>
        <w:t xml:space="preserve">Both the inventory turnover ratio and asset turnover ratio are below average. It suggests that </w:t>
      </w:r>
      <w:r w:rsidR="00A862ED">
        <w:rPr>
          <w:rFonts w:cs="Times New Roman"/>
          <w:szCs w:val="24"/>
        </w:rPr>
        <w:t xml:space="preserve">the </w:t>
      </w:r>
      <w:r>
        <w:rPr>
          <w:rFonts w:cs="Times New Roman"/>
          <w:szCs w:val="24"/>
        </w:rPr>
        <w:t>company could not allur</w:t>
      </w:r>
      <w:r>
        <w:rPr>
          <w:rFonts w:cs="Times New Roman"/>
          <w:szCs w:val="24"/>
        </w:rPr>
        <w:t>e its customers to buy products, and they cannot use their assets properly to increase s</w:t>
      </w:r>
      <w:r w:rsidR="00A862ED">
        <w:rPr>
          <w:rFonts w:cs="Times New Roman"/>
          <w:szCs w:val="24"/>
        </w:rPr>
        <w:t>ales</w:t>
      </w:r>
      <w:r>
        <w:rPr>
          <w:rFonts w:cs="Times New Roman"/>
          <w:szCs w:val="24"/>
        </w:rPr>
        <w:t>.</w:t>
      </w:r>
    </w:p>
    <w:p w14:paraId="4FC4EF1D" w14:textId="77777777" w:rsidR="002E0814" w:rsidRDefault="00313C6B" w:rsidP="00246195">
      <w:pPr>
        <w:pStyle w:val="Heading2"/>
      </w:pPr>
      <w:bookmarkStart w:id="9" w:name="_Toc61379995"/>
      <w:r>
        <w:t>3.3 Recommendation on Improvement of Financial Management</w:t>
      </w:r>
      <w:bookmarkEnd w:id="9"/>
    </w:p>
    <w:p w14:paraId="5115FD48" w14:textId="77777777" w:rsidR="002E0814" w:rsidRDefault="00313C6B" w:rsidP="00FB5261">
      <w:pPr>
        <w:spacing w:line="360" w:lineRule="auto"/>
        <w:rPr>
          <w:rFonts w:cs="Times New Roman"/>
          <w:szCs w:val="24"/>
        </w:rPr>
      </w:pPr>
      <w:r>
        <w:rPr>
          <w:rFonts w:cs="Times New Roman"/>
          <w:szCs w:val="24"/>
        </w:rPr>
        <w:t>The company seem</w:t>
      </w:r>
      <w:r w:rsidR="00A862ED">
        <w:rPr>
          <w:rFonts w:cs="Times New Roman"/>
          <w:szCs w:val="24"/>
        </w:rPr>
        <w:t>s</w:t>
      </w:r>
      <w:r>
        <w:rPr>
          <w:rFonts w:cs="Times New Roman"/>
          <w:szCs w:val="24"/>
        </w:rPr>
        <w:t xml:space="preserve"> to have trouble regarding its liquidity most. They must immediately take action to imp</w:t>
      </w:r>
      <w:r>
        <w:rPr>
          <w:rFonts w:cs="Times New Roman"/>
          <w:szCs w:val="24"/>
        </w:rPr>
        <w:t>rove the ratios. They could use sweep accounts, cut overhead expenses</w:t>
      </w:r>
      <w:r w:rsidR="00A862ED">
        <w:rPr>
          <w:rFonts w:cs="Times New Roman"/>
          <w:szCs w:val="24"/>
        </w:rPr>
        <w:t>,</w:t>
      </w:r>
      <w:r>
        <w:rPr>
          <w:rFonts w:cs="Times New Roman"/>
          <w:szCs w:val="24"/>
        </w:rPr>
        <w:t xml:space="preserve"> and pay off short</w:t>
      </w:r>
      <w:r w:rsidR="00A862ED">
        <w:rPr>
          <w:rFonts w:cs="Times New Roman"/>
          <w:szCs w:val="24"/>
        </w:rPr>
        <w:t>-</w:t>
      </w:r>
      <w:r>
        <w:rPr>
          <w:rFonts w:cs="Times New Roman"/>
          <w:szCs w:val="24"/>
        </w:rPr>
        <w:t>term liabilities as efficiently as possible</w:t>
      </w:r>
      <w:r w:rsidR="003907C8">
        <w:rPr>
          <w:rFonts w:cs="Times New Roman"/>
          <w:szCs w:val="24"/>
        </w:rPr>
        <w:t xml:space="preserve"> </w:t>
      </w:r>
      <w:r w:rsidR="003907C8">
        <w:rPr>
          <w:color w:val="000000"/>
        </w:rPr>
        <w:t>(Bharma, 2021)</w:t>
      </w:r>
      <w:r>
        <w:rPr>
          <w:rFonts w:cs="Times New Roman"/>
          <w:szCs w:val="24"/>
        </w:rPr>
        <w:t>.</w:t>
      </w:r>
      <w:r w:rsidR="00841723">
        <w:rPr>
          <w:rFonts w:cs="Times New Roman"/>
          <w:szCs w:val="24"/>
        </w:rPr>
        <w:t xml:space="preserve"> The company should avoid taking </w:t>
      </w:r>
      <w:r w:rsidR="00841723">
        <w:rPr>
          <w:rFonts w:cs="Times New Roman"/>
          <w:szCs w:val="24"/>
        </w:rPr>
        <w:lastRenderedPageBreak/>
        <w:t>new loans. It could run sales campaigns to increase s</w:t>
      </w:r>
      <w:r w:rsidR="00A862ED">
        <w:rPr>
          <w:rFonts w:cs="Times New Roman"/>
          <w:szCs w:val="24"/>
        </w:rPr>
        <w:t>ale</w:t>
      </w:r>
      <w:r w:rsidR="00841723">
        <w:rPr>
          <w:rFonts w:cs="Times New Roman"/>
          <w:szCs w:val="24"/>
        </w:rPr>
        <w:t>s revenue, issue new securities, and reconsider the operating expenses. It might help increase the solvency ratio of GSK.</w:t>
      </w:r>
    </w:p>
    <w:p w14:paraId="53A29383" w14:textId="77777777" w:rsidR="00C657AE" w:rsidRDefault="00313C6B" w:rsidP="00246195">
      <w:pPr>
        <w:pStyle w:val="Heading1"/>
      </w:pPr>
      <w:bookmarkStart w:id="10" w:name="_Toc61379996"/>
      <w:r>
        <w:t>4. Capital Budgeting</w:t>
      </w:r>
      <w:bookmarkEnd w:id="10"/>
      <w:r>
        <w:t xml:space="preserve"> </w:t>
      </w:r>
    </w:p>
    <w:p w14:paraId="1F01F90F" w14:textId="77777777" w:rsidR="0094153A" w:rsidRPr="00FB5261" w:rsidRDefault="00313C6B" w:rsidP="00C657AE">
      <w:pPr>
        <w:pStyle w:val="Heading2"/>
      </w:pPr>
      <w:bookmarkStart w:id="11" w:name="_Toc61379997"/>
      <w:r>
        <w:t xml:space="preserve">4.1 </w:t>
      </w:r>
      <w:r w:rsidR="00246195">
        <w:t>Calculation PBP, ARR</w:t>
      </w:r>
      <w:r w:rsidR="00A862ED">
        <w:t>,</w:t>
      </w:r>
      <w:r w:rsidR="00246195">
        <w:t xml:space="preserve"> and NPV</w:t>
      </w:r>
      <w:bookmarkEnd w:id="11"/>
    </w:p>
    <w:p w14:paraId="29BC8094" w14:textId="77777777" w:rsidR="003A4C88" w:rsidRPr="00FB5261" w:rsidRDefault="00313C6B" w:rsidP="00C657AE">
      <w:pPr>
        <w:pStyle w:val="Heading3"/>
      </w:pPr>
      <w:bookmarkStart w:id="12" w:name="_Toc61379998"/>
      <w:r>
        <w:t>4.1 Payback Period</w:t>
      </w:r>
      <w:bookmarkEnd w:id="12"/>
    </w:p>
    <w:p w14:paraId="3F9D7639" w14:textId="77777777" w:rsidR="0094153A" w:rsidRPr="00FB5261" w:rsidRDefault="00313C6B" w:rsidP="00FB5261">
      <w:pPr>
        <w:spacing w:line="360" w:lineRule="auto"/>
        <w:rPr>
          <w:rFonts w:cs="Times New Roman"/>
          <w:szCs w:val="24"/>
        </w:rPr>
      </w:pPr>
      <w:r w:rsidRPr="00FB5261">
        <w:rPr>
          <w:rFonts w:cs="Times New Roman"/>
          <w:szCs w:val="24"/>
        </w:rPr>
        <w:t>Payback Period of project A:</w:t>
      </w:r>
    </w:p>
    <w:tbl>
      <w:tblPr>
        <w:tblW w:w="5578" w:type="dxa"/>
        <w:tblLook w:val="04A0" w:firstRow="1" w:lastRow="0" w:firstColumn="1" w:lastColumn="0" w:noHBand="0" w:noVBand="1"/>
      </w:tblPr>
      <w:tblGrid>
        <w:gridCol w:w="1083"/>
        <w:gridCol w:w="1875"/>
        <w:gridCol w:w="2620"/>
      </w:tblGrid>
      <w:tr w:rsidR="00304AE7" w14:paraId="389C33A2" w14:textId="77777777" w:rsidTr="00892CEB">
        <w:trPr>
          <w:trHeight w:val="987"/>
        </w:trPr>
        <w:tc>
          <w:tcPr>
            <w:tcW w:w="1083"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16CD34FD" w14:textId="77777777" w:rsidR="0094153A" w:rsidRPr="00892CEB" w:rsidRDefault="00313C6B" w:rsidP="00FB5261">
            <w:pPr>
              <w:spacing w:after="0" w:line="360" w:lineRule="auto"/>
              <w:rPr>
                <w:rFonts w:eastAsia="Times New Roman" w:cs="Times New Roman"/>
                <w:b/>
                <w:bCs/>
                <w:color w:val="000000"/>
                <w:szCs w:val="24"/>
                <w:lang w:val="en-US"/>
              </w:rPr>
            </w:pPr>
            <w:r w:rsidRPr="00892CEB">
              <w:rPr>
                <w:rFonts w:eastAsia="Times New Roman" w:cs="Times New Roman"/>
                <w:b/>
                <w:bCs/>
                <w:color w:val="000000"/>
                <w:szCs w:val="24"/>
              </w:rPr>
              <w:t>Year</w:t>
            </w:r>
          </w:p>
        </w:tc>
        <w:tc>
          <w:tcPr>
            <w:tcW w:w="1875" w:type="dxa"/>
            <w:tcBorders>
              <w:top w:val="single" w:sz="8" w:space="0" w:color="auto"/>
              <w:left w:val="nil"/>
              <w:bottom w:val="single" w:sz="8" w:space="0" w:color="auto"/>
              <w:right w:val="single" w:sz="8" w:space="0" w:color="auto"/>
            </w:tcBorders>
            <w:shd w:val="clear" w:color="auto" w:fill="auto"/>
            <w:vAlign w:val="center"/>
            <w:hideMark/>
          </w:tcPr>
          <w:p w14:paraId="59767DF0" w14:textId="77777777" w:rsidR="0094153A" w:rsidRPr="00892CEB" w:rsidRDefault="00313C6B" w:rsidP="00FB5261">
            <w:pPr>
              <w:spacing w:after="0" w:line="360" w:lineRule="auto"/>
              <w:rPr>
                <w:rFonts w:eastAsia="Times New Roman" w:cs="Times New Roman"/>
                <w:b/>
                <w:bCs/>
                <w:color w:val="000000"/>
                <w:szCs w:val="24"/>
                <w:lang w:val="en-US"/>
              </w:rPr>
            </w:pPr>
            <w:r w:rsidRPr="00892CEB">
              <w:rPr>
                <w:rFonts w:eastAsia="Times New Roman" w:cs="Times New Roman"/>
                <w:b/>
                <w:bCs/>
                <w:color w:val="000000"/>
                <w:szCs w:val="24"/>
              </w:rPr>
              <w:t>Cash Flows</w:t>
            </w:r>
          </w:p>
        </w:tc>
        <w:tc>
          <w:tcPr>
            <w:tcW w:w="2620" w:type="dxa"/>
            <w:tcBorders>
              <w:top w:val="single" w:sz="8" w:space="0" w:color="auto"/>
              <w:left w:val="nil"/>
              <w:bottom w:val="single" w:sz="8" w:space="0" w:color="auto"/>
              <w:right w:val="single" w:sz="8" w:space="0" w:color="auto"/>
            </w:tcBorders>
            <w:shd w:val="clear" w:color="auto" w:fill="auto"/>
            <w:vAlign w:val="center"/>
            <w:hideMark/>
          </w:tcPr>
          <w:p w14:paraId="31CA4A96" w14:textId="77777777" w:rsidR="0094153A" w:rsidRPr="00892CEB" w:rsidRDefault="00313C6B" w:rsidP="00FB5261">
            <w:pPr>
              <w:spacing w:after="0" w:line="360" w:lineRule="auto"/>
              <w:rPr>
                <w:rFonts w:eastAsia="Times New Roman" w:cs="Times New Roman"/>
                <w:b/>
                <w:bCs/>
                <w:color w:val="000000"/>
                <w:szCs w:val="24"/>
                <w:lang w:val="en-US"/>
              </w:rPr>
            </w:pPr>
            <w:r w:rsidRPr="00892CEB">
              <w:rPr>
                <w:rFonts w:eastAsia="Times New Roman" w:cs="Times New Roman"/>
                <w:b/>
                <w:bCs/>
                <w:color w:val="000000"/>
                <w:szCs w:val="24"/>
              </w:rPr>
              <w:t>Cumulative Cash Flow</w:t>
            </w:r>
          </w:p>
        </w:tc>
      </w:tr>
      <w:tr w:rsidR="00304AE7" w14:paraId="303A93CF" w14:textId="77777777" w:rsidTr="00892CEB">
        <w:trPr>
          <w:trHeight w:val="339"/>
        </w:trPr>
        <w:tc>
          <w:tcPr>
            <w:tcW w:w="1083" w:type="dxa"/>
            <w:tcBorders>
              <w:top w:val="nil"/>
              <w:left w:val="single" w:sz="8" w:space="0" w:color="auto"/>
              <w:bottom w:val="single" w:sz="8" w:space="0" w:color="auto"/>
              <w:right w:val="single" w:sz="8" w:space="0" w:color="auto"/>
            </w:tcBorders>
            <w:shd w:val="clear" w:color="auto" w:fill="auto"/>
            <w:vAlign w:val="center"/>
            <w:hideMark/>
          </w:tcPr>
          <w:p w14:paraId="5B75B135"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rPr>
              <w:t>0</w:t>
            </w:r>
          </w:p>
        </w:tc>
        <w:tc>
          <w:tcPr>
            <w:tcW w:w="1875" w:type="dxa"/>
            <w:tcBorders>
              <w:top w:val="nil"/>
              <w:left w:val="nil"/>
              <w:bottom w:val="single" w:sz="8" w:space="0" w:color="auto"/>
              <w:right w:val="single" w:sz="8" w:space="0" w:color="auto"/>
            </w:tcBorders>
            <w:shd w:val="clear" w:color="auto" w:fill="auto"/>
            <w:vAlign w:val="center"/>
            <w:hideMark/>
          </w:tcPr>
          <w:p w14:paraId="4D1C128C"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rPr>
              <w:t>-85 (NCO)</w:t>
            </w:r>
          </w:p>
        </w:tc>
        <w:tc>
          <w:tcPr>
            <w:tcW w:w="2620" w:type="dxa"/>
            <w:tcBorders>
              <w:top w:val="nil"/>
              <w:left w:val="nil"/>
              <w:bottom w:val="single" w:sz="8" w:space="0" w:color="auto"/>
              <w:right w:val="single" w:sz="8" w:space="0" w:color="auto"/>
            </w:tcBorders>
            <w:shd w:val="clear" w:color="auto" w:fill="auto"/>
            <w:vAlign w:val="center"/>
            <w:hideMark/>
          </w:tcPr>
          <w:p w14:paraId="49006BF6"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rPr>
              <w:t> </w:t>
            </w:r>
          </w:p>
        </w:tc>
      </w:tr>
      <w:tr w:rsidR="00304AE7" w14:paraId="179D572A" w14:textId="77777777" w:rsidTr="00892CEB">
        <w:trPr>
          <w:trHeight w:val="339"/>
        </w:trPr>
        <w:tc>
          <w:tcPr>
            <w:tcW w:w="1083" w:type="dxa"/>
            <w:tcBorders>
              <w:top w:val="nil"/>
              <w:left w:val="single" w:sz="8" w:space="0" w:color="auto"/>
              <w:bottom w:val="single" w:sz="8" w:space="0" w:color="auto"/>
              <w:right w:val="single" w:sz="8" w:space="0" w:color="auto"/>
            </w:tcBorders>
            <w:shd w:val="clear" w:color="auto" w:fill="auto"/>
            <w:vAlign w:val="center"/>
            <w:hideMark/>
          </w:tcPr>
          <w:p w14:paraId="52454510"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rPr>
              <w:t>1</w:t>
            </w:r>
          </w:p>
        </w:tc>
        <w:tc>
          <w:tcPr>
            <w:tcW w:w="1875" w:type="dxa"/>
            <w:tcBorders>
              <w:top w:val="nil"/>
              <w:left w:val="nil"/>
              <w:bottom w:val="single" w:sz="8" w:space="0" w:color="auto"/>
              <w:right w:val="single" w:sz="8" w:space="0" w:color="auto"/>
            </w:tcBorders>
            <w:shd w:val="clear" w:color="auto" w:fill="auto"/>
            <w:vAlign w:val="center"/>
            <w:hideMark/>
          </w:tcPr>
          <w:p w14:paraId="467760FC"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rPr>
              <w:t>10</w:t>
            </w:r>
          </w:p>
        </w:tc>
        <w:tc>
          <w:tcPr>
            <w:tcW w:w="2620" w:type="dxa"/>
            <w:tcBorders>
              <w:top w:val="nil"/>
              <w:left w:val="nil"/>
              <w:bottom w:val="single" w:sz="8" w:space="0" w:color="auto"/>
              <w:right w:val="single" w:sz="8" w:space="0" w:color="auto"/>
            </w:tcBorders>
            <w:shd w:val="clear" w:color="auto" w:fill="auto"/>
            <w:vAlign w:val="center"/>
            <w:hideMark/>
          </w:tcPr>
          <w:p w14:paraId="6CD08C25"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10</w:t>
            </w:r>
          </w:p>
        </w:tc>
      </w:tr>
      <w:tr w:rsidR="00304AE7" w14:paraId="4CBC8A6E" w14:textId="77777777" w:rsidTr="00892CEB">
        <w:trPr>
          <w:trHeight w:val="339"/>
        </w:trPr>
        <w:tc>
          <w:tcPr>
            <w:tcW w:w="1083" w:type="dxa"/>
            <w:tcBorders>
              <w:top w:val="nil"/>
              <w:left w:val="single" w:sz="8" w:space="0" w:color="auto"/>
              <w:bottom w:val="single" w:sz="8" w:space="0" w:color="auto"/>
              <w:right w:val="single" w:sz="8" w:space="0" w:color="auto"/>
            </w:tcBorders>
            <w:shd w:val="clear" w:color="auto" w:fill="auto"/>
            <w:vAlign w:val="center"/>
            <w:hideMark/>
          </w:tcPr>
          <w:p w14:paraId="0A259325"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rPr>
              <w:t>2</w:t>
            </w:r>
          </w:p>
        </w:tc>
        <w:tc>
          <w:tcPr>
            <w:tcW w:w="1875" w:type="dxa"/>
            <w:tcBorders>
              <w:top w:val="nil"/>
              <w:left w:val="nil"/>
              <w:bottom w:val="single" w:sz="8" w:space="0" w:color="auto"/>
              <w:right w:val="single" w:sz="8" w:space="0" w:color="auto"/>
            </w:tcBorders>
            <w:shd w:val="clear" w:color="auto" w:fill="auto"/>
            <w:vAlign w:val="center"/>
            <w:hideMark/>
          </w:tcPr>
          <w:p w14:paraId="5E8A9E59"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rPr>
              <w:t>20</w:t>
            </w:r>
          </w:p>
        </w:tc>
        <w:tc>
          <w:tcPr>
            <w:tcW w:w="2620" w:type="dxa"/>
            <w:tcBorders>
              <w:top w:val="nil"/>
              <w:left w:val="nil"/>
              <w:bottom w:val="single" w:sz="8" w:space="0" w:color="auto"/>
              <w:right w:val="single" w:sz="8" w:space="0" w:color="auto"/>
            </w:tcBorders>
            <w:shd w:val="clear" w:color="auto" w:fill="auto"/>
            <w:vAlign w:val="center"/>
            <w:hideMark/>
          </w:tcPr>
          <w:p w14:paraId="06E9A71C"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30</w:t>
            </w:r>
          </w:p>
        </w:tc>
      </w:tr>
      <w:tr w:rsidR="00304AE7" w14:paraId="76191C55" w14:textId="77777777" w:rsidTr="00892CEB">
        <w:trPr>
          <w:trHeight w:val="339"/>
        </w:trPr>
        <w:tc>
          <w:tcPr>
            <w:tcW w:w="1083" w:type="dxa"/>
            <w:tcBorders>
              <w:top w:val="nil"/>
              <w:left w:val="single" w:sz="8" w:space="0" w:color="auto"/>
              <w:bottom w:val="single" w:sz="8" w:space="0" w:color="auto"/>
              <w:right w:val="single" w:sz="8" w:space="0" w:color="auto"/>
            </w:tcBorders>
            <w:shd w:val="clear" w:color="auto" w:fill="auto"/>
            <w:vAlign w:val="center"/>
            <w:hideMark/>
          </w:tcPr>
          <w:p w14:paraId="78176CB5"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rPr>
              <w:t>3</w:t>
            </w:r>
            <w:r w:rsidR="00580F7D" w:rsidRPr="00FB5261">
              <w:rPr>
                <w:rFonts w:eastAsia="Times New Roman" w:cs="Times New Roman"/>
                <w:color w:val="000000"/>
                <w:szCs w:val="24"/>
              </w:rPr>
              <w:t xml:space="preserve"> (a)</w:t>
            </w:r>
          </w:p>
        </w:tc>
        <w:tc>
          <w:tcPr>
            <w:tcW w:w="1875" w:type="dxa"/>
            <w:tcBorders>
              <w:top w:val="nil"/>
              <w:left w:val="nil"/>
              <w:bottom w:val="single" w:sz="8" w:space="0" w:color="auto"/>
              <w:right w:val="single" w:sz="8" w:space="0" w:color="auto"/>
            </w:tcBorders>
            <w:shd w:val="clear" w:color="auto" w:fill="auto"/>
            <w:vAlign w:val="center"/>
            <w:hideMark/>
          </w:tcPr>
          <w:p w14:paraId="35B25849"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rPr>
              <w:t>40</w:t>
            </w:r>
          </w:p>
        </w:tc>
        <w:tc>
          <w:tcPr>
            <w:tcW w:w="2620" w:type="dxa"/>
            <w:tcBorders>
              <w:top w:val="nil"/>
              <w:left w:val="nil"/>
              <w:bottom w:val="single" w:sz="8" w:space="0" w:color="auto"/>
              <w:right w:val="single" w:sz="8" w:space="0" w:color="auto"/>
            </w:tcBorders>
            <w:shd w:val="clear" w:color="auto" w:fill="auto"/>
            <w:vAlign w:val="center"/>
            <w:hideMark/>
          </w:tcPr>
          <w:p w14:paraId="15F1BE2A"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70</w:t>
            </w:r>
            <w:r w:rsidR="00580F7D" w:rsidRPr="00FB5261">
              <w:rPr>
                <w:rFonts w:eastAsia="Times New Roman" w:cs="Times New Roman"/>
                <w:color w:val="000000"/>
                <w:szCs w:val="24"/>
                <w:lang w:val="en-US"/>
              </w:rPr>
              <w:t xml:space="preserve"> (c)</w:t>
            </w:r>
          </w:p>
        </w:tc>
      </w:tr>
      <w:tr w:rsidR="00304AE7" w14:paraId="47583B4E" w14:textId="77777777" w:rsidTr="00892CEB">
        <w:trPr>
          <w:trHeight w:val="339"/>
        </w:trPr>
        <w:tc>
          <w:tcPr>
            <w:tcW w:w="1083" w:type="dxa"/>
            <w:tcBorders>
              <w:top w:val="nil"/>
              <w:left w:val="single" w:sz="8" w:space="0" w:color="auto"/>
              <w:bottom w:val="single" w:sz="8" w:space="0" w:color="auto"/>
              <w:right w:val="single" w:sz="8" w:space="0" w:color="auto"/>
            </w:tcBorders>
            <w:shd w:val="clear" w:color="auto" w:fill="auto"/>
            <w:vAlign w:val="center"/>
            <w:hideMark/>
          </w:tcPr>
          <w:p w14:paraId="3C60E93B"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4</w:t>
            </w:r>
          </w:p>
        </w:tc>
        <w:tc>
          <w:tcPr>
            <w:tcW w:w="1875" w:type="dxa"/>
            <w:tcBorders>
              <w:top w:val="nil"/>
              <w:left w:val="nil"/>
              <w:bottom w:val="single" w:sz="8" w:space="0" w:color="auto"/>
              <w:right w:val="single" w:sz="8" w:space="0" w:color="auto"/>
            </w:tcBorders>
            <w:shd w:val="clear" w:color="auto" w:fill="auto"/>
            <w:vAlign w:val="center"/>
            <w:hideMark/>
          </w:tcPr>
          <w:p w14:paraId="6CE05C1D"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55</w:t>
            </w:r>
            <w:r w:rsidR="00580F7D" w:rsidRPr="00FB5261">
              <w:rPr>
                <w:rFonts w:eastAsia="Times New Roman" w:cs="Times New Roman"/>
                <w:color w:val="000000"/>
                <w:szCs w:val="24"/>
                <w:lang w:val="en-US"/>
              </w:rPr>
              <w:t xml:space="preserve"> (d)</w:t>
            </w:r>
          </w:p>
        </w:tc>
        <w:tc>
          <w:tcPr>
            <w:tcW w:w="2620" w:type="dxa"/>
            <w:tcBorders>
              <w:top w:val="nil"/>
              <w:left w:val="nil"/>
              <w:bottom w:val="single" w:sz="8" w:space="0" w:color="auto"/>
              <w:right w:val="single" w:sz="8" w:space="0" w:color="auto"/>
            </w:tcBorders>
            <w:shd w:val="clear" w:color="auto" w:fill="auto"/>
            <w:vAlign w:val="center"/>
            <w:hideMark/>
          </w:tcPr>
          <w:p w14:paraId="763AC303" w14:textId="77777777" w:rsidR="0094153A"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125</w:t>
            </w:r>
          </w:p>
        </w:tc>
      </w:tr>
    </w:tbl>
    <w:p w14:paraId="1EE80ADC" w14:textId="77777777" w:rsidR="0094153A" w:rsidRPr="00FB5261" w:rsidRDefault="0094153A" w:rsidP="00FB5261">
      <w:pPr>
        <w:spacing w:line="360" w:lineRule="auto"/>
        <w:rPr>
          <w:rFonts w:cs="Times New Roman"/>
          <w:szCs w:val="24"/>
        </w:rPr>
      </w:pPr>
    </w:p>
    <w:p w14:paraId="46F56680" w14:textId="77777777" w:rsidR="0094153A" w:rsidRPr="00FB5261" w:rsidRDefault="00313C6B" w:rsidP="00FB5261">
      <w:pPr>
        <w:spacing w:line="360" w:lineRule="auto"/>
        <w:rPr>
          <w:rFonts w:eastAsiaTheme="minorEastAsia" w:cs="Times New Roman"/>
          <w:szCs w:val="24"/>
        </w:rPr>
      </w:pPr>
      <w:r w:rsidRPr="00FB5261">
        <w:rPr>
          <w:rFonts w:cs="Times New Roman"/>
          <w:szCs w:val="24"/>
        </w:rPr>
        <w:t xml:space="preserve">Payback period = a + </w:t>
      </w:r>
      <m:oMath>
        <m:f>
          <m:fPr>
            <m:ctrlPr>
              <w:rPr>
                <w:rFonts w:ascii="Cambria Math" w:hAnsi="Cambria Math" w:cs="Times New Roman"/>
                <w:szCs w:val="24"/>
              </w:rPr>
            </m:ctrlPr>
          </m:fPr>
          <m:num>
            <m:r>
              <w:rPr>
                <w:rFonts w:ascii="Cambria Math" w:hAnsi="Cambria Math" w:cs="Times New Roman"/>
                <w:szCs w:val="24"/>
              </w:rPr>
              <m:t>NCO</m:t>
            </m:r>
            <m:r>
              <w:rPr>
                <w:rFonts w:ascii="Cambria Math" w:hAnsi="Cambria Math" w:cs="Times New Roman"/>
                <w:szCs w:val="24"/>
              </w:rPr>
              <m:t>-</m:t>
            </m:r>
            <m:r>
              <w:rPr>
                <w:rFonts w:ascii="Cambria Math" w:hAnsi="Cambria Math" w:cs="Times New Roman"/>
                <w:szCs w:val="24"/>
              </w:rPr>
              <m:t>c</m:t>
            </m:r>
          </m:num>
          <m:den>
            <m:r>
              <w:rPr>
                <w:rFonts w:ascii="Cambria Math" w:hAnsi="Cambria Math" w:cs="Times New Roman"/>
                <w:szCs w:val="24"/>
              </w:rPr>
              <m:t>d</m:t>
            </m:r>
          </m:den>
        </m:f>
      </m:oMath>
    </w:p>
    <w:p w14:paraId="4F6A0867" w14:textId="77777777" w:rsidR="0094153A" w:rsidRPr="00FB5261" w:rsidRDefault="00313C6B" w:rsidP="00FB5261">
      <w:pPr>
        <w:spacing w:line="360" w:lineRule="auto"/>
        <w:rPr>
          <w:rFonts w:eastAsiaTheme="minorEastAsia" w:cs="Times New Roman"/>
          <w:szCs w:val="24"/>
        </w:rPr>
      </w:pPr>
      <w:r w:rsidRPr="00FB5261">
        <w:rPr>
          <w:rFonts w:eastAsiaTheme="minorEastAsia" w:cs="Times New Roman"/>
          <w:szCs w:val="24"/>
        </w:rPr>
        <w:t xml:space="preserve">Here, </w:t>
      </w:r>
    </w:p>
    <w:p w14:paraId="31D13155" w14:textId="77777777" w:rsidR="0094153A" w:rsidRPr="00FB5261" w:rsidRDefault="00313C6B" w:rsidP="00FB5261">
      <w:pPr>
        <w:spacing w:line="360" w:lineRule="auto"/>
        <w:rPr>
          <w:rFonts w:eastAsiaTheme="minorEastAsia" w:cs="Times New Roman"/>
          <w:szCs w:val="24"/>
        </w:rPr>
      </w:pPr>
      <w:r w:rsidRPr="00FB5261">
        <w:rPr>
          <w:rFonts w:eastAsiaTheme="minorEastAsia" w:cs="Times New Roman"/>
          <w:szCs w:val="24"/>
        </w:rPr>
        <w:t>a = Number of years before full recovery year</w:t>
      </w:r>
    </w:p>
    <w:p w14:paraId="415E6285" w14:textId="77777777" w:rsidR="0094153A" w:rsidRPr="00FB5261" w:rsidRDefault="00313C6B" w:rsidP="00FB5261">
      <w:pPr>
        <w:spacing w:line="360" w:lineRule="auto"/>
        <w:rPr>
          <w:rFonts w:eastAsiaTheme="minorEastAsia" w:cs="Times New Roman"/>
          <w:szCs w:val="24"/>
        </w:rPr>
      </w:pPr>
      <w:r w:rsidRPr="00FB5261">
        <w:rPr>
          <w:rFonts w:eastAsiaTheme="minorEastAsia" w:cs="Times New Roman"/>
          <w:szCs w:val="24"/>
        </w:rPr>
        <w:t xml:space="preserve">NCO = </w:t>
      </w:r>
      <w:r w:rsidRPr="00FB5261">
        <w:rPr>
          <w:rFonts w:eastAsiaTheme="minorEastAsia" w:cs="Times New Roman"/>
          <w:szCs w:val="24"/>
        </w:rPr>
        <w:t>initial investment</w:t>
      </w:r>
    </w:p>
    <w:p w14:paraId="5CF65D95" w14:textId="77777777" w:rsidR="0094153A" w:rsidRPr="00FB5261" w:rsidRDefault="00313C6B" w:rsidP="00FB5261">
      <w:pPr>
        <w:spacing w:line="360" w:lineRule="auto"/>
        <w:rPr>
          <w:rFonts w:cs="Times New Roman"/>
          <w:szCs w:val="24"/>
        </w:rPr>
      </w:pPr>
      <w:r w:rsidRPr="00FB5261">
        <w:rPr>
          <w:rFonts w:cs="Times New Roman"/>
          <w:szCs w:val="24"/>
        </w:rPr>
        <w:t xml:space="preserve">c = cumulative cash flow at </w:t>
      </w:r>
      <w:r w:rsidR="00A862ED">
        <w:rPr>
          <w:rFonts w:cs="Times New Roman"/>
          <w:szCs w:val="24"/>
        </w:rPr>
        <w:t xml:space="preserve">the </w:t>
      </w:r>
      <w:r w:rsidRPr="00FB5261">
        <w:rPr>
          <w:rFonts w:cs="Times New Roman"/>
          <w:szCs w:val="24"/>
        </w:rPr>
        <w:t>year a</w:t>
      </w:r>
    </w:p>
    <w:p w14:paraId="72711217" w14:textId="77777777" w:rsidR="00DE24E4" w:rsidRPr="00FB5261" w:rsidRDefault="00313C6B" w:rsidP="00FB5261">
      <w:pPr>
        <w:spacing w:line="360" w:lineRule="auto"/>
        <w:rPr>
          <w:rFonts w:cs="Times New Roman"/>
          <w:szCs w:val="24"/>
        </w:rPr>
      </w:pPr>
      <w:r w:rsidRPr="00FB5261">
        <w:rPr>
          <w:rFonts w:cs="Times New Roman"/>
          <w:szCs w:val="24"/>
        </w:rPr>
        <w:t>d = actual cash flow at full recovery year</w:t>
      </w:r>
    </w:p>
    <w:p w14:paraId="76CFEAF2" w14:textId="77777777" w:rsidR="00DE24E4" w:rsidRPr="00FB5261" w:rsidRDefault="00313C6B" w:rsidP="00FB5261">
      <w:pPr>
        <w:spacing w:line="360" w:lineRule="auto"/>
        <w:rPr>
          <w:rFonts w:eastAsiaTheme="minorEastAsia" w:cs="Times New Roman"/>
          <w:szCs w:val="24"/>
        </w:rPr>
      </w:pPr>
      <w:r w:rsidRPr="00FB5261">
        <w:rPr>
          <w:rFonts w:cs="Times New Roman"/>
          <w:szCs w:val="24"/>
        </w:rPr>
        <w:t xml:space="preserve">So, PBP of project A = 3 + </w:t>
      </w:r>
      <m:oMath>
        <m:f>
          <m:fPr>
            <m:ctrlPr>
              <w:rPr>
                <w:rFonts w:ascii="Cambria Math" w:hAnsi="Cambria Math" w:cs="Times New Roman"/>
                <w:szCs w:val="24"/>
              </w:rPr>
            </m:ctrlPr>
          </m:fPr>
          <m:num>
            <m:r>
              <w:rPr>
                <w:rFonts w:ascii="Cambria Math" w:hAnsi="Cambria Math" w:cs="Times New Roman"/>
                <w:szCs w:val="24"/>
              </w:rPr>
              <m:t>85-70</m:t>
            </m:r>
          </m:num>
          <m:den>
            <m:r>
              <w:rPr>
                <w:rFonts w:ascii="Cambria Math" w:hAnsi="Cambria Math" w:cs="Times New Roman"/>
                <w:szCs w:val="24"/>
              </w:rPr>
              <m:t>55</m:t>
            </m:r>
          </m:den>
        </m:f>
      </m:oMath>
    </w:p>
    <w:p w14:paraId="21754A04" w14:textId="77777777" w:rsidR="00DE24E4" w:rsidRPr="00FB5261" w:rsidRDefault="00313C6B" w:rsidP="00FB5261">
      <w:pPr>
        <w:spacing w:line="360" w:lineRule="auto"/>
        <w:rPr>
          <w:rFonts w:eastAsiaTheme="minorEastAsia" w:cs="Times New Roman"/>
          <w:szCs w:val="24"/>
        </w:rPr>
      </w:pPr>
      <w:r w:rsidRPr="00FB5261">
        <w:rPr>
          <w:rFonts w:eastAsiaTheme="minorEastAsia" w:cs="Times New Roman"/>
          <w:szCs w:val="24"/>
        </w:rPr>
        <w:tab/>
      </w:r>
      <w:r w:rsidRPr="00FB5261">
        <w:rPr>
          <w:rFonts w:eastAsiaTheme="minorEastAsia" w:cs="Times New Roman"/>
          <w:szCs w:val="24"/>
        </w:rPr>
        <w:tab/>
      </w:r>
      <w:r w:rsidRPr="00FB5261">
        <w:rPr>
          <w:rFonts w:eastAsiaTheme="minorEastAsia" w:cs="Times New Roman"/>
          <w:szCs w:val="24"/>
        </w:rPr>
        <w:tab/>
        <w:t>= 3.27 years</w:t>
      </w:r>
    </w:p>
    <w:p w14:paraId="2BA537EC" w14:textId="77777777" w:rsidR="004E5CC2" w:rsidRPr="00FB5261" w:rsidRDefault="00313C6B" w:rsidP="00FB5261">
      <w:pPr>
        <w:spacing w:line="360" w:lineRule="auto"/>
        <w:rPr>
          <w:rFonts w:eastAsiaTheme="minorEastAsia" w:cs="Times New Roman"/>
          <w:szCs w:val="24"/>
        </w:rPr>
      </w:pPr>
      <w:r>
        <w:rPr>
          <w:rFonts w:eastAsiaTheme="minorEastAsia" w:cs="Times New Roman"/>
          <w:szCs w:val="24"/>
        </w:rPr>
        <w:t>The c</w:t>
      </w:r>
      <w:r w:rsidRPr="00FB5261">
        <w:rPr>
          <w:rFonts w:eastAsiaTheme="minorEastAsia" w:cs="Times New Roman"/>
          <w:szCs w:val="24"/>
        </w:rPr>
        <w:t>ompany would be able to recover its cash investment in approximately 3.27 years.</w:t>
      </w:r>
    </w:p>
    <w:p w14:paraId="7C5F229C" w14:textId="77777777" w:rsidR="00892CEB" w:rsidRDefault="00892CEB" w:rsidP="00FB5261">
      <w:pPr>
        <w:spacing w:line="360" w:lineRule="auto"/>
        <w:rPr>
          <w:rFonts w:eastAsiaTheme="minorEastAsia" w:cs="Times New Roman"/>
          <w:szCs w:val="24"/>
        </w:rPr>
      </w:pPr>
    </w:p>
    <w:p w14:paraId="68BFBE9E" w14:textId="77777777" w:rsidR="0066680F" w:rsidRPr="00FB5261" w:rsidRDefault="00313C6B" w:rsidP="00FB5261">
      <w:pPr>
        <w:spacing w:line="360" w:lineRule="auto"/>
        <w:rPr>
          <w:rFonts w:eastAsiaTheme="minorEastAsia" w:cs="Times New Roman"/>
          <w:szCs w:val="24"/>
        </w:rPr>
      </w:pPr>
      <w:r w:rsidRPr="00FB5261">
        <w:rPr>
          <w:rFonts w:eastAsiaTheme="minorEastAsia" w:cs="Times New Roman"/>
          <w:szCs w:val="24"/>
        </w:rPr>
        <w:lastRenderedPageBreak/>
        <w:t xml:space="preserve">PBP of </w:t>
      </w:r>
      <w:r w:rsidRPr="00FB5261">
        <w:rPr>
          <w:rFonts w:eastAsiaTheme="minorEastAsia" w:cs="Times New Roman"/>
          <w:szCs w:val="24"/>
        </w:rPr>
        <w:t>project B:</w:t>
      </w:r>
    </w:p>
    <w:tbl>
      <w:tblPr>
        <w:tblW w:w="9622" w:type="dxa"/>
        <w:tblLook w:val="04A0" w:firstRow="1" w:lastRow="0" w:firstColumn="1" w:lastColumn="0" w:noHBand="0" w:noVBand="1"/>
      </w:tblPr>
      <w:tblGrid>
        <w:gridCol w:w="1870"/>
        <w:gridCol w:w="3233"/>
        <w:gridCol w:w="4519"/>
      </w:tblGrid>
      <w:tr w:rsidR="00304AE7" w14:paraId="63C2604C" w14:textId="77777777" w:rsidTr="0066680F">
        <w:trPr>
          <w:trHeight w:val="357"/>
        </w:trPr>
        <w:tc>
          <w:tcPr>
            <w:tcW w:w="187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1F00AEA8" w14:textId="77777777" w:rsidR="0066680F" w:rsidRPr="00892CEB" w:rsidRDefault="00313C6B" w:rsidP="00FB5261">
            <w:pPr>
              <w:spacing w:after="0" w:line="360" w:lineRule="auto"/>
              <w:rPr>
                <w:rFonts w:eastAsia="Times New Roman" w:cs="Times New Roman"/>
                <w:b/>
                <w:bCs/>
                <w:color w:val="000000"/>
                <w:szCs w:val="24"/>
                <w:lang w:val="en-US"/>
              </w:rPr>
            </w:pPr>
            <w:r w:rsidRPr="00892CEB">
              <w:rPr>
                <w:rFonts w:eastAsia="Times New Roman" w:cs="Times New Roman"/>
                <w:b/>
                <w:bCs/>
                <w:color w:val="000000"/>
                <w:szCs w:val="24"/>
              </w:rPr>
              <w:t>Year</w:t>
            </w:r>
          </w:p>
        </w:tc>
        <w:tc>
          <w:tcPr>
            <w:tcW w:w="3233" w:type="dxa"/>
            <w:tcBorders>
              <w:top w:val="single" w:sz="8" w:space="0" w:color="auto"/>
              <w:left w:val="nil"/>
              <w:bottom w:val="single" w:sz="8" w:space="0" w:color="auto"/>
              <w:right w:val="single" w:sz="8" w:space="0" w:color="auto"/>
            </w:tcBorders>
            <w:shd w:val="clear" w:color="auto" w:fill="auto"/>
            <w:vAlign w:val="center"/>
            <w:hideMark/>
          </w:tcPr>
          <w:p w14:paraId="78393526" w14:textId="77777777" w:rsidR="0066680F" w:rsidRPr="00892CEB" w:rsidRDefault="00313C6B" w:rsidP="00FB5261">
            <w:pPr>
              <w:spacing w:after="0" w:line="360" w:lineRule="auto"/>
              <w:rPr>
                <w:rFonts w:eastAsia="Times New Roman" w:cs="Times New Roman"/>
                <w:b/>
                <w:bCs/>
                <w:color w:val="000000"/>
                <w:szCs w:val="24"/>
                <w:lang w:val="en-US"/>
              </w:rPr>
            </w:pPr>
            <w:r w:rsidRPr="00892CEB">
              <w:rPr>
                <w:rFonts w:eastAsia="Times New Roman" w:cs="Times New Roman"/>
                <w:b/>
                <w:bCs/>
                <w:color w:val="000000"/>
                <w:szCs w:val="24"/>
              </w:rPr>
              <w:t>Cash Flows</w:t>
            </w:r>
          </w:p>
        </w:tc>
        <w:tc>
          <w:tcPr>
            <w:tcW w:w="4519" w:type="dxa"/>
            <w:tcBorders>
              <w:top w:val="single" w:sz="8" w:space="0" w:color="auto"/>
              <w:left w:val="nil"/>
              <w:bottom w:val="single" w:sz="8" w:space="0" w:color="auto"/>
              <w:right w:val="single" w:sz="8" w:space="0" w:color="auto"/>
            </w:tcBorders>
            <w:shd w:val="clear" w:color="auto" w:fill="auto"/>
            <w:vAlign w:val="center"/>
            <w:hideMark/>
          </w:tcPr>
          <w:p w14:paraId="45B8F601" w14:textId="77777777" w:rsidR="0066680F" w:rsidRPr="00892CEB" w:rsidRDefault="00313C6B" w:rsidP="00FB5261">
            <w:pPr>
              <w:spacing w:after="0" w:line="360" w:lineRule="auto"/>
              <w:rPr>
                <w:rFonts w:eastAsia="Times New Roman" w:cs="Times New Roman"/>
                <w:b/>
                <w:bCs/>
                <w:color w:val="000000"/>
                <w:szCs w:val="24"/>
                <w:lang w:val="en-US"/>
              </w:rPr>
            </w:pPr>
            <w:r w:rsidRPr="00892CEB">
              <w:rPr>
                <w:rFonts w:eastAsia="Times New Roman" w:cs="Times New Roman"/>
                <w:b/>
                <w:bCs/>
                <w:color w:val="000000"/>
                <w:szCs w:val="24"/>
              </w:rPr>
              <w:t>Cumulative Cash Flow</w:t>
            </w:r>
          </w:p>
        </w:tc>
      </w:tr>
      <w:tr w:rsidR="00304AE7" w14:paraId="4001B17C" w14:textId="77777777" w:rsidTr="0066680F">
        <w:trPr>
          <w:trHeight w:val="357"/>
        </w:trPr>
        <w:tc>
          <w:tcPr>
            <w:tcW w:w="1870" w:type="dxa"/>
            <w:tcBorders>
              <w:top w:val="nil"/>
              <w:left w:val="single" w:sz="8" w:space="0" w:color="auto"/>
              <w:bottom w:val="single" w:sz="8" w:space="0" w:color="auto"/>
              <w:right w:val="single" w:sz="8" w:space="0" w:color="auto"/>
            </w:tcBorders>
            <w:shd w:val="clear" w:color="auto" w:fill="auto"/>
            <w:vAlign w:val="center"/>
            <w:hideMark/>
          </w:tcPr>
          <w:p w14:paraId="32F53EF1"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rPr>
              <w:t>0</w:t>
            </w:r>
          </w:p>
        </w:tc>
        <w:tc>
          <w:tcPr>
            <w:tcW w:w="3233" w:type="dxa"/>
            <w:tcBorders>
              <w:top w:val="nil"/>
              <w:left w:val="nil"/>
              <w:bottom w:val="single" w:sz="8" w:space="0" w:color="auto"/>
              <w:right w:val="single" w:sz="8" w:space="0" w:color="auto"/>
            </w:tcBorders>
            <w:shd w:val="clear" w:color="auto" w:fill="auto"/>
            <w:vAlign w:val="center"/>
            <w:hideMark/>
          </w:tcPr>
          <w:p w14:paraId="057C7CA5"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lang w:val="en-US"/>
              </w:rPr>
              <w:t>-90</w:t>
            </w:r>
            <w:r w:rsidR="001B49DC" w:rsidRPr="00FB5261">
              <w:rPr>
                <w:rFonts w:eastAsia="Times New Roman" w:cs="Times New Roman"/>
                <w:color w:val="000000"/>
                <w:szCs w:val="24"/>
                <w:lang w:val="en-US"/>
              </w:rPr>
              <w:t xml:space="preserve"> (NCO)</w:t>
            </w:r>
          </w:p>
        </w:tc>
        <w:tc>
          <w:tcPr>
            <w:tcW w:w="4519" w:type="dxa"/>
            <w:tcBorders>
              <w:top w:val="nil"/>
              <w:left w:val="nil"/>
              <w:bottom w:val="single" w:sz="8" w:space="0" w:color="auto"/>
              <w:right w:val="single" w:sz="8" w:space="0" w:color="auto"/>
            </w:tcBorders>
            <w:shd w:val="clear" w:color="auto" w:fill="auto"/>
            <w:vAlign w:val="center"/>
            <w:hideMark/>
          </w:tcPr>
          <w:p w14:paraId="13C6784C"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lang w:val="en-US"/>
              </w:rPr>
              <w:t> </w:t>
            </w:r>
          </w:p>
        </w:tc>
      </w:tr>
      <w:tr w:rsidR="00304AE7" w14:paraId="61010577" w14:textId="77777777" w:rsidTr="0066680F">
        <w:trPr>
          <w:trHeight w:val="357"/>
        </w:trPr>
        <w:tc>
          <w:tcPr>
            <w:tcW w:w="1870" w:type="dxa"/>
            <w:tcBorders>
              <w:top w:val="nil"/>
              <w:left w:val="single" w:sz="8" w:space="0" w:color="auto"/>
              <w:bottom w:val="single" w:sz="8" w:space="0" w:color="auto"/>
              <w:right w:val="single" w:sz="8" w:space="0" w:color="auto"/>
            </w:tcBorders>
            <w:shd w:val="clear" w:color="auto" w:fill="auto"/>
            <w:vAlign w:val="center"/>
            <w:hideMark/>
          </w:tcPr>
          <w:p w14:paraId="1C02AC87"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rPr>
              <w:t>1</w:t>
            </w:r>
          </w:p>
        </w:tc>
        <w:tc>
          <w:tcPr>
            <w:tcW w:w="3233" w:type="dxa"/>
            <w:tcBorders>
              <w:top w:val="nil"/>
              <w:left w:val="nil"/>
              <w:bottom w:val="single" w:sz="8" w:space="0" w:color="auto"/>
              <w:right w:val="single" w:sz="8" w:space="0" w:color="auto"/>
            </w:tcBorders>
            <w:shd w:val="clear" w:color="auto" w:fill="auto"/>
            <w:vAlign w:val="center"/>
            <w:hideMark/>
          </w:tcPr>
          <w:p w14:paraId="2DA17FA6"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lang w:val="en-US"/>
              </w:rPr>
              <w:t>25</w:t>
            </w:r>
          </w:p>
        </w:tc>
        <w:tc>
          <w:tcPr>
            <w:tcW w:w="4519" w:type="dxa"/>
            <w:tcBorders>
              <w:top w:val="nil"/>
              <w:left w:val="nil"/>
              <w:bottom w:val="single" w:sz="8" w:space="0" w:color="auto"/>
              <w:right w:val="single" w:sz="8" w:space="0" w:color="auto"/>
            </w:tcBorders>
            <w:shd w:val="clear" w:color="auto" w:fill="auto"/>
            <w:vAlign w:val="center"/>
            <w:hideMark/>
          </w:tcPr>
          <w:p w14:paraId="27AADD85"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lang w:val="en-US"/>
              </w:rPr>
              <w:t>25</w:t>
            </w:r>
          </w:p>
        </w:tc>
      </w:tr>
      <w:tr w:rsidR="00304AE7" w14:paraId="2F1A0AAA" w14:textId="77777777" w:rsidTr="0066680F">
        <w:trPr>
          <w:trHeight w:val="357"/>
        </w:trPr>
        <w:tc>
          <w:tcPr>
            <w:tcW w:w="1870" w:type="dxa"/>
            <w:tcBorders>
              <w:top w:val="nil"/>
              <w:left w:val="single" w:sz="8" w:space="0" w:color="auto"/>
              <w:bottom w:val="single" w:sz="8" w:space="0" w:color="auto"/>
              <w:right w:val="single" w:sz="8" w:space="0" w:color="auto"/>
            </w:tcBorders>
            <w:shd w:val="clear" w:color="auto" w:fill="auto"/>
            <w:vAlign w:val="center"/>
            <w:hideMark/>
          </w:tcPr>
          <w:p w14:paraId="7F3B9160"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rPr>
              <w:t>2</w:t>
            </w:r>
          </w:p>
        </w:tc>
        <w:tc>
          <w:tcPr>
            <w:tcW w:w="3233" w:type="dxa"/>
            <w:tcBorders>
              <w:top w:val="nil"/>
              <w:left w:val="nil"/>
              <w:bottom w:val="single" w:sz="8" w:space="0" w:color="auto"/>
              <w:right w:val="single" w:sz="8" w:space="0" w:color="auto"/>
            </w:tcBorders>
            <w:shd w:val="clear" w:color="auto" w:fill="auto"/>
            <w:vAlign w:val="center"/>
            <w:hideMark/>
          </w:tcPr>
          <w:p w14:paraId="2B450657"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lang w:val="en-US"/>
              </w:rPr>
              <w:t>30</w:t>
            </w:r>
          </w:p>
        </w:tc>
        <w:tc>
          <w:tcPr>
            <w:tcW w:w="4519" w:type="dxa"/>
            <w:tcBorders>
              <w:top w:val="nil"/>
              <w:left w:val="nil"/>
              <w:bottom w:val="single" w:sz="8" w:space="0" w:color="auto"/>
              <w:right w:val="single" w:sz="8" w:space="0" w:color="auto"/>
            </w:tcBorders>
            <w:shd w:val="clear" w:color="auto" w:fill="auto"/>
            <w:vAlign w:val="center"/>
            <w:hideMark/>
          </w:tcPr>
          <w:p w14:paraId="1210F1D4"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lang w:val="en-US"/>
              </w:rPr>
              <w:t>55</w:t>
            </w:r>
          </w:p>
        </w:tc>
      </w:tr>
      <w:tr w:rsidR="00304AE7" w14:paraId="14E28907" w14:textId="77777777" w:rsidTr="0066680F">
        <w:trPr>
          <w:trHeight w:val="357"/>
        </w:trPr>
        <w:tc>
          <w:tcPr>
            <w:tcW w:w="1870" w:type="dxa"/>
            <w:tcBorders>
              <w:top w:val="nil"/>
              <w:left w:val="single" w:sz="8" w:space="0" w:color="auto"/>
              <w:bottom w:val="single" w:sz="8" w:space="0" w:color="auto"/>
              <w:right w:val="single" w:sz="8" w:space="0" w:color="auto"/>
            </w:tcBorders>
            <w:shd w:val="clear" w:color="auto" w:fill="auto"/>
            <w:vAlign w:val="center"/>
            <w:hideMark/>
          </w:tcPr>
          <w:p w14:paraId="1517DB86"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rPr>
              <w:t>3</w:t>
            </w:r>
            <w:r w:rsidR="001B49DC" w:rsidRPr="00FB5261">
              <w:rPr>
                <w:rFonts w:eastAsia="Times New Roman" w:cs="Times New Roman"/>
                <w:color w:val="000000"/>
                <w:szCs w:val="24"/>
              </w:rPr>
              <w:t xml:space="preserve"> (a)</w:t>
            </w:r>
          </w:p>
        </w:tc>
        <w:tc>
          <w:tcPr>
            <w:tcW w:w="3233" w:type="dxa"/>
            <w:tcBorders>
              <w:top w:val="nil"/>
              <w:left w:val="nil"/>
              <w:bottom w:val="single" w:sz="8" w:space="0" w:color="auto"/>
              <w:right w:val="single" w:sz="8" w:space="0" w:color="auto"/>
            </w:tcBorders>
            <w:shd w:val="clear" w:color="auto" w:fill="auto"/>
            <w:vAlign w:val="center"/>
            <w:hideMark/>
          </w:tcPr>
          <w:p w14:paraId="4F4D6D42"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lang w:val="en-US"/>
              </w:rPr>
              <w:t>35</w:t>
            </w:r>
          </w:p>
        </w:tc>
        <w:tc>
          <w:tcPr>
            <w:tcW w:w="4519" w:type="dxa"/>
            <w:tcBorders>
              <w:top w:val="nil"/>
              <w:left w:val="nil"/>
              <w:bottom w:val="single" w:sz="8" w:space="0" w:color="auto"/>
              <w:right w:val="single" w:sz="8" w:space="0" w:color="auto"/>
            </w:tcBorders>
            <w:shd w:val="clear" w:color="auto" w:fill="auto"/>
            <w:vAlign w:val="center"/>
            <w:hideMark/>
          </w:tcPr>
          <w:p w14:paraId="6865650D"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lang w:val="en-US"/>
              </w:rPr>
              <w:t>90</w:t>
            </w:r>
            <w:r w:rsidR="001B49DC" w:rsidRPr="00FB5261">
              <w:rPr>
                <w:rFonts w:eastAsia="Times New Roman" w:cs="Times New Roman"/>
                <w:color w:val="000000"/>
                <w:szCs w:val="24"/>
                <w:lang w:val="en-US"/>
              </w:rPr>
              <w:t xml:space="preserve"> (c)</w:t>
            </w:r>
          </w:p>
        </w:tc>
      </w:tr>
      <w:tr w:rsidR="00304AE7" w14:paraId="3DE278B8" w14:textId="77777777" w:rsidTr="0066680F">
        <w:trPr>
          <w:trHeight w:val="357"/>
        </w:trPr>
        <w:tc>
          <w:tcPr>
            <w:tcW w:w="1870" w:type="dxa"/>
            <w:tcBorders>
              <w:top w:val="nil"/>
              <w:left w:val="single" w:sz="8" w:space="0" w:color="auto"/>
              <w:bottom w:val="single" w:sz="8" w:space="0" w:color="auto"/>
              <w:right w:val="single" w:sz="8" w:space="0" w:color="auto"/>
            </w:tcBorders>
            <w:shd w:val="clear" w:color="auto" w:fill="auto"/>
            <w:vAlign w:val="center"/>
            <w:hideMark/>
          </w:tcPr>
          <w:p w14:paraId="51AF9B32"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lang w:val="en-US"/>
              </w:rPr>
              <w:t>4</w:t>
            </w:r>
          </w:p>
        </w:tc>
        <w:tc>
          <w:tcPr>
            <w:tcW w:w="3233" w:type="dxa"/>
            <w:tcBorders>
              <w:top w:val="nil"/>
              <w:left w:val="nil"/>
              <w:bottom w:val="single" w:sz="8" w:space="0" w:color="auto"/>
              <w:right w:val="single" w:sz="8" w:space="0" w:color="auto"/>
            </w:tcBorders>
            <w:shd w:val="clear" w:color="auto" w:fill="auto"/>
            <w:vAlign w:val="center"/>
            <w:hideMark/>
          </w:tcPr>
          <w:p w14:paraId="58E1BC35"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lang w:val="en-US"/>
              </w:rPr>
              <w:t>40</w:t>
            </w:r>
            <w:r w:rsidR="001B49DC" w:rsidRPr="00FB5261">
              <w:rPr>
                <w:rFonts w:eastAsia="Times New Roman" w:cs="Times New Roman"/>
                <w:color w:val="000000"/>
                <w:szCs w:val="24"/>
                <w:lang w:val="en-US"/>
              </w:rPr>
              <w:t xml:space="preserve"> (d)</w:t>
            </w:r>
          </w:p>
        </w:tc>
        <w:tc>
          <w:tcPr>
            <w:tcW w:w="4519" w:type="dxa"/>
            <w:tcBorders>
              <w:top w:val="nil"/>
              <w:left w:val="nil"/>
              <w:bottom w:val="single" w:sz="8" w:space="0" w:color="auto"/>
              <w:right w:val="single" w:sz="8" w:space="0" w:color="auto"/>
            </w:tcBorders>
            <w:shd w:val="clear" w:color="auto" w:fill="auto"/>
            <w:vAlign w:val="center"/>
            <w:hideMark/>
          </w:tcPr>
          <w:p w14:paraId="66FE1E6F" w14:textId="77777777" w:rsidR="0066680F" w:rsidRPr="0066680F" w:rsidRDefault="00313C6B" w:rsidP="00FB5261">
            <w:pPr>
              <w:spacing w:after="0" w:line="360" w:lineRule="auto"/>
              <w:rPr>
                <w:rFonts w:eastAsia="Times New Roman" w:cs="Times New Roman"/>
                <w:color w:val="000000"/>
                <w:szCs w:val="24"/>
                <w:lang w:val="en-US"/>
              </w:rPr>
            </w:pPr>
            <w:r w:rsidRPr="0066680F">
              <w:rPr>
                <w:rFonts w:eastAsia="Times New Roman" w:cs="Times New Roman"/>
                <w:color w:val="000000"/>
                <w:szCs w:val="24"/>
                <w:lang w:val="en-US"/>
              </w:rPr>
              <w:t>130</w:t>
            </w:r>
          </w:p>
        </w:tc>
      </w:tr>
    </w:tbl>
    <w:p w14:paraId="343DF001" w14:textId="77777777" w:rsidR="0066680F" w:rsidRPr="00FB5261" w:rsidRDefault="0066680F" w:rsidP="00FB5261">
      <w:pPr>
        <w:spacing w:line="360" w:lineRule="auto"/>
        <w:rPr>
          <w:rFonts w:cs="Times New Roman"/>
          <w:szCs w:val="24"/>
        </w:rPr>
      </w:pPr>
    </w:p>
    <w:p w14:paraId="472D22F1" w14:textId="77777777" w:rsidR="0066680F" w:rsidRPr="00FB5261" w:rsidRDefault="00313C6B" w:rsidP="00FB5261">
      <w:pPr>
        <w:spacing w:line="360" w:lineRule="auto"/>
        <w:rPr>
          <w:rFonts w:eastAsiaTheme="minorEastAsia" w:cs="Times New Roman"/>
          <w:szCs w:val="24"/>
        </w:rPr>
      </w:pPr>
      <w:r w:rsidRPr="00FB5261">
        <w:rPr>
          <w:rFonts w:cs="Times New Roman"/>
          <w:szCs w:val="24"/>
        </w:rPr>
        <w:t xml:space="preserve">So, PBP of project B = </w:t>
      </w:r>
      <w:r w:rsidR="001B49DC" w:rsidRPr="00FB5261">
        <w:rPr>
          <w:rFonts w:cs="Times New Roman"/>
          <w:szCs w:val="24"/>
        </w:rPr>
        <w:t xml:space="preserve">3 + </w:t>
      </w:r>
      <m:oMath>
        <m:f>
          <m:fPr>
            <m:ctrlPr>
              <w:rPr>
                <w:rFonts w:ascii="Cambria Math" w:hAnsi="Cambria Math" w:cs="Times New Roman"/>
                <w:szCs w:val="24"/>
              </w:rPr>
            </m:ctrlPr>
          </m:fPr>
          <m:num>
            <m:r>
              <w:rPr>
                <w:rFonts w:ascii="Cambria Math" w:hAnsi="Cambria Math" w:cs="Times New Roman"/>
                <w:szCs w:val="24"/>
              </w:rPr>
              <m:t>90-90</m:t>
            </m:r>
          </m:num>
          <m:den>
            <m:r>
              <w:rPr>
                <w:rFonts w:ascii="Cambria Math" w:hAnsi="Cambria Math" w:cs="Times New Roman"/>
                <w:szCs w:val="24"/>
              </w:rPr>
              <m:t>40</m:t>
            </m:r>
          </m:den>
        </m:f>
      </m:oMath>
    </w:p>
    <w:p w14:paraId="29A24374" w14:textId="77777777" w:rsidR="001B49DC" w:rsidRPr="00FB5261" w:rsidRDefault="00313C6B" w:rsidP="00FB5261">
      <w:pPr>
        <w:spacing w:line="360" w:lineRule="auto"/>
        <w:rPr>
          <w:rFonts w:eastAsiaTheme="minorEastAsia" w:cs="Times New Roman"/>
          <w:szCs w:val="24"/>
        </w:rPr>
      </w:pPr>
      <w:r w:rsidRPr="00FB5261">
        <w:rPr>
          <w:rFonts w:eastAsiaTheme="minorEastAsia" w:cs="Times New Roman"/>
          <w:szCs w:val="24"/>
        </w:rPr>
        <w:tab/>
      </w:r>
      <w:r w:rsidRPr="00FB5261">
        <w:rPr>
          <w:rFonts w:eastAsiaTheme="minorEastAsia" w:cs="Times New Roman"/>
          <w:szCs w:val="24"/>
        </w:rPr>
        <w:tab/>
      </w:r>
      <w:r w:rsidRPr="00FB5261">
        <w:rPr>
          <w:rFonts w:eastAsiaTheme="minorEastAsia" w:cs="Times New Roman"/>
          <w:szCs w:val="24"/>
        </w:rPr>
        <w:tab/>
        <w:t>= 3 years</w:t>
      </w:r>
    </w:p>
    <w:p w14:paraId="5102930E" w14:textId="77777777" w:rsidR="001B49DC" w:rsidRPr="00FB5261" w:rsidRDefault="00313C6B" w:rsidP="00FB5261">
      <w:pPr>
        <w:spacing w:line="360" w:lineRule="auto"/>
        <w:rPr>
          <w:rFonts w:eastAsiaTheme="minorEastAsia" w:cs="Times New Roman"/>
          <w:szCs w:val="24"/>
        </w:rPr>
      </w:pPr>
      <w:r>
        <w:rPr>
          <w:rFonts w:eastAsiaTheme="minorEastAsia" w:cs="Times New Roman"/>
          <w:szCs w:val="24"/>
        </w:rPr>
        <w:t>The c</w:t>
      </w:r>
      <w:r w:rsidR="004E5CC2" w:rsidRPr="00FB5261">
        <w:rPr>
          <w:rFonts w:eastAsiaTheme="minorEastAsia" w:cs="Times New Roman"/>
          <w:szCs w:val="24"/>
        </w:rPr>
        <w:t>ompany would be able to recover its cash investment in approximately three years.</w:t>
      </w:r>
    </w:p>
    <w:p w14:paraId="6AD058B9" w14:textId="77777777" w:rsidR="004E5CC2" w:rsidRPr="00FB5261" w:rsidRDefault="00313C6B" w:rsidP="00FB5261">
      <w:pPr>
        <w:spacing w:line="360" w:lineRule="auto"/>
        <w:rPr>
          <w:rFonts w:eastAsiaTheme="minorEastAsia" w:cs="Times New Roman"/>
          <w:szCs w:val="24"/>
        </w:rPr>
      </w:pPr>
      <w:r w:rsidRPr="00FB5261">
        <w:rPr>
          <w:rFonts w:eastAsiaTheme="minorEastAsia" w:cs="Times New Roman"/>
          <w:szCs w:val="24"/>
        </w:rPr>
        <w:t>Here, it can be seen that the PBP of project A is higher than that of project B.</w:t>
      </w:r>
      <w:r w:rsidR="00992583" w:rsidRPr="00FB5261">
        <w:rPr>
          <w:rFonts w:eastAsiaTheme="minorEastAsia" w:cs="Times New Roman"/>
          <w:szCs w:val="24"/>
        </w:rPr>
        <w:t xml:space="preserve"> Project A would recover the initial cash flow taking much </w:t>
      </w:r>
      <w:r w:rsidR="00A862ED">
        <w:rPr>
          <w:rFonts w:eastAsiaTheme="minorEastAsia" w:cs="Times New Roman"/>
          <w:szCs w:val="24"/>
        </w:rPr>
        <w:t xml:space="preserve">more </w:t>
      </w:r>
      <w:r w:rsidR="00992583" w:rsidRPr="00FB5261">
        <w:rPr>
          <w:rFonts w:eastAsiaTheme="minorEastAsia" w:cs="Times New Roman"/>
          <w:szCs w:val="24"/>
        </w:rPr>
        <w:t xml:space="preserve">time than project B. Thus, if the investor wants to recover his initial investment quickly, he </w:t>
      </w:r>
      <w:proofErr w:type="gramStart"/>
      <w:r w:rsidR="00992583" w:rsidRPr="00FB5261">
        <w:rPr>
          <w:rFonts w:eastAsiaTheme="minorEastAsia" w:cs="Times New Roman"/>
          <w:szCs w:val="24"/>
        </w:rPr>
        <w:t>would</w:t>
      </w:r>
      <w:proofErr w:type="gramEnd"/>
      <w:r w:rsidR="00992583" w:rsidRPr="00FB5261">
        <w:rPr>
          <w:rFonts w:eastAsiaTheme="minorEastAsia" w:cs="Times New Roman"/>
          <w:szCs w:val="24"/>
        </w:rPr>
        <w:t xml:space="preserve"> rationally go for project B.</w:t>
      </w:r>
    </w:p>
    <w:p w14:paraId="55E8ACD6" w14:textId="77777777" w:rsidR="00992583" w:rsidRDefault="00313C6B" w:rsidP="00FB5261">
      <w:pPr>
        <w:spacing w:line="360" w:lineRule="auto"/>
        <w:rPr>
          <w:rFonts w:eastAsiaTheme="minorEastAsia" w:cs="Times New Roman"/>
          <w:szCs w:val="24"/>
        </w:rPr>
      </w:pPr>
      <w:r w:rsidRPr="00FB5261">
        <w:rPr>
          <w:rFonts w:eastAsiaTheme="minorEastAsia" w:cs="Times New Roman"/>
          <w:szCs w:val="24"/>
        </w:rPr>
        <w:t>Thus, project B is acceptable here.</w:t>
      </w:r>
    </w:p>
    <w:p w14:paraId="5A3B82DB" w14:textId="77777777" w:rsidR="00C657AE" w:rsidRPr="00FB5261" w:rsidRDefault="00C657AE" w:rsidP="00FB5261">
      <w:pPr>
        <w:spacing w:line="360" w:lineRule="auto"/>
        <w:rPr>
          <w:rFonts w:eastAsiaTheme="minorEastAsia" w:cs="Times New Roman"/>
          <w:szCs w:val="24"/>
        </w:rPr>
      </w:pPr>
    </w:p>
    <w:p w14:paraId="3817E1BA" w14:textId="77777777" w:rsidR="003A4C88" w:rsidRPr="00FB5261" w:rsidRDefault="00313C6B" w:rsidP="00C657AE">
      <w:pPr>
        <w:pStyle w:val="Heading3"/>
      </w:pPr>
      <w:bookmarkStart w:id="13" w:name="_Toc61379999"/>
      <w:r>
        <w:t xml:space="preserve">4.2 </w:t>
      </w:r>
      <w:r w:rsidRPr="00FB5261">
        <w:t>Accounting Rate of Return</w:t>
      </w:r>
      <w:bookmarkEnd w:id="13"/>
    </w:p>
    <w:p w14:paraId="073B7211" w14:textId="77777777" w:rsidR="003A4C88" w:rsidRPr="00FB5261" w:rsidRDefault="00313C6B" w:rsidP="00FB5261">
      <w:pPr>
        <w:spacing w:line="360" w:lineRule="auto"/>
        <w:rPr>
          <w:rFonts w:cs="Times New Roman"/>
          <w:szCs w:val="24"/>
        </w:rPr>
      </w:pPr>
      <w:r w:rsidRPr="00FB5261">
        <w:rPr>
          <w:rFonts w:cs="Times New Roman"/>
          <w:szCs w:val="24"/>
        </w:rPr>
        <w:t>ARR of project A:</w:t>
      </w:r>
    </w:p>
    <w:p w14:paraId="0E93B352" w14:textId="77777777" w:rsidR="00203A96" w:rsidRPr="00FB5261" w:rsidRDefault="00313C6B" w:rsidP="00FB5261">
      <w:pPr>
        <w:spacing w:line="360" w:lineRule="auto"/>
        <w:rPr>
          <w:rFonts w:eastAsiaTheme="minorEastAsia" w:cs="Times New Roman"/>
          <w:szCs w:val="24"/>
        </w:rPr>
      </w:pPr>
      <w:r w:rsidRPr="00FB5261">
        <w:rPr>
          <w:rFonts w:cs="Times New Roman"/>
          <w:szCs w:val="24"/>
        </w:rPr>
        <w:t xml:space="preserve">Depreciation = </w:t>
      </w:r>
      <m:oMath>
        <m:f>
          <m:fPr>
            <m:ctrlPr>
              <w:rPr>
                <w:rFonts w:ascii="Cambria Math" w:hAnsi="Cambria Math" w:cs="Times New Roman"/>
                <w:szCs w:val="24"/>
              </w:rPr>
            </m:ctrlPr>
          </m:fPr>
          <m:num>
            <m:r>
              <w:rPr>
                <w:rFonts w:ascii="Cambria Math" w:hAnsi="Cambria Math" w:cs="Times New Roman"/>
                <w:szCs w:val="24"/>
              </w:rPr>
              <m:t>Cost</m:t>
            </m:r>
            <m:r>
              <w:rPr>
                <w:rFonts w:ascii="Cambria Math" w:hAnsi="Cambria Math" w:cs="Times New Roman"/>
                <w:szCs w:val="24"/>
              </w:rPr>
              <m:t>-</m:t>
            </m:r>
            <m:r>
              <w:rPr>
                <w:rFonts w:ascii="Cambria Math" w:hAnsi="Cambria Math" w:cs="Times New Roman"/>
                <w:szCs w:val="24"/>
              </w:rPr>
              <m:t>Residual</m:t>
            </m:r>
            <m:r>
              <w:rPr>
                <w:rFonts w:ascii="Cambria Math" w:hAnsi="Cambria Math" w:cs="Times New Roman"/>
                <w:szCs w:val="24"/>
              </w:rPr>
              <m:t xml:space="preserve"> </m:t>
            </m:r>
            <m:r>
              <w:rPr>
                <w:rFonts w:ascii="Cambria Math" w:hAnsi="Cambria Math" w:cs="Times New Roman"/>
                <w:szCs w:val="24"/>
              </w:rPr>
              <m:t>value</m:t>
            </m:r>
          </m:num>
          <m:den>
            <m:r>
              <w:rPr>
                <w:rFonts w:ascii="Cambria Math" w:hAnsi="Cambria Math" w:cs="Times New Roman"/>
                <w:szCs w:val="24"/>
              </w:rPr>
              <m:t>Useful</m:t>
            </m:r>
            <m:r>
              <w:rPr>
                <w:rFonts w:ascii="Cambria Math" w:hAnsi="Cambria Math" w:cs="Times New Roman"/>
                <w:szCs w:val="24"/>
              </w:rPr>
              <m:t xml:space="preserve"> </m:t>
            </m:r>
            <m:r>
              <w:rPr>
                <w:rFonts w:ascii="Cambria Math" w:hAnsi="Cambria Math" w:cs="Times New Roman"/>
                <w:szCs w:val="24"/>
              </w:rPr>
              <m:t>life</m:t>
            </m:r>
          </m:den>
        </m:f>
      </m:oMath>
    </w:p>
    <w:p w14:paraId="53530CA8" w14:textId="77777777" w:rsidR="00203A96" w:rsidRPr="00FB5261" w:rsidRDefault="00313C6B" w:rsidP="00FB5261">
      <w:pPr>
        <w:spacing w:line="360" w:lineRule="auto"/>
        <w:rPr>
          <w:rFonts w:eastAsiaTheme="minorEastAsia" w:cs="Times New Roman"/>
          <w:szCs w:val="24"/>
        </w:rPr>
      </w:pPr>
      <w:r w:rsidRPr="00FB5261">
        <w:rPr>
          <w:rFonts w:eastAsiaTheme="minorEastAsia" w:cs="Times New Roman"/>
          <w:szCs w:val="24"/>
        </w:rPr>
        <w:tab/>
      </w:r>
      <w:r w:rsidRPr="00FB5261">
        <w:rPr>
          <w:rFonts w:eastAsiaTheme="minorEastAsia" w:cs="Times New Roman"/>
          <w:szCs w:val="24"/>
        </w:rPr>
        <w:tab/>
        <w:t xml:space="preserve">= </w:t>
      </w:r>
      <m:oMath>
        <m:f>
          <m:fPr>
            <m:ctrlPr>
              <w:rPr>
                <w:rFonts w:ascii="Cambria Math" w:eastAsiaTheme="minorEastAsia" w:hAnsi="Cambria Math" w:cs="Times New Roman"/>
                <w:szCs w:val="24"/>
              </w:rPr>
            </m:ctrlPr>
          </m:fPr>
          <m:num>
            <m:r>
              <w:rPr>
                <w:rFonts w:ascii="Cambria Math" w:eastAsiaTheme="minorEastAsia" w:hAnsi="Cambria Math" w:cs="Times New Roman"/>
                <w:szCs w:val="24"/>
              </w:rPr>
              <m:t>85-0</m:t>
            </m:r>
          </m:num>
          <m:den>
            <m:r>
              <w:rPr>
                <w:rFonts w:ascii="Cambria Math" w:eastAsiaTheme="minorEastAsia" w:hAnsi="Cambria Math" w:cs="Times New Roman"/>
                <w:szCs w:val="24"/>
              </w:rPr>
              <m:t>4</m:t>
            </m:r>
          </m:den>
        </m:f>
      </m:oMath>
    </w:p>
    <w:p w14:paraId="341967E4" w14:textId="77777777" w:rsidR="00BD2FB1" w:rsidRPr="00FB5261" w:rsidRDefault="00313C6B" w:rsidP="00FB5261">
      <w:pPr>
        <w:spacing w:line="360" w:lineRule="auto"/>
        <w:rPr>
          <w:rFonts w:eastAsiaTheme="minorEastAsia" w:cs="Times New Roman"/>
          <w:szCs w:val="24"/>
        </w:rPr>
      </w:pPr>
      <w:r w:rsidRPr="00FB5261">
        <w:rPr>
          <w:rFonts w:eastAsiaTheme="minorEastAsia" w:cs="Times New Roman"/>
          <w:szCs w:val="24"/>
        </w:rPr>
        <w:tab/>
      </w:r>
      <w:r w:rsidRPr="00FB5261">
        <w:rPr>
          <w:rFonts w:eastAsiaTheme="minorEastAsia" w:cs="Times New Roman"/>
          <w:szCs w:val="24"/>
        </w:rPr>
        <w:tab/>
        <w:t>= £21.25m</w:t>
      </w:r>
    </w:p>
    <w:tbl>
      <w:tblPr>
        <w:tblW w:w="9778" w:type="dxa"/>
        <w:tblLook w:val="04A0" w:firstRow="1" w:lastRow="0" w:firstColumn="1" w:lastColumn="0" w:noHBand="0" w:noVBand="1"/>
      </w:tblPr>
      <w:tblGrid>
        <w:gridCol w:w="1562"/>
        <w:gridCol w:w="2236"/>
        <w:gridCol w:w="3125"/>
        <w:gridCol w:w="2855"/>
      </w:tblGrid>
      <w:tr w:rsidR="00304AE7" w14:paraId="02D0A423" w14:textId="77777777" w:rsidTr="00203A96">
        <w:trPr>
          <w:trHeight w:val="343"/>
        </w:trPr>
        <w:tc>
          <w:tcPr>
            <w:tcW w:w="1562" w:type="dxa"/>
            <w:tcBorders>
              <w:top w:val="single" w:sz="4" w:space="0" w:color="000000"/>
              <w:left w:val="single" w:sz="4" w:space="0" w:color="000000"/>
              <w:bottom w:val="nil"/>
              <w:right w:val="nil"/>
            </w:tcBorders>
            <w:shd w:val="clear" w:color="000000" w:fill="000000"/>
            <w:noWrap/>
            <w:vAlign w:val="bottom"/>
            <w:hideMark/>
          </w:tcPr>
          <w:p w14:paraId="4DB36E05" w14:textId="77777777" w:rsidR="00203A96" w:rsidRPr="00203A96" w:rsidRDefault="00313C6B" w:rsidP="00FB5261">
            <w:pPr>
              <w:spacing w:after="0" w:line="360" w:lineRule="auto"/>
              <w:rPr>
                <w:rFonts w:eastAsia="Times New Roman" w:cs="Times New Roman"/>
                <w:b/>
                <w:bCs/>
                <w:color w:val="FFFFFF"/>
                <w:szCs w:val="24"/>
                <w:lang w:val="en-US"/>
              </w:rPr>
            </w:pPr>
            <w:r w:rsidRPr="00203A96">
              <w:rPr>
                <w:rFonts w:eastAsia="Times New Roman" w:cs="Times New Roman"/>
                <w:b/>
                <w:bCs/>
                <w:color w:val="FFFFFF"/>
                <w:szCs w:val="24"/>
                <w:lang w:val="en-US"/>
              </w:rPr>
              <w:t>Year</w:t>
            </w:r>
          </w:p>
        </w:tc>
        <w:tc>
          <w:tcPr>
            <w:tcW w:w="2236" w:type="dxa"/>
            <w:tcBorders>
              <w:top w:val="single" w:sz="4" w:space="0" w:color="000000"/>
              <w:left w:val="nil"/>
              <w:bottom w:val="nil"/>
              <w:right w:val="nil"/>
            </w:tcBorders>
            <w:shd w:val="clear" w:color="000000" w:fill="000000"/>
            <w:noWrap/>
            <w:vAlign w:val="bottom"/>
            <w:hideMark/>
          </w:tcPr>
          <w:p w14:paraId="779087A3" w14:textId="77777777" w:rsidR="00203A96" w:rsidRPr="00203A96" w:rsidRDefault="00313C6B" w:rsidP="00FB5261">
            <w:pPr>
              <w:spacing w:after="0" w:line="360" w:lineRule="auto"/>
              <w:rPr>
                <w:rFonts w:eastAsia="Times New Roman" w:cs="Times New Roman"/>
                <w:b/>
                <w:bCs/>
                <w:color w:val="FFFFFF"/>
                <w:szCs w:val="24"/>
                <w:lang w:val="en-US"/>
              </w:rPr>
            </w:pPr>
            <w:r w:rsidRPr="00203A96">
              <w:rPr>
                <w:rFonts w:eastAsia="Times New Roman" w:cs="Times New Roman"/>
                <w:b/>
                <w:bCs/>
                <w:color w:val="FFFFFF"/>
                <w:szCs w:val="24"/>
                <w:lang w:val="en-US"/>
              </w:rPr>
              <w:t>Cashflow</w:t>
            </w:r>
          </w:p>
        </w:tc>
        <w:tc>
          <w:tcPr>
            <w:tcW w:w="3125" w:type="dxa"/>
            <w:tcBorders>
              <w:top w:val="single" w:sz="4" w:space="0" w:color="000000"/>
              <w:left w:val="nil"/>
              <w:bottom w:val="nil"/>
              <w:right w:val="nil"/>
            </w:tcBorders>
            <w:shd w:val="clear" w:color="000000" w:fill="000000"/>
            <w:noWrap/>
            <w:vAlign w:val="bottom"/>
            <w:hideMark/>
          </w:tcPr>
          <w:p w14:paraId="7EB05F8A" w14:textId="77777777" w:rsidR="00203A96" w:rsidRPr="00203A96" w:rsidRDefault="00313C6B" w:rsidP="00FB5261">
            <w:pPr>
              <w:spacing w:after="0" w:line="360" w:lineRule="auto"/>
              <w:rPr>
                <w:rFonts w:eastAsia="Times New Roman" w:cs="Times New Roman"/>
                <w:b/>
                <w:bCs/>
                <w:color w:val="FFFFFF"/>
                <w:szCs w:val="24"/>
                <w:lang w:val="en-US"/>
              </w:rPr>
            </w:pPr>
            <w:r w:rsidRPr="00203A96">
              <w:rPr>
                <w:rFonts w:eastAsia="Times New Roman" w:cs="Times New Roman"/>
                <w:b/>
                <w:bCs/>
                <w:color w:val="FFFFFF"/>
                <w:szCs w:val="24"/>
                <w:lang w:val="en-US"/>
              </w:rPr>
              <w:t>Depreciation</w:t>
            </w:r>
          </w:p>
        </w:tc>
        <w:tc>
          <w:tcPr>
            <w:tcW w:w="2855" w:type="dxa"/>
            <w:tcBorders>
              <w:top w:val="single" w:sz="4" w:space="0" w:color="000000"/>
              <w:left w:val="nil"/>
              <w:bottom w:val="nil"/>
              <w:right w:val="single" w:sz="4" w:space="0" w:color="000000"/>
            </w:tcBorders>
            <w:shd w:val="clear" w:color="000000" w:fill="000000"/>
            <w:noWrap/>
            <w:vAlign w:val="bottom"/>
            <w:hideMark/>
          </w:tcPr>
          <w:p w14:paraId="4F4E1D8E" w14:textId="77777777" w:rsidR="00203A96" w:rsidRPr="00203A96" w:rsidRDefault="00313C6B" w:rsidP="00FB5261">
            <w:pPr>
              <w:spacing w:after="0" w:line="360" w:lineRule="auto"/>
              <w:rPr>
                <w:rFonts w:eastAsia="Times New Roman" w:cs="Times New Roman"/>
                <w:b/>
                <w:bCs/>
                <w:color w:val="FFFFFF"/>
                <w:szCs w:val="24"/>
                <w:lang w:val="en-US"/>
              </w:rPr>
            </w:pPr>
            <w:r w:rsidRPr="00203A96">
              <w:rPr>
                <w:rFonts w:eastAsia="Times New Roman" w:cs="Times New Roman"/>
                <w:b/>
                <w:bCs/>
                <w:color w:val="FFFFFF"/>
                <w:szCs w:val="24"/>
                <w:lang w:val="en-US"/>
              </w:rPr>
              <w:t xml:space="preserve">Accounting </w:t>
            </w:r>
            <w:r w:rsidR="00BD34E1" w:rsidRPr="00FB5261">
              <w:rPr>
                <w:rFonts w:eastAsia="Times New Roman" w:cs="Times New Roman"/>
                <w:b/>
                <w:bCs/>
                <w:color w:val="FFFFFF"/>
                <w:szCs w:val="24"/>
                <w:lang w:val="en-US"/>
              </w:rPr>
              <w:t>profit</w:t>
            </w:r>
          </w:p>
        </w:tc>
      </w:tr>
      <w:tr w:rsidR="00304AE7" w14:paraId="35AAD035" w14:textId="77777777" w:rsidTr="00203A96">
        <w:trPr>
          <w:trHeight w:val="343"/>
        </w:trPr>
        <w:tc>
          <w:tcPr>
            <w:tcW w:w="1562" w:type="dxa"/>
            <w:tcBorders>
              <w:top w:val="single" w:sz="4" w:space="0" w:color="000000"/>
              <w:left w:val="single" w:sz="4" w:space="0" w:color="000000"/>
              <w:bottom w:val="nil"/>
              <w:right w:val="nil"/>
            </w:tcBorders>
            <w:shd w:val="clear" w:color="auto" w:fill="auto"/>
            <w:noWrap/>
            <w:vAlign w:val="bottom"/>
            <w:hideMark/>
          </w:tcPr>
          <w:p w14:paraId="19357423"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1</w:t>
            </w:r>
          </w:p>
        </w:tc>
        <w:tc>
          <w:tcPr>
            <w:tcW w:w="2236" w:type="dxa"/>
            <w:tcBorders>
              <w:top w:val="single" w:sz="4" w:space="0" w:color="000000"/>
              <w:left w:val="nil"/>
              <w:bottom w:val="nil"/>
              <w:right w:val="nil"/>
            </w:tcBorders>
            <w:shd w:val="clear" w:color="auto" w:fill="auto"/>
            <w:noWrap/>
            <w:vAlign w:val="bottom"/>
            <w:hideMark/>
          </w:tcPr>
          <w:p w14:paraId="32B516A5"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10</w:t>
            </w:r>
          </w:p>
        </w:tc>
        <w:tc>
          <w:tcPr>
            <w:tcW w:w="3125" w:type="dxa"/>
            <w:tcBorders>
              <w:top w:val="single" w:sz="4" w:space="0" w:color="000000"/>
              <w:left w:val="nil"/>
              <w:bottom w:val="nil"/>
              <w:right w:val="nil"/>
            </w:tcBorders>
            <w:shd w:val="clear" w:color="auto" w:fill="auto"/>
            <w:noWrap/>
            <w:vAlign w:val="bottom"/>
            <w:hideMark/>
          </w:tcPr>
          <w:p w14:paraId="68327DB3"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21.25</w:t>
            </w:r>
          </w:p>
        </w:tc>
        <w:tc>
          <w:tcPr>
            <w:tcW w:w="2855" w:type="dxa"/>
            <w:tcBorders>
              <w:top w:val="single" w:sz="4" w:space="0" w:color="000000"/>
              <w:left w:val="nil"/>
              <w:bottom w:val="nil"/>
              <w:right w:val="single" w:sz="4" w:space="0" w:color="000000"/>
            </w:tcBorders>
            <w:shd w:val="clear" w:color="auto" w:fill="auto"/>
            <w:noWrap/>
            <w:vAlign w:val="bottom"/>
            <w:hideMark/>
          </w:tcPr>
          <w:p w14:paraId="740D19FC"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-11.25</w:t>
            </w:r>
          </w:p>
        </w:tc>
      </w:tr>
      <w:tr w:rsidR="00304AE7" w14:paraId="5F4D8ABC" w14:textId="77777777" w:rsidTr="00203A96">
        <w:trPr>
          <w:trHeight w:val="343"/>
        </w:trPr>
        <w:tc>
          <w:tcPr>
            <w:tcW w:w="1562" w:type="dxa"/>
            <w:tcBorders>
              <w:top w:val="single" w:sz="4" w:space="0" w:color="000000"/>
              <w:left w:val="single" w:sz="4" w:space="0" w:color="000000"/>
              <w:bottom w:val="nil"/>
              <w:right w:val="nil"/>
            </w:tcBorders>
            <w:shd w:val="clear" w:color="auto" w:fill="auto"/>
            <w:noWrap/>
            <w:vAlign w:val="bottom"/>
            <w:hideMark/>
          </w:tcPr>
          <w:p w14:paraId="75025E3D"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2</w:t>
            </w:r>
          </w:p>
        </w:tc>
        <w:tc>
          <w:tcPr>
            <w:tcW w:w="2236" w:type="dxa"/>
            <w:tcBorders>
              <w:top w:val="single" w:sz="4" w:space="0" w:color="000000"/>
              <w:left w:val="nil"/>
              <w:bottom w:val="nil"/>
              <w:right w:val="nil"/>
            </w:tcBorders>
            <w:shd w:val="clear" w:color="auto" w:fill="auto"/>
            <w:noWrap/>
            <w:vAlign w:val="bottom"/>
            <w:hideMark/>
          </w:tcPr>
          <w:p w14:paraId="76E633F5"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20</w:t>
            </w:r>
          </w:p>
        </w:tc>
        <w:tc>
          <w:tcPr>
            <w:tcW w:w="3125" w:type="dxa"/>
            <w:tcBorders>
              <w:top w:val="single" w:sz="4" w:space="0" w:color="000000"/>
              <w:left w:val="nil"/>
              <w:bottom w:val="nil"/>
              <w:right w:val="nil"/>
            </w:tcBorders>
            <w:shd w:val="clear" w:color="auto" w:fill="auto"/>
            <w:noWrap/>
            <w:vAlign w:val="bottom"/>
            <w:hideMark/>
          </w:tcPr>
          <w:p w14:paraId="78642A1F"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21.25</w:t>
            </w:r>
          </w:p>
        </w:tc>
        <w:tc>
          <w:tcPr>
            <w:tcW w:w="2855" w:type="dxa"/>
            <w:tcBorders>
              <w:top w:val="single" w:sz="4" w:space="0" w:color="000000"/>
              <w:left w:val="nil"/>
              <w:bottom w:val="nil"/>
              <w:right w:val="single" w:sz="4" w:space="0" w:color="000000"/>
            </w:tcBorders>
            <w:shd w:val="clear" w:color="auto" w:fill="auto"/>
            <w:noWrap/>
            <w:vAlign w:val="bottom"/>
            <w:hideMark/>
          </w:tcPr>
          <w:p w14:paraId="35B0EBA9"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-1.25</w:t>
            </w:r>
          </w:p>
        </w:tc>
      </w:tr>
      <w:tr w:rsidR="00304AE7" w14:paraId="6FED9E7F" w14:textId="77777777" w:rsidTr="00203A96">
        <w:trPr>
          <w:trHeight w:val="343"/>
        </w:trPr>
        <w:tc>
          <w:tcPr>
            <w:tcW w:w="1562" w:type="dxa"/>
            <w:tcBorders>
              <w:top w:val="single" w:sz="4" w:space="0" w:color="000000"/>
              <w:left w:val="single" w:sz="4" w:space="0" w:color="000000"/>
              <w:bottom w:val="nil"/>
              <w:right w:val="nil"/>
            </w:tcBorders>
            <w:shd w:val="clear" w:color="auto" w:fill="auto"/>
            <w:noWrap/>
            <w:vAlign w:val="bottom"/>
            <w:hideMark/>
          </w:tcPr>
          <w:p w14:paraId="3CD02E0E"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3</w:t>
            </w:r>
          </w:p>
        </w:tc>
        <w:tc>
          <w:tcPr>
            <w:tcW w:w="2236" w:type="dxa"/>
            <w:tcBorders>
              <w:top w:val="single" w:sz="4" w:space="0" w:color="000000"/>
              <w:left w:val="nil"/>
              <w:bottom w:val="nil"/>
              <w:right w:val="nil"/>
            </w:tcBorders>
            <w:shd w:val="clear" w:color="auto" w:fill="auto"/>
            <w:noWrap/>
            <w:vAlign w:val="bottom"/>
            <w:hideMark/>
          </w:tcPr>
          <w:p w14:paraId="1983AE2C"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40</w:t>
            </w:r>
          </w:p>
        </w:tc>
        <w:tc>
          <w:tcPr>
            <w:tcW w:w="3125" w:type="dxa"/>
            <w:tcBorders>
              <w:top w:val="single" w:sz="4" w:space="0" w:color="000000"/>
              <w:left w:val="nil"/>
              <w:bottom w:val="nil"/>
              <w:right w:val="nil"/>
            </w:tcBorders>
            <w:shd w:val="clear" w:color="auto" w:fill="auto"/>
            <w:noWrap/>
            <w:vAlign w:val="bottom"/>
            <w:hideMark/>
          </w:tcPr>
          <w:p w14:paraId="6BBD94B7"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21.25</w:t>
            </w:r>
          </w:p>
        </w:tc>
        <w:tc>
          <w:tcPr>
            <w:tcW w:w="2855" w:type="dxa"/>
            <w:tcBorders>
              <w:top w:val="single" w:sz="4" w:space="0" w:color="000000"/>
              <w:left w:val="nil"/>
              <w:bottom w:val="nil"/>
              <w:right w:val="single" w:sz="4" w:space="0" w:color="000000"/>
            </w:tcBorders>
            <w:shd w:val="clear" w:color="auto" w:fill="auto"/>
            <w:noWrap/>
            <w:vAlign w:val="bottom"/>
            <w:hideMark/>
          </w:tcPr>
          <w:p w14:paraId="62FF1C4D"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18.75</w:t>
            </w:r>
          </w:p>
        </w:tc>
      </w:tr>
      <w:tr w:rsidR="00304AE7" w14:paraId="762AB2B5" w14:textId="77777777" w:rsidTr="00203A96">
        <w:trPr>
          <w:trHeight w:val="343"/>
        </w:trPr>
        <w:tc>
          <w:tcPr>
            <w:tcW w:w="1562" w:type="dxa"/>
            <w:tcBorders>
              <w:top w:val="single" w:sz="4" w:space="0" w:color="000000"/>
              <w:left w:val="single" w:sz="4" w:space="0" w:color="000000"/>
              <w:bottom w:val="single" w:sz="4" w:space="0" w:color="000000"/>
              <w:right w:val="nil"/>
            </w:tcBorders>
            <w:shd w:val="clear" w:color="auto" w:fill="auto"/>
            <w:noWrap/>
            <w:vAlign w:val="bottom"/>
            <w:hideMark/>
          </w:tcPr>
          <w:p w14:paraId="09E656E4"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lastRenderedPageBreak/>
              <w:t>4</w:t>
            </w:r>
          </w:p>
        </w:tc>
        <w:tc>
          <w:tcPr>
            <w:tcW w:w="2236" w:type="dxa"/>
            <w:tcBorders>
              <w:top w:val="single" w:sz="4" w:space="0" w:color="000000"/>
              <w:left w:val="nil"/>
              <w:bottom w:val="single" w:sz="4" w:space="0" w:color="000000"/>
              <w:right w:val="nil"/>
            </w:tcBorders>
            <w:shd w:val="clear" w:color="auto" w:fill="auto"/>
            <w:noWrap/>
            <w:vAlign w:val="bottom"/>
            <w:hideMark/>
          </w:tcPr>
          <w:p w14:paraId="64A019E7"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55</w:t>
            </w:r>
          </w:p>
        </w:tc>
        <w:tc>
          <w:tcPr>
            <w:tcW w:w="3125" w:type="dxa"/>
            <w:tcBorders>
              <w:top w:val="single" w:sz="4" w:space="0" w:color="000000"/>
              <w:left w:val="nil"/>
              <w:bottom w:val="single" w:sz="4" w:space="0" w:color="000000"/>
              <w:right w:val="nil"/>
            </w:tcBorders>
            <w:shd w:val="clear" w:color="auto" w:fill="auto"/>
            <w:noWrap/>
            <w:vAlign w:val="bottom"/>
            <w:hideMark/>
          </w:tcPr>
          <w:p w14:paraId="6D0EB225"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21.25</w:t>
            </w:r>
          </w:p>
        </w:tc>
        <w:tc>
          <w:tcPr>
            <w:tcW w:w="2855" w:type="dxa"/>
            <w:tcBorders>
              <w:top w:val="single" w:sz="4" w:space="0" w:color="000000"/>
              <w:left w:val="nil"/>
              <w:bottom w:val="single" w:sz="4" w:space="0" w:color="000000"/>
              <w:right w:val="single" w:sz="4" w:space="0" w:color="000000"/>
            </w:tcBorders>
            <w:shd w:val="clear" w:color="auto" w:fill="auto"/>
            <w:noWrap/>
            <w:vAlign w:val="bottom"/>
            <w:hideMark/>
          </w:tcPr>
          <w:p w14:paraId="67D51F9D" w14:textId="77777777" w:rsidR="00203A96" w:rsidRPr="00203A96" w:rsidRDefault="00313C6B" w:rsidP="00FB5261">
            <w:pPr>
              <w:spacing w:after="0" w:line="360" w:lineRule="auto"/>
              <w:rPr>
                <w:rFonts w:eastAsia="Times New Roman" w:cs="Times New Roman"/>
                <w:color w:val="000000"/>
                <w:szCs w:val="24"/>
                <w:lang w:val="en-US"/>
              </w:rPr>
            </w:pPr>
            <w:r w:rsidRPr="00203A96">
              <w:rPr>
                <w:rFonts w:eastAsia="Times New Roman" w:cs="Times New Roman"/>
                <w:color w:val="000000"/>
                <w:szCs w:val="24"/>
                <w:lang w:val="en-US"/>
              </w:rPr>
              <w:t>33.75</w:t>
            </w:r>
          </w:p>
        </w:tc>
      </w:tr>
      <w:tr w:rsidR="00304AE7" w14:paraId="5485EADB" w14:textId="77777777" w:rsidTr="00203A96">
        <w:trPr>
          <w:trHeight w:val="343"/>
        </w:trPr>
        <w:tc>
          <w:tcPr>
            <w:tcW w:w="1562" w:type="dxa"/>
            <w:tcBorders>
              <w:top w:val="single" w:sz="4" w:space="0" w:color="000000"/>
              <w:left w:val="single" w:sz="4" w:space="0" w:color="000000"/>
              <w:bottom w:val="single" w:sz="4" w:space="0" w:color="000000"/>
              <w:right w:val="nil"/>
            </w:tcBorders>
            <w:shd w:val="clear" w:color="auto" w:fill="auto"/>
            <w:noWrap/>
            <w:vAlign w:val="bottom"/>
          </w:tcPr>
          <w:p w14:paraId="5F16C070" w14:textId="77777777" w:rsidR="00203A96" w:rsidRPr="00FB5261" w:rsidRDefault="00203A96" w:rsidP="00FB5261">
            <w:pPr>
              <w:spacing w:after="0" w:line="360" w:lineRule="auto"/>
              <w:rPr>
                <w:rFonts w:eastAsia="Times New Roman" w:cs="Times New Roman"/>
                <w:color w:val="000000"/>
                <w:szCs w:val="24"/>
                <w:lang w:val="en-US"/>
              </w:rPr>
            </w:pPr>
          </w:p>
        </w:tc>
        <w:tc>
          <w:tcPr>
            <w:tcW w:w="2236" w:type="dxa"/>
            <w:tcBorders>
              <w:top w:val="single" w:sz="4" w:space="0" w:color="000000"/>
              <w:left w:val="nil"/>
              <w:bottom w:val="single" w:sz="4" w:space="0" w:color="000000"/>
              <w:right w:val="nil"/>
            </w:tcBorders>
            <w:shd w:val="clear" w:color="auto" w:fill="auto"/>
            <w:noWrap/>
            <w:vAlign w:val="bottom"/>
          </w:tcPr>
          <w:p w14:paraId="06E17E1B" w14:textId="77777777" w:rsidR="00203A96" w:rsidRPr="00FB5261" w:rsidRDefault="00203A96" w:rsidP="00FB5261">
            <w:pPr>
              <w:spacing w:after="0" w:line="360" w:lineRule="auto"/>
              <w:rPr>
                <w:rFonts w:eastAsia="Times New Roman" w:cs="Times New Roman"/>
                <w:color w:val="000000"/>
                <w:szCs w:val="24"/>
                <w:lang w:val="en-US"/>
              </w:rPr>
            </w:pPr>
          </w:p>
        </w:tc>
        <w:tc>
          <w:tcPr>
            <w:tcW w:w="3125" w:type="dxa"/>
            <w:tcBorders>
              <w:top w:val="single" w:sz="4" w:space="0" w:color="000000"/>
              <w:left w:val="nil"/>
              <w:bottom w:val="single" w:sz="4" w:space="0" w:color="000000"/>
              <w:right w:val="nil"/>
            </w:tcBorders>
            <w:shd w:val="clear" w:color="auto" w:fill="auto"/>
            <w:noWrap/>
            <w:vAlign w:val="bottom"/>
          </w:tcPr>
          <w:p w14:paraId="13AF7720" w14:textId="77777777" w:rsidR="00203A96"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Total</w:t>
            </w:r>
          </w:p>
        </w:tc>
        <w:tc>
          <w:tcPr>
            <w:tcW w:w="2855" w:type="dxa"/>
            <w:tcBorders>
              <w:top w:val="single" w:sz="4" w:space="0" w:color="000000"/>
              <w:left w:val="nil"/>
              <w:bottom w:val="single" w:sz="4" w:space="0" w:color="000000"/>
              <w:right w:val="single" w:sz="4" w:space="0" w:color="000000"/>
            </w:tcBorders>
            <w:shd w:val="clear" w:color="auto" w:fill="auto"/>
            <w:noWrap/>
            <w:vAlign w:val="bottom"/>
          </w:tcPr>
          <w:p w14:paraId="4D79CBA2" w14:textId="77777777" w:rsidR="00203A96" w:rsidRPr="00FB5261" w:rsidRDefault="00313C6B" w:rsidP="00FB5261">
            <w:pPr>
              <w:spacing w:after="0" w:line="360" w:lineRule="auto"/>
              <w:rPr>
                <w:rFonts w:eastAsia="Times New Roman" w:cs="Times New Roman"/>
                <w:color w:val="000000"/>
                <w:szCs w:val="24"/>
                <w:lang w:val="en-US"/>
              </w:rPr>
            </w:pPr>
            <w:r w:rsidRPr="00FB5261">
              <w:rPr>
                <w:rFonts w:eastAsia="Times New Roman" w:cs="Times New Roman"/>
                <w:color w:val="000000"/>
                <w:szCs w:val="24"/>
                <w:lang w:val="en-US"/>
              </w:rPr>
              <w:t>40</w:t>
            </w:r>
          </w:p>
        </w:tc>
      </w:tr>
    </w:tbl>
    <w:p w14:paraId="308FA7B4" w14:textId="77777777" w:rsidR="00203A96" w:rsidRPr="00FB5261" w:rsidRDefault="00203A96" w:rsidP="00FB5261">
      <w:pPr>
        <w:spacing w:line="360" w:lineRule="auto"/>
        <w:rPr>
          <w:rFonts w:eastAsiaTheme="minorEastAsia" w:cs="Times New Roman"/>
          <w:szCs w:val="24"/>
        </w:rPr>
      </w:pPr>
    </w:p>
    <w:p w14:paraId="12217D8F" w14:textId="77777777" w:rsidR="00203A96" w:rsidRPr="00FB5261" w:rsidRDefault="00313C6B" w:rsidP="00FB5261">
      <w:pPr>
        <w:spacing w:line="360" w:lineRule="auto"/>
        <w:rPr>
          <w:rFonts w:eastAsiaTheme="minorEastAsia" w:cs="Times New Roman"/>
          <w:szCs w:val="24"/>
        </w:rPr>
      </w:pPr>
      <w:r w:rsidRPr="00FB5261">
        <w:rPr>
          <w:rFonts w:cs="Times New Roman"/>
          <w:szCs w:val="24"/>
        </w:rPr>
        <w:t xml:space="preserve">Average Accounting Income = </w:t>
      </w:r>
      <m:oMath>
        <m:f>
          <m:fPr>
            <m:ctrlPr>
              <w:rPr>
                <w:rFonts w:ascii="Cambria Math" w:hAnsi="Cambria Math" w:cs="Times New Roman"/>
                <w:szCs w:val="24"/>
              </w:rPr>
            </m:ctrlPr>
          </m:fPr>
          <m:num>
            <m:r>
              <w:rPr>
                <w:rFonts w:ascii="Cambria Math" w:hAnsi="Cambria Math" w:cs="Times New Roman"/>
                <w:szCs w:val="24"/>
              </w:rPr>
              <m:t>40</m:t>
            </m:r>
          </m:num>
          <m:den>
            <m:r>
              <w:rPr>
                <w:rFonts w:ascii="Cambria Math" w:hAnsi="Cambria Math" w:cs="Times New Roman"/>
                <w:szCs w:val="24"/>
              </w:rPr>
              <m:t>4</m:t>
            </m:r>
          </m:den>
        </m:f>
        <m:r>
          <w:rPr>
            <w:rFonts w:ascii="Cambria Math" w:hAnsi="Cambria Math" w:cs="Times New Roman"/>
            <w:szCs w:val="24"/>
          </w:rPr>
          <m:t>=£10</m:t>
        </m:r>
      </m:oMath>
    </w:p>
    <w:p w14:paraId="29DA9045" w14:textId="77777777" w:rsidR="00BD34E1" w:rsidRPr="00FB5261" w:rsidRDefault="00313C6B" w:rsidP="00FB5261">
      <w:pPr>
        <w:spacing w:line="360" w:lineRule="auto"/>
        <w:rPr>
          <w:rFonts w:eastAsiaTheme="minorEastAsia" w:cs="Times New Roman"/>
          <w:szCs w:val="24"/>
        </w:rPr>
      </w:pPr>
      <w:r w:rsidRPr="00FB5261">
        <w:rPr>
          <w:rFonts w:eastAsiaTheme="minorEastAsia" w:cs="Times New Roman"/>
          <w:szCs w:val="24"/>
        </w:rPr>
        <w:t xml:space="preserve">So, Accounting Rate of Return = </w:t>
      </w:r>
      <m:oMath>
        <m:f>
          <m:fPr>
            <m:ctrlPr>
              <w:rPr>
                <w:rFonts w:ascii="Cambria Math" w:eastAsiaTheme="minorEastAsia" w:hAnsi="Cambria Math" w:cs="Times New Roman"/>
                <w:szCs w:val="24"/>
              </w:rPr>
            </m:ctrlPr>
          </m:fPr>
          <m:num>
            <m:r>
              <w:rPr>
                <w:rFonts w:ascii="Cambria Math" w:eastAsiaTheme="minorEastAsia" w:hAnsi="Cambria Math" w:cs="Times New Roman"/>
                <w:szCs w:val="24"/>
              </w:rPr>
              <m:t>Average</m:t>
            </m:r>
            <m:r>
              <w:rPr>
                <w:rFonts w:ascii="Cambria Math" w:eastAsiaTheme="minorEastAsia" w:hAnsi="Cambria Math" w:cs="Times New Roman"/>
                <w:szCs w:val="24"/>
              </w:rPr>
              <m:t xml:space="preserve"> </m:t>
            </m:r>
            <m:r>
              <w:rPr>
                <w:rFonts w:ascii="Cambria Math" w:eastAsiaTheme="minorEastAsia" w:hAnsi="Cambria Math" w:cs="Times New Roman"/>
                <w:szCs w:val="24"/>
              </w:rPr>
              <m:t>Accounting</m:t>
            </m:r>
            <m:r>
              <w:rPr>
                <w:rFonts w:ascii="Cambria Math" w:eastAsiaTheme="minorEastAsia" w:hAnsi="Cambria Math" w:cs="Times New Roman"/>
                <w:szCs w:val="24"/>
              </w:rPr>
              <m:t xml:space="preserve"> </m:t>
            </m:r>
            <m:r>
              <w:rPr>
                <w:rFonts w:ascii="Cambria Math" w:eastAsiaTheme="minorEastAsia" w:hAnsi="Cambria Math" w:cs="Times New Roman"/>
                <w:szCs w:val="24"/>
              </w:rPr>
              <m:t>profit</m:t>
            </m:r>
          </m:num>
          <m:den>
            <m:r>
              <w:rPr>
                <w:rFonts w:ascii="Cambria Math" w:eastAsiaTheme="minorEastAsia" w:hAnsi="Cambria Math" w:cs="Times New Roman"/>
                <w:szCs w:val="24"/>
              </w:rPr>
              <m:t>Initial</m:t>
            </m:r>
            <m:r>
              <w:rPr>
                <w:rFonts w:ascii="Cambria Math" w:eastAsiaTheme="minorEastAsia" w:hAnsi="Cambria Math" w:cs="Times New Roman"/>
                <w:szCs w:val="24"/>
              </w:rPr>
              <m:t xml:space="preserve"> </m:t>
            </m:r>
            <m:r>
              <w:rPr>
                <w:rFonts w:ascii="Cambria Math" w:eastAsiaTheme="minorEastAsia" w:hAnsi="Cambria Math" w:cs="Times New Roman"/>
                <w:szCs w:val="24"/>
              </w:rPr>
              <m:t>investment</m:t>
            </m:r>
          </m:den>
        </m:f>
      </m:oMath>
    </w:p>
    <w:p w14:paraId="40DD7F2F" w14:textId="77777777" w:rsidR="008E1451" w:rsidRPr="00FB5261" w:rsidRDefault="00313C6B" w:rsidP="00FB5261">
      <w:pPr>
        <w:spacing w:line="360" w:lineRule="auto"/>
        <w:rPr>
          <w:rFonts w:eastAsiaTheme="minorEastAsia" w:cs="Times New Roman"/>
          <w:szCs w:val="24"/>
        </w:rPr>
      </w:pPr>
      <w:r w:rsidRPr="00FB5261">
        <w:rPr>
          <w:rFonts w:eastAsiaTheme="minorEastAsia" w:cs="Times New Roman"/>
          <w:szCs w:val="24"/>
        </w:rPr>
        <w:tab/>
      </w:r>
      <w:r w:rsidRPr="00FB5261">
        <w:rPr>
          <w:rFonts w:eastAsiaTheme="minorEastAsia" w:cs="Times New Roman"/>
          <w:szCs w:val="24"/>
        </w:rPr>
        <w:tab/>
      </w:r>
      <w:r w:rsidRPr="00FB5261">
        <w:rPr>
          <w:rFonts w:eastAsiaTheme="minorEastAsia" w:cs="Times New Roman"/>
          <w:szCs w:val="24"/>
        </w:rPr>
        <w:tab/>
      </w:r>
      <w:r w:rsidRPr="00FB5261">
        <w:rPr>
          <w:rFonts w:eastAsiaTheme="minorEastAsia" w:cs="Times New Roman"/>
          <w:szCs w:val="24"/>
        </w:rPr>
        <w:tab/>
        <w:t xml:space="preserve">  = </w:t>
      </w:r>
      <m:oMath>
        <m:f>
          <m:fPr>
            <m:ctrlPr>
              <w:rPr>
                <w:rFonts w:ascii="Cambria Math" w:eastAsiaTheme="minorEastAsia" w:hAnsi="Cambria Math" w:cs="Times New Roman"/>
                <w:szCs w:val="24"/>
              </w:rPr>
            </m:ctrlPr>
          </m:fPr>
          <m:num>
            <m:r>
              <w:rPr>
                <w:rFonts w:ascii="Cambria Math" w:eastAsiaTheme="minorEastAsia" w:hAnsi="Cambria Math" w:cs="Times New Roman"/>
                <w:szCs w:val="24"/>
              </w:rPr>
              <m:t>10</m:t>
            </m:r>
          </m:num>
          <m:den>
            <m:r>
              <w:rPr>
                <w:rFonts w:ascii="Cambria Math" w:eastAsiaTheme="minorEastAsia" w:hAnsi="Cambria Math" w:cs="Times New Roman"/>
                <w:szCs w:val="24"/>
              </w:rPr>
              <m:t>85</m:t>
            </m:r>
          </m:den>
        </m:f>
      </m:oMath>
    </w:p>
    <w:p w14:paraId="0C64F8EE" w14:textId="77777777" w:rsidR="008E1451" w:rsidRPr="00FB5261" w:rsidRDefault="00313C6B" w:rsidP="00FB5261">
      <w:pPr>
        <w:spacing w:line="360" w:lineRule="auto"/>
        <w:rPr>
          <w:rFonts w:eastAsiaTheme="minorEastAsia" w:cs="Times New Roman"/>
          <w:szCs w:val="24"/>
        </w:rPr>
      </w:pPr>
      <w:r w:rsidRPr="00FB5261">
        <w:rPr>
          <w:rFonts w:eastAsiaTheme="minorEastAsia" w:cs="Times New Roman"/>
          <w:szCs w:val="24"/>
        </w:rPr>
        <w:tab/>
      </w:r>
      <w:r w:rsidRPr="00FB5261">
        <w:rPr>
          <w:rFonts w:eastAsiaTheme="minorEastAsia" w:cs="Times New Roman"/>
          <w:szCs w:val="24"/>
        </w:rPr>
        <w:tab/>
      </w:r>
      <w:r w:rsidRPr="00FB5261">
        <w:rPr>
          <w:rFonts w:eastAsiaTheme="minorEastAsia" w:cs="Times New Roman"/>
          <w:szCs w:val="24"/>
        </w:rPr>
        <w:tab/>
      </w:r>
      <w:r w:rsidRPr="00FB5261">
        <w:rPr>
          <w:rFonts w:eastAsiaTheme="minorEastAsia" w:cs="Times New Roman"/>
          <w:szCs w:val="24"/>
        </w:rPr>
        <w:tab/>
        <w:t xml:space="preserve">  = </w:t>
      </w:r>
      <w:r w:rsidR="00092F7F" w:rsidRPr="00FB5261">
        <w:rPr>
          <w:rFonts w:eastAsiaTheme="minorEastAsia" w:cs="Times New Roman"/>
          <w:szCs w:val="24"/>
        </w:rPr>
        <w:t>11.76%</w:t>
      </w:r>
    </w:p>
    <w:p w14:paraId="18AE878C" w14:textId="77777777" w:rsidR="006C4D70" w:rsidRPr="00FB5261" w:rsidRDefault="00313C6B" w:rsidP="00FB5261">
      <w:pPr>
        <w:spacing w:line="360" w:lineRule="auto"/>
        <w:rPr>
          <w:rFonts w:eastAsiaTheme="minorEastAsia" w:cs="Times New Roman"/>
          <w:szCs w:val="24"/>
        </w:rPr>
      </w:pPr>
      <w:r w:rsidRPr="00FB5261">
        <w:rPr>
          <w:rFonts w:eastAsiaTheme="minorEastAsia" w:cs="Times New Roman"/>
          <w:szCs w:val="24"/>
        </w:rPr>
        <w:t xml:space="preserve">The annual </w:t>
      </w:r>
      <w:r w:rsidR="000B2C6C" w:rsidRPr="00FB5261">
        <w:rPr>
          <w:rFonts w:eastAsiaTheme="minorEastAsia" w:cs="Times New Roman"/>
          <w:szCs w:val="24"/>
        </w:rPr>
        <w:t>percentage rate of return for project A is 11.76%.</w:t>
      </w:r>
    </w:p>
    <w:p w14:paraId="7A92CB77" w14:textId="77777777" w:rsidR="00092F7F" w:rsidRPr="00FB5261" w:rsidRDefault="00313C6B" w:rsidP="00FB5261">
      <w:pPr>
        <w:spacing w:line="360" w:lineRule="auto"/>
        <w:rPr>
          <w:rFonts w:eastAsiaTheme="minorEastAsia" w:cs="Times New Roman"/>
          <w:szCs w:val="24"/>
        </w:rPr>
      </w:pPr>
      <w:r w:rsidRPr="00FB5261">
        <w:rPr>
          <w:rFonts w:eastAsiaTheme="minorEastAsia" w:cs="Times New Roman"/>
          <w:szCs w:val="24"/>
        </w:rPr>
        <w:t>ARR of Project B:</w:t>
      </w:r>
    </w:p>
    <w:p w14:paraId="6C948A9D" w14:textId="77777777" w:rsidR="00092F7F" w:rsidRPr="00FB5261" w:rsidRDefault="00313C6B" w:rsidP="00FB5261">
      <w:pPr>
        <w:spacing w:line="360" w:lineRule="auto"/>
        <w:rPr>
          <w:rFonts w:eastAsiaTheme="minorEastAsia" w:cs="Times New Roman"/>
          <w:szCs w:val="24"/>
        </w:rPr>
      </w:pPr>
      <w:r w:rsidRPr="00FB5261">
        <w:rPr>
          <w:rFonts w:eastAsiaTheme="minorEastAsia" w:cs="Times New Roman"/>
          <w:szCs w:val="24"/>
        </w:rPr>
        <w:t xml:space="preserve">Depreciation = </w:t>
      </w:r>
      <m:oMath>
        <m:f>
          <m:fPr>
            <m:ctrlPr>
              <w:rPr>
                <w:rFonts w:ascii="Cambria Math" w:eastAsiaTheme="minorEastAsia" w:hAnsi="Cambria Math" w:cs="Times New Roman"/>
                <w:szCs w:val="24"/>
              </w:rPr>
            </m:ctrlPr>
          </m:fPr>
          <m:num>
            <m:r>
              <w:rPr>
                <w:rFonts w:ascii="Cambria Math" w:eastAsiaTheme="minorEastAsia" w:hAnsi="Cambria Math" w:cs="Times New Roman"/>
                <w:szCs w:val="24"/>
              </w:rPr>
              <m:t>90</m:t>
            </m:r>
          </m:num>
          <m:den>
            <m:r>
              <w:rPr>
                <w:rFonts w:ascii="Cambria Math" w:eastAsiaTheme="minorEastAsia" w:hAnsi="Cambria Math" w:cs="Times New Roman"/>
                <w:szCs w:val="24"/>
              </w:rPr>
              <m:t>4</m:t>
            </m:r>
          </m:den>
        </m:f>
        <m:r>
          <w:rPr>
            <w:rFonts w:ascii="Cambria Math" w:eastAsiaTheme="minorEastAsia" w:hAnsi="Cambria Math" w:cs="Times New Roman"/>
            <w:szCs w:val="24"/>
          </w:rPr>
          <m:t>=£22.5</m:t>
        </m:r>
        <m:r>
          <w:rPr>
            <w:rFonts w:ascii="Cambria Math" w:eastAsiaTheme="minorEastAsia" w:hAnsi="Cambria Math" w:cs="Times New Roman"/>
            <w:szCs w:val="24"/>
          </w:rPr>
          <m:t>m</m:t>
        </m:r>
      </m:oMath>
    </w:p>
    <w:tbl>
      <w:tblPr>
        <w:tblW w:w="9776" w:type="dxa"/>
        <w:tblLook w:val="04A0" w:firstRow="1" w:lastRow="0" w:firstColumn="1" w:lastColumn="0" w:noHBand="0" w:noVBand="1"/>
      </w:tblPr>
      <w:tblGrid>
        <w:gridCol w:w="1562"/>
        <w:gridCol w:w="2242"/>
        <w:gridCol w:w="3125"/>
        <w:gridCol w:w="2847"/>
      </w:tblGrid>
      <w:tr w:rsidR="00304AE7" w14:paraId="0954F73B" w14:textId="77777777" w:rsidTr="00092F7F">
        <w:trPr>
          <w:trHeight w:val="314"/>
        </w:trPr>
        <w:tc>
          <w:tcPr>
            <w:tcW w:w="1562" w:type="dxa"/>
            <w:tcBorders>
              <w:top w:val="single" w:sz="4" w:space="0" w:color="000000"/>
              <w:left w:val="single" w:sz="4" w:space="0" w:color="000000"/>
              <w:bottom w:val="nil"/>
              <w:right w:val="nil"/>
            </w:tcBorders>
            <w:shd w:val="clear" w:color="000000" w:fill="000000"/>
            <w:noWrap/>
            <w:vAlign w:val="bottom"/>
            <w:hideMark/>
          </w:tcPr>
          <w:p w14:paraId="1996A8F1" w14:textId="77777777" w:rsidR="00092F7F" w:rsidRPr="00092F7F" w:rsidRDefault="00313C6B" w:rsidP="00FB5261">
            <w:pPr>
              <w:spacing w:after="0" w:line="360" w:lineRule="auto"/>
              <w:rPr>
                <w:rFonts w:eastAsia="Times New Roman" w:cs="Times New Roman"/>
                <w:b/>
                <w:bCs/>
                <w:color w:val="FFFFFF"/>
                <w:szCs w:val="24"/>
                <w:lang w:val="en-US"/>
              </w:rPr>
            </w:pPr>
            <w:r w:rsidRPr="00092F7F">
              <w:rPr>
                <w:rFonts w:eastAsia="Times New Roman" w:cs="Times New Roman"/>
                <w:b/>
                <w:bCs/>
                <w:color w:val="FFFFFF"/>
                <w:szCs w:val="24"/>
                <w:lang w:val="en-US"/>
              </w:rPr>
              <w:t>Year</w:t>
            </w:r>
          </w:p>
        </w:tc>
        <w:tc>
          <w:tcPr>
            <w:tcW w:w="2242" w:type="dxa"/>
            <w:tcBorders>
              <w:top w:val="single" w:sz="4" w:space="0" w:color="000000"/>
              <w:left w:val="nil"/>
              <w:bottom w:val="nil"/>
              <w:right w:val="nil"/>
            </w:tcBorders>
            <w:shd w:val="clear" w:color="000000" w:fill="000000"/>
            <w:noWrap/>
            <w:vAlign w:val="bottom"/>
            <w:hideMark/>
          </w:tcPr>
          <w:p w14:paraId="43DBDB6D" w14:textId="77777777" w:rsidR="00092F7F" w:rsidRPr="00092F7F" w:rsidRDefault="00313C6B" w:rsidP="00FB5261">
            <w:pPr>
              <w:spacing w:after="0" w:line="360" w:lineRule="auto"/>
              <w:rPr>
                <w:rFonts w:eastAsia="Times New Roman" w:cs="Times New Roman"/>
                <w:b/>
                <w:bCs/>
                <w:color w:val="FFFFFF"/>
                <w:szCs w:val="24"/>
                <w:lang w:val="en-US"/>
              </w:rPr>
            </w:pPr>
            <w:r w:rsidRPr="00092F7F">
              <w:rPr>
                <w:rFonts w:eastAsia="Times New Roman" w:cs="Times New Roman"/>
                <w:b/>
                <w:bCs/>
                <w:color w:val="FFFFFF"/>
                <w:szCs w:val="24"/>
                <w:lang w:val="en-US"/>
              </w:rPr>
              <w:t>Cashflow</w:t>
            </w:r>
          </w:p>
        </w:tc>
        <w:tc>
          <w:tcPr>
            <w:tcW w:w="3125" w:type="dxa"/>
            <w:tcBorders>
              <w:top w:val="single" w:sz="4" w:space="0" w:color="000000"/>
              <w:left w:val="nil"/>
              <w:bottom w:val="nil"/>
              <w:right w:val="nil"/>
            </w:tcBorders>
            <w:shd w:val="clear" w:color="000000" w:fill="000000"/>
            <w:noWrap/>
            <w:vAlign w:val="bottom"/>
            <w:hideMark/>
          </w:tcPr>
          <w:p w14:paraId="647DAF13" w14:textId="77777777" w:rsidR="00092F7F" w:rsidRPr="00092F7F" w:rsidRDefault="00313C6B" w:rsidP="00FB5261">
            <w:pPr>
              <w:spacing w:after="0" w:line="360" w:lineRule="auto"/>
              <w:rPr>
                <w:rFonts w:eastAsia="Times New Roman" w:cs="Times New Roman"/>
                <w:b/>
                <w:bCs/>
                <w:color w:val="FFFFFF"/>
                <w:szCs w:val="24"/>
                <w:lang w:val="en-US"/>
              </w:rPr>
            </w:pPr>
            <w:r w:rsidRPr="00092F7F">
              <w:rPr>
                <w:rFonts w:eastAsia="Times New Roman" w:cs="Times New Roman"/>
                <w:b/>
                <w:bCs/>
                <w:color w:val="FFFFFF"/>
                <w:szCs w:val="24"/>
                <w:lang w:val="en-US"/>
              </w:rPr>
              <w:t>Depreciation</w:t>
            </w:r>
          </w:p>
        </w:tc>
        <w:tc>
          <w:tcPr>
            <w:tcW w:w="2847" w:type="dxa"/>
            <w:tcBorders>
              <w:top w:val="single" w:sz="4" w:space="0" w:color="000000"/>
              <w:left w:val="nil"/>
              <w:bottom w:val="nil"/>
              <w:right w:val="single" w:sz="4" w:space="0" w:color="000000"/>
            </w:tcBorders>
            <w:shd w:val="clear" w:color="000000" w:fill="000000"/>
            <w:noWrap/>
            <w:vAlign w:val="bottom"/>
            <w:hideMark/>
          </w:tcPr>
          <w:p w14:paraId="44B25ADF" w14:textId="77777777" w:rsidR="00092F7F" w:rsidRPr="00092F7F" w:rsidRDefault="00313C6B" w:rsidP="00FB5261">
            <w:pPr>
              <w:spacing w:after="0" w:line="360" w:lineRule="auto"/>
              <w:rPr>
                <w:rFonts w:eastAsia="Times New Roman" w:cs="Times New Roman"/>
                <w:b/>
                <w:bCs/>
                <w:color w:val="FFFFFF"/>
                <w:szCs w:val="24"/>
                <w:lang w:val="en-US"/>
              </w:rPr>
            </w:pPr>
            <w:r w:rsidRPr="00092F7F">
              <w:rPr>
                <w:rFonts w:eastAsia="Times New Roman" w:cs="Times New Roman"/>
                <w:b/>
                <w:bCs/>
                <w:color w:val="FFFFFF"/>
                <w:szCs w:val="24"/>
                <w:lang w:val="en-US"/>
              </w:rPr>
              <w:t>Accounting Profit</w:t>
            </w:r>
          </w:p>
        </w:tc>
      </w:tr>
      <w:tr w:rsidR="00304AE7" w14:paraId="727AC33A" w14:textId="77777777" w:rsidTr="00092F7F">
        <w:trPr>
          <w:trHeight w:val="314"/>
        </w:trPr>
        <w:tc>
          <w:tcPr>
            <w:tcW w:w="1562" w:type="dxa"/>
            <w:tcBorders>
              <w:top w:val="single" w:sz="4" w:space="0" w:color="000000"/>
              <w:left w:val="single" w:sz="4" w:space="0" w:color="000000"/>
              <w:bottom w:val="nil"/>
              <w:right w:val="nil"/>
            </w:tcBorders>
            <w:shd w:val="clear" w:color="auto" w:fill="auto"/>
            <w:noWrap/>
            <w:vAlign w:val="bottom"/>
            <w:hideMark/>
          </w:tcPr>
          <w:p w14:paraId="1B9D3A39"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1</w:t>
            </w:r>
          </w:p>
        </w:tc>
        <w:tc>
          <w:tcPr>
            <w:tcW w:w="2242" w:type="dxa"/>
            <w:tcBorders>
              <w:top w:val="single" w:sz="4" w:space="0" w:color="000000"/>
              <w:left w:val="nil"/>
              <w:bottom w:val="nil"/>
              <w:right w:val="nil"/>
            </w:tcBorders>
            <w:shd w:val="clear" w:color="auto" w:fill="auto"/>
            <w:noWrap/>
            <w:vAlign w:val="bottom"/>
            <w:hideMark/>
          </w:tcPr>
          <w:p w14:paraId="79CF617D"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25</w:t>
            </w:r>
          </w:p>
        </w:tc>
        <w:tc>
          <w:tcPr>
            <w:tcW w:w="3125" w:type="dxa"/>
            <w:tcBorders>
              <w:top w:val="single" w:sz="4" w:space="0" w:color="000000"/>
              <w:left w:val="nil"/>
              <w:bottom w:val="nil"/>
              <w:right w:val="nil"/>
            </w:tcBorders>
            <w:shd w:val="clear" w:color="auto" w:fill="auto"/>
            <w:noWrap/>
            <w:vAlign w:val="bottom"/>
            <w:hideMark/>
          </w:tcPr>
          <w:p w14:paraId="23DBEEE0"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22.5</w:t>
            </w:r>
          </w:p>
        </w:tc>
        <w:tc>
          <w:tcPr>
            <w:tcW w:w="2847" w:type="dxa"/>
            <w:tcBorders>
              <w:top w:val="single" w:sz="4" w:space="0" w:color="000000"/>
              <w:left w:val="nil"/>
              <w:bottom w:val="nil"/>
              <w:right w:val="single" w:sz="4" w:space="0" w:color="000000"/>
            </w:tcBorders>
            <w:shd w:val="clear" w:color="auto" w:fill="auto"/>
            <w:noWrap/>
            <w:vAlign w:val="bottom"/>
            <w:hideMark/>
          </w:tcPr>
          <w:p w14:paraId="4767C198"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2.5</w:t>
            </w:r>
          </w:p>
        </w:tc>
      </w:tr>
      <w:tr w:rsidR="00304AE7" w14:paraId="009F45A5" w14:textId="77777777" w:rsidTr="00092F7F">
        <w:trPr>
          <w:trHeight w:val="314"/>
        </w:trPr>
        <w:tc>
          <w:tcPr>
            <w:tcW w:w="1562" w:type="dxa"/>
            <w:tcBorders>
              <w:top w:val="single" w:sz="4" w:space="0" w:color="000000"/>
              <w:left w:val="single" w:sz="4" w:space="0" w:color="000000"/>
              <w:bottom w:val="nil"/>
              <w:right w:val="nil"/>
            </w:tcBorders>
            <w:shd w:val="clear" w:color="auto" w:fill="auto"/>
            <w:noWrap/>
            <w:vAlign w:val="bottom"/>
            <w:hideMark/>
          </w:tcPr>
          <w:p w14:paraId="6AA06E32"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2</w:t>
            </w:r>
          </w:p>
        </w:tc>
        <w:tc>
          <w:tcPr>
            <w:tcW w:w="2242" w:type="dxa"/>
            <w:tcBorders>
              <w:top w:val="single" w:sz="4" w:space="0" w:color="000000"/>
              <w:left w:val="nil"/>
              <w:bottom w:val="nil"/>
              <w:right w:val="nil"/>
            </w:tcBorders>
            <w:shd w:val="clear" w:color="auto" w:fill="auto"/>
            <w:noWrap/>
            <w:vAlign w:val="bottom"/>
            <w:hideMark/>
          </w:tcPr>
          <w:p w14:paraId="27B0642F"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30</w:t>
            </w:r>
          </w:p>
        </w:tc>
        <w:tc>
          <w:tcPr>
            <w:tcW w:w="3125" w:type="dxa"/>
            <w:tcBorders>
              <w:top w:val="single" w:sz="4" w:space="0" w:color="000000"/>
              <w:left w:val="nil"/>
              <w:bottom w:val="nil"/>
              <w:right w:val="nil"/>
            </w:tcBorders>
            <w:shd w:val="clear" w:color="auto" w:fill="auto"/>
            <w:noWrap/>
            <w:vAlign w:val="bottom"/>
            <w:hideMark/>
          </w:tcPr>
          <w:p w14:paraId="350027C1"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22.5</w:t>
            </w:r>
          </w:p>
        </w:tc>
        <w:tc>
          <w:tcPr>
            <w:tcW w:w="2847" w:type="dxa"/>
            <w:tcBorders>
              <w:top w:val="single" w:sz="4" w:space="0" w:color="000000"/>
              <w:left w:val="nil"/>
              <w:bottom w:val="nil"/>
              <w:right w:val="single" w:sz="4" w:space="0" w:color="000000"/>
            </w:tcBorders>
            <w:shd w:val="clear" w:color="auto" w:fill="auto"/>
            <w:noWrap/>
            <w:vAlign w:val="bottom"/>
            <w:hideMark/>
          </w:tcPr>
          <w:p w14:paraId="6201F84B"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7.5</w:t>
            </w:r>
          </w:p>
        </w:tc>
      </w:tr>
      <w:tr w:rsidR="00304AE7" w14:paraId="64DB1285" w14:textId="77777777" w:rsidTr="00092F7F">
        <w:trPr>
          <w:trHeight w:val="314"/>
        </w:trPr>
        <w:tc>
          <w:tcPr>
            <w:tcW w:w="1562" w:type="dxa"/>
            <w:tcBorders>
              <w:top w:val="single" w:sz="4" w:space="0" w:color="000000"/>
              <w:left w:val="single" w:sz="4" w:space="0" w:color="000000"/>
              <w:bottom w:val="nil"/>
              <w:right w:val="nil"/>
            </w:tcBorders>
            <w:shd w:val="clear" w:color="auto" w:fill="auto"/>
            <w:noWrap/>
            <w:vAlign w:val="bottom"/>
            <w:hideMark/>
          </w:tcPr>
          <w:p w14:paraId="793F69BC"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3</w:t>
            </w:r>
          </w:p>
        </w:tc>
        <w:tc>
          <w:tcPr>
            <w:tcW w:w="2242" w:type="dxa"/>
            <w:tcBorders>
              <w:top w:val="single" w:sz="4" w:space="0" w:color="000000"/>
              <w:left w:val="nil"/>
              <w:bottom w:val="nil"/>
              <w:right w:val="nil"/>
            </w:tcBorders>
            <w:shd w:val="clear" w:color="auto" w:fill="auto"/>
            <w:noWrap/>
            <w:vAlign w:val="bottom"/>
            <w:hideMark/>
          </w:tcPr>
          <w:p w14:paraId="10C8443E"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35</w:t>
            </w:r>
          </w:p>
        </w:tc>
        <w:tc>
          <w:tcPr>
            <w:tcW w:w="3125" w:type="dxa"/>
            <w:tcBorders>
              <w:top w:val="single" w:sz="4" w:space="0" w:color="000000"/>
              <w:left w:val="nil"/>
              <w:bottom w:val="nil"/>
              <w:right w:val="nil"/>
            </w:tcBorders>
            <w:shd w:val="clear" w:color="auto" w:fill="auto"/>
            <w:noWrap/>
            <w:vAlign w:val="bottom"/>
            <w:hideMark/>
          </w:tcPr>
          <w:p w14:paraId="6DEEAF99"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22.5</w:t>
            </w:r>
          </w:p>
        </w:tc>
        <w:tc>
          <w:tcPr>
            <w:tcW w:w="2847" w:type="dxa"/>
            <w:tcBorders>
              <w:top w:val="single" w:sz="4" w:space="0" w:color="000000"/>
              <w:left w:val="nil"/>
              <w:bottom w:val="nil"/>
              <w:right w:val="single" w:sz="4" w:space="0" w:color="000000"/>
            </w:tcBorders>
            <w:shd w:val="clear" w:color="auto" w:fill="auto"/>
            <w:noWrap/>
            <w:vAlign w:val="bottom"/>
            <w:hideMark/>
          </w:tcPr>
          <w:p w14:paraId="78D37FCF"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12.5</w:t>
            </w:r>
          </w:p>
        </w:tc>
      </w:tr>
      <w:tr w:rsidR="00304AE7" w14:paraId="3CEA870D" w14:textId="77777777" w:rsidTr="00092F7F">
        <w:trPr>
          <w:trHeight w:val="314"/>
        </w:trPr>
        <w:tc>
          <w:tcPr>
            <w:tcW w:w="1562" w:type="dxa"/>
            <w:tcBorders>
              <w:top w:val="single" w:sz="4" w:space="0" w:color="000000"/>
              <w:left w:val="single" w:sz="4" w:space="0" w:color="000000"/>
              <w:bottom w:val="nil"/>
              <w:right w:val="nil"/>
            </w:tcBorders>
            <w:shd w:val="clear" w:color="auto" w:fill="auto"/>
            <w:noWrap/>
            <w:vAlign w:val="bottom"/>
            <w:hideMark/>
          </w:tcPr>
          <w:p w14:paraId="43626EEE"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4</w:t>
            </w:r>
          </w:p>
        </w:tc>
        <w:tc>
          <w:tcPr>
            <w:tcW w:w="2242" w:type="dxa"/>
            <w:tcBorders>
              <w:top w:val="single" w:sz="4" w:space="0" w:color="000000"/>
              <w:left w:val="nil"/>
              <w:bottom w:val="nil"/>
              <w:right w:val="nil"/>
            </w:tcBorders>
            <w:shd w:val="clear" w:color="auto" w:fill="auto"/>
            <w:noWrap/>
            <w:vAlign w:val="bottom"/>
            <w:hideMark/>
          </w:tcPr>
          <w:p w14:paraId="3246688B"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40</w:t>
            </w:r>
          </w:p>
        </w:tc>
        <w:tc>
          <w:tcPr>
            <w:tcW w:w="3125" w:type="dxa"/>
            <w:tcBorders>
              <w:top w:val="single" w:sz="4" w:space="0" w:color="000000"/>
              <w:left w:val="nil"/>
              <w:bottom w:val="nil"/>
              <w:right w:val="nil"/>
            </w:tcBorders>
            <w:shd w:val="clear" w:color="auto" w:fill="auto"/>
            <w:noWrap/>
            <w:vAlign w:val="bottom"/>
            <w:hideMark/>
          </w:tcPr>
          <w:p w14:paraId="52256C4B"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22.5</w:t>
            </w:r>
          </w:p>
        </w:tc>
        <w:tc>
          <w:tcPr>
            <w:tcW w:w="2847" w:type="dxa"/>
            <w:tcBorders>
              <w:top w:val="single" w:sz="4" w:space="0" w:color="000000"/>
              <w:left w:val="nil"/>
              <w:bottom w:val="nil"/>
              <w:right w:val="single" w:sz="4" w:space="0" w:color="000000"/>
            </w:tcBorders>
            <w:shd w:val="clear" w:color="auto" w:fill="auto"/>
            <w:noWrap/>
            <w:vAlign w:val="bottom"/>
            <w:hideMark/>
          </w:tcPr>
          <w:p w14:paraId="00B8643F" w14:textId="77777777" w:rsidR="00092F7F" w:rsidRPr="00092F7F" w:rsidRDefault="00313C6B" w:rsidP="00FB5261">
            <w:pPr>
              <w:spacing w:after="0" w:line="360" w:lineRule="auto"/>
              <w:rPr>
                <w:rFonts w:eastAsia="Times New Roman" w:cs="Times New Roman"/>
                <w:color w:val="000000"/>
                <w:szCs w:val="24"/>
                <w:lang w:val="en-US"/>
              </w:rPr>
            </w:pPr>
            <w:r w:rsidRPr="00092F7F">
              <w:rPr>
                <w:rFonts w:eastAsia="Times New Roman" w:cs="Times New Roman"/>
                <w:color w:val="000000"/>
                <w:szCs w:val="24"/>
                <w:lang w:val="en-US"/>
              </w:rPr>
              <w:t>17.5</w:t>
            </w:r>
          </w:p>
        </w:tc>
      </w:tr>
      <w:tr w:rsidR="00304AE7" w14:paraId="45EED7CA" w14:textId="77777777" w:rsidTr="00092F7F">
        <w:trPr>
          <w:trHeight w:val="314"/>
        </w:trPr>
        <w:tc>
          <w:tcPr>
            <w:tcW w:w="1562" w:type="dxa"/>
            <w:tcBorders>
              <w:top w:val="double" w:sz="6" w:space="0" w:color="000000"/>
              <w:left w:val="single" w:sz="4" w:space="0" w:color="000000"/>
              <w:bottom w:val="single" w:sz="4" w:space="0" w:color="000000"/>
              <w:right w:val="nil"/>
            </w:tcBorders>
            <w:shd w:val="clear" w:color="auto" w:fill="auto"/>
            <w:noWrap/>
            <w:vAlign w:val="bottom"/>
            <w:hideMark/>
          </w:tcPr>
          <w:p w14:paraId="0C4BC01D" w14:textId="77777777" w:rsidR="00092F7F" w:rsidRPr="00092F7F" w:rsidRDefault="00092F7F" w:rsidP="00FB5261">
            <w:pPr>
              <w:spacing w:after="0" w:line="360" w:lineRule="auto"/>
              <w:rPr>
                <w:rFonts w:eastAsia="Times New Roman" w:cs="Times New Roman"/>
                <w:color w:val="000000"/>
                <w:szCs w:val="24"/>
                <w:lang w:val="en-US"/>
              </w:rPr>
            </w:pPr>
          </w:p>
        </w:tc>
        <w:tc>
          <w:tcPr>
            <w:tcW w:w="2242" w:type="dxa"/>
            <w:tcBorders>
              <w:top w:val="double" w:sz="6" w:space="0" w:color="000000"/>
              <w:left w:val="nil"/>
              <w:bottom w:val="single" w:sz="4" w:space="0" w:color="000000"/>
              <w:right w:val="nil"/>
            </w:tcBorders>
            <w:shd w:val="clear" w:color="auto" w:fill="auto"/>
            <w:noWrap/>
            <w:vAlign w:val="bottom"/>
            <w:hideMark/>
          </w:tcPr>
          <w:p w14:paraId="5115D4ED" w14:textId="77777777" w:rsidR="00092F7F" w:rsidRPr="00092F7F" w:rsidRDefault="00092F7F" w:rsidP="00FB5261">
            <w:pPr>
              <w:spacing w:after="0" w:line="360" w:lineRule="auto"/>
              <w:rPr>
                <w:rFonts w:eastAsia="Times New Roman" w:cs="Times New Roman"/>
                <w:szCs w:val="24"/>
                <w:lang w:val="en-US"/>
              </w:rPr>
            </w:pPr>
          </w:p>
        </w:tc>
        <w:tc>
          <w:tcPr>
            <w:tcW w:w="3125" w:type="dxa"/>
            <w:tcBorders>
              <w:top w:val="double" w:sz="6" w:space="0" w:color="000000"/>
              <w:left w:val="nil"/>
              <w:bottom w:val="single" w:sz="4" w:space="0" w:color="000000"/>
              <w:right w:val="nil"/>
            </w:tcBorders>
            <w:shd w:val="clear" w:color="auto" w:fill="auto"/>
            <w:noWrap/>
            <w:vAlign w:val="bottom"/>
            <w:hideMark/>
          </w:tcPr>
          <w:p w14:paraId="4D96715F" w14:textId="77777777" w:rsidR="00092F7F" w:rsidRPr="00092F7F" w:rsidRDefault="00092F7F" w:rsidP="00FB5261">
            <w:pPr>
              <w:spacing w:after="0" w:line="360" w:lineRule="auto"/>
              <w:rPr>
                <w:rFonts w:eastAsia="Times New Roman" w:cs="Times New Roman"/>
                <w:szCs w:val="24"/>
                <w:lang w:val="en-US"/>
              </w:rPr>
            </w:pPr>
          </w:p>
        </w:tc>
        <w:tc>
          <w:tcPr>
            <w:tcW w:w="2847" w:type="dxa"/>
            <w:tcBorders>
              <w:top w:val="double" w:sz="6" w:space="0" w:color="000000"/>
              <w:left w:val="nil"/>
              <w:bottom w:val="single" w:sz="4" w:space="0" w:color="000000"/>
              <w:right w:val="single" w:sz="4" w:space="0" w:color="000000"/>
            </w:tcBorders>
            <w:shd w:val="clear" w:color="auto" w:fill="auto"/>
            <w:noWrap/>
            <w:vAlign w:val="bottom"/>
            <w:hideMark/>
          </w:tcPr>
          <w:p w14:paraId="1F882B38" w14:textId="77777777" w:rsidR="00092F7F" w:rsidRPr="00092F7F" w:rsidRDefault="00313C6B" w:rsidP="00FB5261">
            <w:pPr>
              <w:spacing w:after="0" w:line="360" w:lineRule="auto"/>
              <w:rPr>
                <w:rFonts w:eastAsia="Times New Roman" w:cs="Times New Roman"/>
                <w:b/>
                <w:bCs/>
                <w:color w:val="000000"/>
                <w:szCs w:val="24"/>
                <w:lang w:val="en-US"/>
              </w:rPr>
            </w:pPr>
            <w:r w:rsidRPr="00092F7F">
              <w:rPr>
                <w:rFonts w:eastAsia="Times New Roman" w:cs="Times New Roman"/>
                <w:b/>
                <w:bCs/>
                <w:color w:val="000000"/>
                <w:szCs w:val="24"/>
                <w:lang w:val="en-US"/>
              </w:rPr>
              <w:t>40</w:t>
            </w:r>
          </w:p>
        </w:tc>
      </w:tr>
    </w:tbl>
    <w:p w14:paraId="76D92F0E" w14:textId="77777777" w:rsidR="00092F7F" w:rsidRPr="00FB5261" w:rsidRDefault="00092F7F" w:rsidP="00FB5261">
      <w:pPr>
        <w:spacing w:line="360" w:lineRule="auto"/>
        <w:rPr>
          <w:rFonts w:eastAsiaTheme="minorEastAsia" w:cs="Times New Roman"/>
          <w:szCs w:val="24"/>
        </w:rPr>
      </w:pPr>
    </w:p>
    <w:p w14:paraId="04EF21A7" w14:textId="77777777" w:rsidR="00092F7F" w:rsidRPr="00FB5261" w:rsidRDefault="00313C6B" w:rsidP="00FB5261">
      <w:pPr>
        <w:spacing w:line="360" w:lineRule="auto"/>
        <w:rPr>
          <w:rFonts w:eastAsiaTheme="minorEastAsia" w:cs="Times New Roman"/>
          <w:szCs w:val="24"/>
        </w:rPr>
      </w:pPr>
      <w:r w:rsidRPr="00FB5261">
        <w:rPr>
          <w:rFonts w:cs="Times New Roman"/>
          <w:szCs w:val="24"/>
        </w:rPr>
        <w:t xml:space="preserve">Average Accounting Income = </w:t>
      </w:r>
      <m:oMath>
        <m:f>
          <m:fPr>
            <m:ctrlPr>
              <w:rPr>
                <w:rFonts w:ascii="Cambria Math" w:hAnsi="Cambria Math" w:cs="Times New Roman"/>
                <w:szCs w:val="24"/>
              </w:rPr>
            </m:ctrlPr>
          </m:fPr>
          <m:num>
            <m:r>
              <w:rPr>
                <w:rFonts w:ascii="Cambria Math" w:hAnsi="Cambria Math" w:cs="Times New Roman"/>
                <w:szCs w:val="24"/>
              </w:rPr>
              <m:t>40</m:t>
            </m:r>
          </m:num>
          <m:den>
            <m:r>
              <w:rPr>
                <w:rFonts w:ascii="Cambria Math" w:hAnsi="Cambria Math" w:cs="Times New Roman"/>
                <w:szCs w:val="24"/>
              </w:rPr>
              <m:t>4</m:t>
            </m:r>
          </m:den>
        </m:f>
        <m:r>
          <w:rPr>
            <w:rFonts w:ascii="Cambria Math" w:hAnsi="Cambria Math" w:cs="Times New Roman"/>
            <w:szCs w:val="24"/>
          </w:rPr>
          <m:t>=£10</m:t>
        </m:r>
      </m:oMath>
    </w:p>
    <w:p w14:paraId="64EAB6FE" w14:textId="77777777" w:rsidR="00092F7F" w:rsidRPr="00FB5261" w:rsidRDefault="00092F7F" w:rsidP="00FB5261">
      <w:pPr>
        <w:spacing w:line="360" w:lineRule="auto"/>
        <w:rPr>
          <w:rFonts w:eastAsiaTheme="minorEastAsia" w:cs="Times New Roman"/>
          <w:szCs w:val="24"/>
        </w:rPr>
      </w:pPr>
    </w:p>
    <w:p w14:paraId="1B7B1860" w14:textId="77777777" w:rsidR="00092F7F" w:rsidRPr="00FB5261" w:rsidRDefault="00313C6B" w:rsidP="00FB5261">
      <w:pPr>
        <w:spacing w:line="360" w:lineRule="auto"/>
        <w:rPr>
          <w:rFonts w:eastAsiaTheme="minorEastAsia" w:cs="Times New Roman"/>
          <w:szCs w:val="24"/>
        </w:rPr>
      </w:pPr>
      <w:r w:rsidRPr="00FB5261">
        <w:rPr>
          <w:rFonts w:eastAsiaTheme="minorEastAsia" w:cs="Times New Roman"/>
          <w:szCs w:val="24"/>
        </w:rPr>
        <w:t xml:space="preserve">So, Accounting Rate of Return = </w:t>
      </w:r>
      <m:oMath>
        <m:f>
          <m:fPr>
            <m:ctrlPr>
              <w:rPr>
                <w:rFonts w:ascii="Cambria Math" w:eastAsiaTheme="minorEastAsia" w:hAnsi="Cambria Math" w:cs="Times New Roman"/>
                <w:szCs w:val="24"/>
              </w:rPr>
            </m:ctrlPr>
          </m:fPr>
          <m:num>
            <m:r>
              <w:rPr>
                <w:rFonts w:ascii="Cambria Math" w:eastAsiaTheme="minorEastAsia" w:hAnsi="Cambria Math" w:cs="Times New Roman"/>
                <w:szCs w:val="24"/>
              </w:rPr>
              <m:t>Average</m:t>
            </m:r>
            <m:r>
              <w:rPr>
                <w:rFonts w:ascii="Cambria Math" w:eastAsiaTheme="minorEastAsia" w:hAnsi="Cambria Math" w:cs="Times New Roman"/>
                <w:szCs w:val="24"/>
              </w:rPr>
              <m:t xml:space="preserve"> </m:t>
            </m:r>
            <m:r>
              <w:rPr>
                <w:rFonts w:ascii="Cambria Math" w:eastAsiaTheme="minorEastAsia" w:hAnsi="Cambria Math" w:cs="Times New Roman"/>
                <w:szCs w:val="24"/>
              </w:rPr>
              <m:t>Accounting</m:t>
            </m:r>
            <m:r>
              <w:rPr>
                <w:rFonts w:ascii="Cambria Math" w:eastAsiaTheme="minorEastAsia" w:hAnsi="Cambria Math" w:cs="Times New Roman"/>
                <w:szCs w:val="24"/>
              </w:rPr>
              <m:t xml:space="preserve"> </m:t>
            </m:r>
            <m:r>
              <w:rPr>
                <w:rFonts w:ascii="Cambria Math" w:eastAsiaTheme="minorEastAsia" w:hAnsi="Cambria Math" w:cs="Times New Roman"/>
                <w:szCs w:val="24"/>
              </w:rPr>
              <m:t>profit</m:t>
            </m:r>
          </m:num>
          <m:den>
            <m:r>
              <w:rPr>
                <w:rFonts w:ascii="Cambria Math" w:eastAsiaTheme="minorEastAsia" w:hAnsi="Cambria Math" w:cs="Times New Roman"/>
                <w:szCs w:val="24"/>
              </w:rPr>
              <m:t>Initial</m:t>
            </m:r>
            <m:r>
              <w:rPr>
                <w:rFonts w:ascii="Cambria Math" w:eastAsiaTheme="minorEastAsia" w:hAnsi="Cambria Math" w:cs="Times New Roman"/>
                <w:szCs w:val="24"/>
              </w:rPr>
              <m:t xml:space="preserve"> </m:t>
            </m:r>
            <m:r>
              <w:rPr>
                <w:rFonts w:ascii="Cambria Math" w:eastAsiaTheme="minorEastAsia" w:hAnsi="Cambria Math" w:cs="Times New Roman"/>
                <w:szCs w:val="24"/>
              </w:rPr>
              <m:t>investment</m:t>
            </m:r>
          </m:den>
        </m:f>
      </m:oMath>
    </w:p>
    <w:p w14:paraId="5C62D624" w14:textId="77777777" w:rsidR="00092F7F" w:rsidRPr="00FB5261" w:rsidRDefault="00313C6B" w:rsidP="00FB5261">
      <w:pPr>
        <w:spacing w:line="360" w:lineRule="auto"/>
        <w:rPr>
          <w:rFonts w:eastAsiaTheme="minorEastAsia" w:cs="Times New Roman"/>
          <w:szCs w:val="24"/>
        </w:rPr>
      </w:pPr>
      <w:r w:rsidRPr="00FB5261">
        <w:rPr>
          <w:rFonts w:eastAsiaTheme="minorEastAsia" w:cs="Times New Roman"/>
          <w:szCs w:val="24"/>
        </w:rPr>
        <w:tab/>
      </w:r>
      <w:r w:rsidRPr="00FB5261">
        <w:rPr>
          <w:rFonts w:eastAsiaTheme="minorEastAsia" w:cs="Times New Roman"/>
          <w:szCs w:val="24"/>
        </w:rPr>
        <w:tab/>
      </w:r>
      <w:r w:rsidRPr="00FB5261">
        <w:rPr>
          <w:rFonts w:eastAsiaTheme="minorEastAsia" w:cs="Times New Roman"/>
          <w:szCs w:val="24"/>
        </w:rPr>
        <w:tab/>
      </w:r>
      <w:r w:rsidRPr="00FB5261">
        <w:rPr>
          <w:rFonts w:eastAsiaTheme="minorEastAsia" w:cs="Times New Roman"/>
          <w:szCs w:val="24"/>
        </w:rPr>
        <w:tab/>
        <w:t xml:space="preserve">   = </w:t>
      </w:r>
      <m:oMath>
        <m:f>
          <m:fPr>
            <m:ctrlPr>
              <w:rPr>
                <w:rFonts w:ascii="Cambria Math" w:eastAsiaTheme="minorEastAsia" w:hAnsi="Cambria Math" w:cs="Times New Roman"/>
                <w:szCs w:val="24"/>
              </w:rPr>
            </m:ctrlPr>
          </m:fPr>
          <m:num>
            <m:r>
              <w:rPr>
                <w:rFonts w:ascii="Cambria Math" w:eastAsiaTheme="minorEastAsia" w:hAnsi="Cambria Math" w:cs="Times New Roman"/>
                <w:szCs w:val="24"/>
              </w:rPr>
              <m:t>10</m:t>
            </m:r>
          </m:num>
          <m:den>
            <m:r>
              <w:rPr>
                <w:rFonts w:ascii="Cambria Math" w:eastAsiaTheme="minorEastAsia" w:hAnsi="Cambria Math" w:cs="Times New Roman"/>
                <w:szCs w:val="24"/>
              </w:rPr>
              <m:t>90</m:t>
            </m:r>
          </m:den>
        </m:f>
      </m:oMath>
    </w:p>
    <w:p w14:paraId="56BE16EB" w14:textId="77777777" w:rsidR="00092F7F" w:rsidRPr="00FB5261" w:rsidRDefault="00313C6B" w:rsidP="00FB5261">
      <w:pPr>
        <w:spacing w:line="360" w:lineRule="auto"/>
        <w:rPr>
          <w:rFonts w:eastAsiaTheme="minorEastAsia" w:cs="Times New Roman"/>
          <w:szCs w:val="24"/>
        </w:rPr>
      </w:pPr>
      <w:r w:rsidRPr="00FB5261">
        <w:rPr>
          <w:rFonts w:eastAsiaTheme="minorEastAsia" w:cs="Times New Roman"/>
          <w:szCs w:val="24"/>
        </w:rPr>
        <w:tab/>
      </w:r>
      <w:r w:rsidRPr="00FB5261">
        <w:rPr>
          <w:rFonts w:eastAsiaTheme="minorEastAsia" w:cs="Times New Roman"/>
          <w:szCs w:val="24"/>
        </w:rPr>
        <w:tab/>
      </w:r>
      <w:r w:rsidRPr="00FB5261">
        <w:rPr>
          <w:rFonts w:eastAsiaTheme="minorEastAsia" w:cs="Times New Roman"/>
          <w:szCs w:val="24"/>
        </w:rPr>
        <w:tab/>
      </w:r>
      <w:r w:rsidRPr="00FB5261">
        <w:rPr>
          <w:rFonts w:eastAsiaTheme="minorEastAsia" w:cs="Times New Roman"/>
          <w:szCs w:val="24"/>
        </w:rPr>
        <w:tab/>
        <w:t xml:space="preserve">   = 11.11%</w:t>
      </w:r>
    </w:p>
    <w:p w14:paraId="5582082A" w14:textId="77777777" w:rsidR="000B2C6C" w:rsidRPr="00FB5261" w:rsidRDefault="00313C6B" w:rsidP="00FB5261">
      <w:pPr>
        <w:spacing w:line="360" w:lineRule="auto"/>
        <w:rPr>
          <w:rFonts w:eastAsiaTheme="minorEastAsia" w:cs="Times New Roman"/>
          <w:szCs w:val="24"/>
        </w:rPr>
      </w:pPr>
      <w:r w:rsidRPr="00FB5261">
        <w:rPr>
          <w:rFonts w:eastAsiaTheme="minorEastAsia" w:cs="Times New Roman"/>
          <w:szCs w:val="24"/>
        </w:rPr>
        <w:t xml:space="preserve">The annual percentage rate of return for project </w:t>
      </w:r>
      <w:r w:rsidR="00BD2FB1">
        <w:rPr>
          <w:rFonts w:eastAsiaTheme="minorEastAsia" w:cs="Times New Roman"/>
          <w:szCs w:val="24"/>
        </w:rPr>
        <w:t>B</w:t>
      </w:r>
      <w:r w:rsidRPr="00FB5261">
        <w:rPr>
          <w:rFonts w:eastAsiaTheme="minorEastAsia" w:cs="Times New Roman"/>
          <w:szCs w:val="24"/>
        </w:rPr>
        <w:t xml:space="preserve"> is 11.76%.</w:t>
      </w:r>
    </w:p>
    <w:p w14:paraId="78802871" w14:textId="77777777" w:rsidR="000B2C6C" w:rsidRPr="00FB5261" w:rsidRDefault="00313C6B" w:rsidP="00FB5261">
      <w:pPr>
        <w:spacing w:line="360" w:lineRule="auto"/>
        <w:rPr>
          <w:rFonts w:eastAsiaTheme="minorEastAsia" w:cs="Times New Roman"/>
          <w:szCs w:val="24"/>
        </w:rPr>
      </w:pPr>
      <w:r>
        <w:rPr>
          <w:rFonts w:eastAsiaTheme="minorEastAsia" w:cs="Times New Roman"/>
          <w:szCs w:val="24"/>
        </w:rPr>
        <w:lastRenderedPageBreak/>
        <w:t>Based on</w:t>
      </w:r>
      <w:r w:rsidRPr="00FB5261">
        <w:rPr>
          <w:rFonts w:eastAsiaTheme="minorEastAsia" w:cs="Times New Roman"/>
          <w:szCs w:val="24"/>
        </w:rPr>
        <w:t xml:space="preserve"> ARR, project A is preferable as it has </w:t>
      </w:r>
      <w:r>
        <w:rPr>
          <w:rFonts w:eastAsiaTheme="minorEastAsia" w:cs="Times New Roman"/>
          <w:szCs w:val="24"/>
        </w:rPr>
        <w:t>a</w:t>
      </w:r>
      <w:r w:rsidRPr="00FB5261">
        <w:rPr>
          <w:rFonts w:eastAsiaTheme="minorEastAsia" w:cs="Times New Roman"/>
          <w:szCs w:val="24"/>
        </w:rPr>
        <w:t xml:space="preserve"> higher percentage of return. </w:t>
      </w:r>
      <w:r w:rsidR="000B73C1" w:rsidRPr="00FB5261">
        <w:rPr>
          <w:rFonts w:eastAsiaTheme="minorEastAsia" w:cs="Times New Roman"/>
          <w:szCs w:val="24"/>
        </w:rPr>
        <w:t>The decision rule here is that the greater the ARR, the more desirable the project</w:t>
      </w:r>
      <w:r w:rsidR="003907C8">
        <w:rPr>
          <w:rFonts w:eastAsiaTheme="minorEastAsia" w:cs="Times New Roman"/>
          <w:szCs w:val="24"/>
        </w:rPr>
        <w:t xml:space="preserve"> </w:t>
      </w:r>
      <w:r w:rsidR="003907C8">
        <w:rPr>
          <w:color w:val="000000"/>
        </w:rPr>
        <w:t>(Beaky, 2021)</w:t>
      </w:r>
      <w:r w:rsidR="000B73C1" w:rsidRPr="00FB5261">
        <w:rPr>
          <w:rFonts w:eastAsiaTheme="minorEastAsia" w:cs="Times New Roman"/>
          <w:szCs w:val="24"/>
        </w:rPr>
        <w:t>. Thus, the project would be preferred by a rational investor.</w:t>
      </w:r>
    </w:p>
    <w:p w14:paraId="679C7A8C" w14:textId="77777777" w:rsidR="00C657AE" w:rsidRDefault="00C657AE" w:rsidP="00C657AE">
      <w:pPr>
        <w:pStyle w:val="Heading3"/>
        <w:rPr>
          <w:rFonts w:eastAsiaTheme="minorEastAsia"/>
        </w:rPr>
      </w:pPr>
    </w:p>
    <w:p w14:paraId="791644AB" w14:textId="77777777" w:rsidR="00092F7F" w:rsidRPr="00FB5261" w:rsidRDefault="00313C6B" w:rsidP="00C657AE">
      <w:pPr>
        <w:pStyle w:val="Heading3"/>
        <w:rPr>
          <w:rFonts w:eastAsiaTheme="minorEastAsia"/>
        </w:rPr>
      </w:pPr>
      <w:bookmarkStart w:id="14" w:name="_Toc61380000"/>
      <w:r>
        <w:rPr>
          <w:rFonts w:eastAsiaTheme="minorEastAsia"/>
        </w:rPr>
        <w:t>4.3 Net Present Value</w:t>
      </w:r>
      <w:bookmarkEnd w:id="14"/>
    </w:p>
    <w:p w14:paraId="66553EF8" w14:textId="77777777" w:rsidR="00D44ED2" w:rsidRPr="00FB5261" w:rsidRDefault="00313C6B" w:rsidP="00FB5261">
      <w:pPr>
        <w:spacing w:line="360" w:lineRule="auto"/>
        <w:rPr>
          <w:rFonts w:eastAsiaTheme="minorEastAsia" w:cs="Times New Roman"/>
          <w:szCs w:val="24"/>
        </w:rPr>
      </w:pPr>
      <w:r w:rsidRPr="00FB5261">
        <w:rPr>
          <w:rFonts w:eastAsiaTheme="minorEastAsia" w:cs="Times New Roman"/>
          <w:szCs w:val="24"/>
        </w:rPr>
        <w:t>NPV is calculated with the following formula:</w:t>
      </w:r>
    </w:p>
    <w:p w14:paraId="6F5D8AD4" w14:textId="77777777" w:rsidR="00D44ED2" w:rsidRPr="00FB5261" w:rsidRDefault="00313C6B" w:rsidP="00FB5261">
      <w:pPr>
        <w:spacing w:line="360" w:lineRule="auto"/>
        <w:rPr>
          <w:rFonts w:eastAsiaTheme="minorEastAsia" w:cs="Times New Roman"/>
          <w:szCs w:val="24"/>
        </w:rPr>
      </w:pPr>
      <w:r w:rsidRPr="00FB5261">
        <w:rPr>
          <w:rFonts w:eastAsiaTheme="minorEastAsia" w:cs="Times New Roman"/>
          <w:szCs w:val="24"/>
        </w:rPr>
        <w:t xml:space="preserve">NPV = </w:t>
      </w:r>
      <w:r w:rsidRPr="00FB5261">
        <w:rPr>
          <w:rStyle w:val="Strong"/>
          <w:rFonts w:cs="Times New Roman"/>
          <w:b w:val="0"/>
          <w:bCs w:val="0"/>
          <w:color w:val="232C39"/>
          <w:szCs w:val="24"/>
        </w:rPr>
        <w:t>∑</w:t>
      </w:r>
      <m:oMath>
        <m:f>
          <m:fPr>
            <m:ctrlPr>
              <w:rPr>
                <w:rStyle w:val="Strong"/>
                <w:rFonts w:ascii="Cambria Math" w:hAnsi="Cambria Math" w:cs="Times New Roman"/>
                <w:b w:val="0"/>
                <w:bCs w:val="0"/>
                <w:color w:val="232C39"/>
                <w:szCs w:val="24"/>
              </w:rPr>
            </m:ctrlPr>
          </m:fPr>
          <m:num>
            <m:sSub>
              <m:sSubPr>
                <m:ctrlPr>
                  <w:rPr>
                    <w:rStyle w:val="Strong"/>
                    <w:rFonts w:ascii="Cambria Math" w:hAnsi="Cambria Math" w:cs="Times New Roman"/>
                    <w:b w:val="0"/>
                    <w:bCs w:val="0"/>
                    <w:i/>
                    <w:color w:val="232C39"/>
                    <w:szCs w:val="24"/>
                  </w:rPr>
                </m:ctrlPr>
              </m:sSubPr>
              <m:e>
                <m:r>
                  <w:rPr>
                    <w:rStyle w:val="Strong"/>
                    <w:rFonts w:ascii="Cambria Math" w:hAnsi="Cambria Math" w:cs="Times New Roman"/>
                    <w:color w:val="232C39"/>
                    <w:szCs w:val="24"/>
                  </w:rPr>
                  <m:t>CF</m:t>
                </m:r>
              </m:e>
              <m:sub>
                <m:r>
                  <w:rPr>
                    <w:rStyle w:val="Strong"/>
                    <w:rFonts w:ascii="Cambria Math" w:hAnsi="Cambria Math" w:cs="Times New Roman"/>
                    <w:color w:val="232C39"/>
                    <w:szCs w:val="24"/>
                  </w:rPr>
                  <m:t>n</m:t>
                </m:r>
              </m:sub>
            </m:sSub>
          </m:num>
          <m:den>
            <m:sSup>
              <m:sSupPr>
                <m:ctrlPr>
                  <w:rPr>
                    <w:rStyle w:val="Strong"/>
                    <w:rFonts w:ascii="Cambria Math" w:hAnsi="Cambria Math" w:cs="Times New Roman"/>
                    <w:b w:val="0"/>
                    <w:bCs w:val="0"/>
                    <w:i/>
                    <w:color w:val="232C39"/>
                    <w:szCs w:val="24"/>
                  </w:rPr>
                </m:ctrlPr>
              </m:sSupPr>
              <m:e>
                <m:r>
                  <w:rPr>
                    <w:rStyle w:val="Strong"/>
                    <w:rFonts w:ascii="Cambria Math" w:hAnsi="Cambria Math" w:cs="Times New Roman"/>
                    <w:color w:val="232C39"/>
                    <w:szCs w:val="24"/>
                  </w:rPr>
                  <m:t>(1+</m:t>
                </m:r>
                <m:r>
                  <w:rPr>
                    <w:rStyle w:val="Strong"/>
                    <w:rFonts w:ascii="Cambria Math" w:hAnsi="Cambria Math" w:cs="Times New Roman"/>
                    <w:color w:val="232C39"/>
                    <w:szCs w:val="24"/>
                  </w:rPr>
                  <m:t>i</m:t>
                </m:r>
                <m:r>
                  <w:rPr>
                    <w:rStyle w:val="Strong"/>
                    <w:rFonts w:ascii="Cambria Math" w:hAnsi="Cambria Math" w:cs="Times New Roman"/>
                    <w:color w:val="232C39"/>
                    <w:szCs w:val="24"/>
                  </w:rPr>
                  <m:t>)</m:t>
                </m:r>
              </m:e>
              <m:sup>
                <m:r>
                  <w:rPr>
                    <w:rStyle w:val="Strong"/>
                    <w:rFonts w:ascii="Cambria Math" w:hAnsi="Cambria Math" w:cs="Times New Roman"/>
                    <w:color w:val="232C39"/>
                    <w:szCs w:val="24"/>
                  </w:rPr>
                  <m:t>n</m:t>
                </m:r>
              </m:sup>
            </m:sSup>
          </m:den>
        </m:f>
      </m:oMath>
      <w:r w:rsidRPr="00FB5261">
        <w:rPr>
          <w:rStyle w:val="Strong"/>
          <w:rFonts w:eastAsiaTheme="minorEastAsia" w:cs="Times New Roman"/>
          <w:b w:val="0"/>
          <w:bCs w:val="0"/>
          <w:color w:val="232C39"/>
          <w:szCs w:val="24"/>
        </w:rPr>
        <w:t xml:space="preserve"> – initial investment</w:t>
      </w:r>
    </w:p>
    <w:p w14:paraId="72A3E5F1" w14:textId="77777777" w:rsidR="00D44ED2" w:rsidRPr="00FB5261" w:rsidRDefault="00313C6B" w:rsidP="00FB5261">
      <w:pPr>
        <w:spacing w:line="360" w:lineRule="auto"/>
        <w:rPr>
          <w:rFonts w:eastAsiaTheme="minorEastAsia" w:cs="Times New Roman"/>
          <w:szCs w:val="24"/>
        </w:rPr>
      </w:pPr>
      <w:r w:rsidRPr="00FB5261">
        <w:rPr>
          <w:rFonts w:eastAsiaTheme="minorEastAsia" w:cs="Times New Roman"/>
          <w:szCs w:val="24"/>
        </w:rPr>
        <w:t xml:space="preserve">NPV of project A = </w:t>
      </w:r>
      <m:oMath>
        <m:f>
          <m:fPr>
            <m:ctrlPr>
              <w:rPr>
                <w:rFonts w:ascii="Cambria Math" w:eastAsiaTheme="minorEastAsia" w:hAnsi="Cambria Math" w:cs="Times New Roman"/>
                <w:szCs w:val="24"/>
              </w:rPr>
            </m:ctrlPr>
          </m:fPr>
          <m:num>
            <m:r>
              <w:rPr>
                <w:rFonts w:ascii="Cambria Math" w:eastAsiaTheme="minorEastAsia" w:hAnsi="Cambria Math" w:cs="Times New Roman"/>
                <w:szCs w:val="24"/>
              </w:rPr>
              <m:t>10</m:t>
            </m:r>
          </m:num>
          <m:den>
            <m:sSup>
              <m:sSupPr>
                <m:ctrlPr>
                  <w:rPr>
                    <w:rFonts w:ascii="Cambria Math" w:eastAsiaTheme="minorEastAsia" w:hAnsi="Cambria Math" w:cs="Times New Roman"/>
                    <w:i/>
                    <w:szCs w:val="24"/>
                  </w:rPr>
                </m:ctrlPr>
              </m:sSupPr>
              <m:e>
                <m:r>
                  <w:rPr>
                    <w:rFonts w:ascii="Cambria Math" w:eastAsiaTheme="minorEastAsia" w:hAnsi="Cambria Math" w:cs="Times New Roman"/>
                    <w:szCs w:val="24"/>
                  </w:rPr>
                  <m:t>(1+.105)</m:t>
                </m:r>
              </m:e>
              <m:sup>
                <m:r>
                  <w:rPr>
                    <w:rFonts w:ascii="Cambria Math" w:eastAsiaTheme="minorEastAsia" w:hAnsi="Cambria Math" w:cs="Times New Roman"/>
                    <w:szCs w:val="24"/>
                  </w:rPr>
                  <m:t>1</m:t>
                </m:r>
              </m:sup>
            </m:sSup>
          </m:den>
        </m:f>
        <m:r>
          <w:rPr>
            <w:rFonts w:ascii="Cambria Math" w:eastAsiaTheme="minorEastAsia" w:hAnsi="Cambria Math" w:cs="Times New Roman"/>
            <w:szCs w:val="24"/>
          </w:rPr>
          <m:t xml:space="preserve">+ </m:t>
        </m:r>
        <m:f>
          <m:fPr>
            <m:ctrlPr>
              <w:rPr>
                <w:rFonts w:ascii="Cambria Math" w:eastAsiaTheme="minorEastAsia" w:hAnsi="Cambria Math" w:cs="Times New Roman"/>
                <w:szCs w:val="24"/>
              </w:rPr>
            </m:ctrlPr>
          </m:fPr>
          <m:num>
            <m:r>
              <w:rPr>
                <w:rFonts w:ascii="Cambria Math" w:eastAsiaTheme="minorEastAsia" w:hAnsi="Cambria Math" w:cs="Times New Roman"/>
                <w:szCs w:val="24"/>
              </w:rPr>
              <m:t>20</m:t>
            </m:r>
          </m:num>
          <m:den>
            <m:sSup>
              <m:sSupPr>
                <m:ctrlPr>
                  <w:rPr>
                    <w:rFonts w:ascii="Cambria Math" w:eastAsiaTheme="minorEastAsia" w:hAnsi="Cambria Math" w:cs="Times New Roman"/>
                    <w:i/>
                    <w:szCs w:val="24"/>
                  </w:rPr>
                </m:ctrlPr>
              </m:sSupPr>
              <m:e>
                <m:r>
                  <w:rPr>
                    <w:rFonts w:ascii="Cambria Math" w:eastAsiaTheme="minorEastAsia" w:hAnsi="Cambria Math" w:cs="Times New Roman"/>
                    <w:szCs w:val="24"/>
                  </w:rPr>
                  <m:t>(1+.105)</m:t>
                </m:r>
              </m:e>
              <m:sup>
                <m:r>
                  <w:rPr>
                    <w:rFonts w:ascii="Cambria Math" w:eastAsiaTheme="minorEastAsia" w:hAnsi="Cambria Math" w:cs="Times New Roman"/>
                    <w:szCs w:val="24"/>
                  </w:rPr>
                  <m:t>2</m:t>
                </m:r>
              </m:sup>
            </m:sSup>
          </m:den>
        </m:f>
        <m:r>
          <w:rPr>
            <w:rFonts w:ascii="Cambria Math" w:eastAsiaTheme="minorEastAsia" w:hAnsi="Cambria Math" w:cs="Times New Roman"/>
            <w:szCs w:val="24"/>
          </w:rPr>
          <m:t xml:space="preserve">+ </m:t>
        </m:r>
        <m:f>
          <m:fPr>
            <m:ctrlPr>
              <w:rPr>
                <w:rFonts w:ascii="Cambria Math" w:eastAsiaTheme="minorEastAsia" w:hAnsi="Cambria Math" w:cs="Times New Roman"/>
                <w:szCs w:val="24"/>
              </w:rPr>
            </m:ctrlPr>
          </m:fPr>
          <m:num>
            <m:r>
              <w:rPr>
                <w:rFonts w:ascii="Cambria Math" w:eastAsiaTheme="minorEastAsia" w:hAnsi="Cambria Math" w:cs="Times New Roman"/>
                <w:szCs w:val="24"/>
              </w:rPr>
              <m:t>40</m:t>
            </m:r>
          </m:num>
          <m:den>
            <m:sSup>
              <m:sSupPr>
                <m:ctrlPr>
                  <w:rPr>
                    <w:rFonts w:ascii="Cambria Math" w:eastAsiaTheme="minorEastAsia" w:hAnsi="Cambria Math" w:cs="Times New Roman"/>
                    <w:i/>
                    <w:szCs w:val="24"/>
                  </w:rPr>
                </m:ctrlPr>
              </m:sSupPr>
              <m:e>
                <m:r>
                  <w:rPr>
                    <w:rFonts w:ascii="Cambria Math" w:eastAsiaTheme="minorEastAsia" w:hAnsi="Cambria Math" w:cs="Times New Roman"/>
                    <w:szCs w:val="24"/>
                  </w:rPr>
                  <m:t>(1+.105)</m:t>
                </m:r>
              </m:e>
              <m:sup>
                <m:r>
                  <w:rPr>
                    <w:rFonts w:ascii="Cambria Math" w:eastAsiaTheme="minorEastAsia" w:hAnsi="Cambria Math" w:cs="Times New Roman"/>
                    <w:szCs w:val="24"/>
                  </w:rPr>
                  <m:t>3</m:t>
                </m:r>
              </m:sup>
            </m:sSup>
          </m:den>
        </m:f>
        <m:r>
          <w:rPr>
            <w:rFonts w:ascii="Cambria Math" w:eastAsiaTheme="minorEastAsia" w:hAnsi="Cambria Math" w:cs="Times New Roman"/>
            <w:szCs w:val="24"/>
          </w:rPr>
          <m:t xml:space="preserve">+ </m:t>
        </m:r>
        <m:f>
          <m:fPr>
            <m:ctrlPr>
              <w:rPr>
                <w:rFonts w:ascii="Cambria Math" w:eastAsiaTheme="minorEastAsia" w:hAnsi="Cambria Math" w:cs="Times New Roman"/>
                <w:szCs w:val="24"/>
              </w:rPr>
            </m:ctrlPr>
          </m:fPr>
          <m:num>
            <m:r>
              <w:rPr>
                <w:rFonts w:ascii="Cambria Math" w:eastAsiaTheme="minorEastAsia" w:hAnsi="Cambria Math" w:cs="Times New Roman"/>
                <w:szCs w:val="24"/>
              </w:rPr>
              <m:t>55</m:t>
            </m:r>
          </m:num>
          <m:den>
            <m:sSup>
              <m:sSupPr>
                <m:ctrlPr>
                  <w:rPr>
                    <w:rFonts w:ascii="Cambria Math" w:eastAsiaTheme="minorEastAsia" w:hAnsi="Cambria Math" w:cs="Times New Roman"/>
                    <w:i/>
                    <w:szCs w:val="24"/>
                  </w:rPr>
                </m:ctrlPr>
              </m:sSupPr>
              <m:e>
                <m:r>
                  <w:rPr>
                    <w:rFonts w:ascii="Cambria Math" w:eastAsiaTheme="minorEastAsia" w:hAnsi="Cambria Math" w:cs="Times New Roman"/>
                    <w:szCs w:val="24"/>
                  </w:rPr>
                  <m:t>(1+.105)</m:t>
                </m:r>
              </m:e>
              <m:sup>
                <m:r>
                  <w:rPr>
                    <w:rFonts w:ascii="Cambria Math" w:eastAsiaTheme="minorEastAsia" w:hAnsi="Cambria Math" w:cs="Times New Roman"/>
                    <w:szCs w:val="24"/>
                  </w:rPr>
                  <m:t>4</m:t>
                </m:r>
              </m:sup>
            </m:sSup>
          </m:den>
        </m:f>
        <m:r>
          <w:rPr>
            <w:rFonts w:ascii="Cambria Math" w:eastAsiaTheme="minorEastAsia" w:hAnsi="Cambria Math" w:cs="Times New Roman"/>
            <w:szCs w:val="24"/>
          </w:rPr>
          <m:t>-</m:t>
        </m:r>
        <m:r>
          <w:rPr>
            <w:rFonts w:ascii="Cambria Math" w:eastAsiaTheme="minorEastAsia" w:hAnsi="Cambria Math" w:cs="Times New Roman"/>
            <w:szCs w:val="24"/>
          </w:rPr>
          <m:t xml:space="preserve">85 </m:t>
        </m:r>
      </m:oMath>
    </w:p>
    <w:p w14:paraId="14B9435E" w14:textId="77777777" w:rsidR="00D44ED2" w:rsidRPr="00FB5261" w:rsidRDefault="00313C6B" w:rsidP="00FB5261">
      <w:pPr>
        <w:spacing w:line="360" w:lineRule="auto"/>
        <w:rPr>
          <w:rFonts w:eastAsiaTheme="minorEastAsia" w:cs="Times New Roman"/>
          <w:szCs w:val="24"/>
        </w:rPr>
      </w:pPr>
      <w:r w:rsidRPr="00FB5261">
        <w:rPr>
          <w:rFonts w:eastAsiaTheme="minorEastAsia" w:cs="Times New Roman"/>
          <w:szCs w:val="24"/>
        </w:rPr>
        <w:tab/>
      </w:r>
      <w:r w:rsidRPr="00FB5261">
        <w:rPr>
          <w:rFonts w:eastAsiaTheme="minorEastAsia" w:cs="Times New Roman"/>
          <w:szCs w:val="24"/>
        </w:rPr>
        <w:tab/>
      </w:r>
      <w:r w:rsidRPr="00FB5261">
        <w:rPr>
          <w:rFonts w:eastAsiaTheme="minorEastAsia" w:cs="Times New Roman"/>
          <w:szCs w:val="24"/>
        </w:rPr>
        <w:t xml:space="preserve">     = 91.97 – 85</w:t>
      </w:r>
    </w:p>
    <w:p w14:paraId="225A2785" w14:textId="77777777" w:rsidR="00D44ED2" w:rsidRPr="00FB5261" w:rsidRDefault="00313C6B" w:rsidP="00FB5261">
      <w:pPr>
        <w:spacing w:line="360" w:lineRule="auto"/>
        <w:rPr>
          <w:rFonts w:eastAsiaTheme="minorEastAsia" w:cs="Times New Roman"/>
          <w:szCs w:val="24"/>
        </w:rPr>
      </w:pPr>
      <w:r w:rsidRPr="00FB5261">
        <w:rPr>
          <w:rFonts w:eastAsiaTheme="minorEastAsia" w:cs="Times New Roman"/>
          <w:szCs w:val="24"/>
        </w:rPr>
        <w:tab/>
      </w:r>
      <w:r w:rsidRPr="00FB5261">
        <w:rPr>
          <w:rFonts w:eastAsiaTheme="minorEastAsia" w:cs="Times New Roman"/>
          <w:szCs w:val="24"/>
        </w:rPr>
        <w:tab/>
        <w:t xml:space="preserve">     = £6.97m</w:t>
      </w:r>
    </w:p>
    <w:p w14:paraId="77AADFE5" w14:textId="77777777" w:rsidR="00676B7B" w:rsidRPr="00FB5261" w:rsidRDefault="00313C6B" w:rsidP="00FB5261">
      <w:pPr>
        <w:spacing w:line="360" w:lineRule="auto"/>
        <w:rPr>
          <w:rFonts w:eastAsiaTheme="minorEastAsia" w:cs="Times New Roman"/>
          <w:szCs w:val="24"/>
        </w:rPr>
      </w:pPr>
      <w:r w:rsidRPr="00FB5261">
        <w:rPr>
          <w:rFonts w:eastAsiaTheme="minorEastAsia" w:cs="Times New Roman"/>
          <w:szCs w:val="24"/>
        </w:rPr>
        <w:t xml:space="preserve">In </w:t>
      </w:r>
      <w:r w:rsidR="00A862ED">
        <w:rPr>
          <w:rFonts w:eastAsiaTheme="minorEastAsia" w:cs="Times New Roman"/>
          <w:szCs w:val="24"/>
        </w:rPr>
        <w:t xml:space="preserve">the </w:t>
      </w:r>
      <w:r w:rsidRPr="00FB5261">
        <w:rPr>
          <w:rFonts w:eastAsiaTheme="minorEastAsia" w:cs="Times New Roman"/>
          <w:szCs w:val="24"/>
        </w:rPr>
        <w:t xml:space="preserve">case of </w:t>
      </w:r>
      <w:proofErr w:type="gramStart"/>
      <w:r w:rsidRPr="00FB5261">
        <w:rPr>
          <w:rFonts w:eastAsiaTheme="minorEastAsia" w:cs="Times New Roman"/>
          <w:szCs w:val="24"/>
        </w:rPr>
        <w:t>project</w:t>
      </w:r>
      <w:proofErr w:type="gramEnd"/>
      <w:r w:rsidRPr="00FB5261">
        <w:rPr>
          <w:rFonts w:eastAsiaTheme="minorEastAsia" w:cs="Times New Roman"/>
          <w:szCs w:val="24"/>
        </w:rPr>
        <w:t xml:space="preserve"> A, the present values of projected earnings generated exceed the initial investment, implying that the project would create value for its investor.</w:t>
      </w:r>
    </w:p>
    <w:p w14:paraId="715C5870" w14:textId="77777777" w:rsidR="0082468B" w:rsidRPr="00FB5261" w:rsidRDefault="00313C6B" w:rsidP="00FB5261">
      <w:pPr>
        <w:spacing w:line="360" w:lineRule="auto"/>
        <w:rPr>
          <w:rFonts w:eastAsiaTheme="minorEastAsia" w:cs="Times New Roman"/>
          <w:szCs w:val="24"/>
        </w:rPr>
      </w:pPr>
      <w:r w:rsidRPr="00FB5261">
        <w:rPr>
          <w:rFonts w:eastAsiaTheme="minorEastAsia" w:cs="Times New Roman"/>
          <w:szCs w:val="24"/>
        </w:rPr>
        <w:t xml:space="preserve">NPV of project B = </w:t>
      </w:r>
      <m:oMath>
        <m:f>
          <m:fPr>
            <m:ctrlPr>
              <w:rPr>
                <w:rFonts w:ascii="Cambria Math" w:eastAsiaTheme="minorEastAsia" w:hAnsi="Cambria Math" w:cs="Times New Roman"/>
                <w:szCs w:val="24"/>
              </w:rPr>
            </m:ctrlPr>
          </m:fPr>
          <m:num>
            <m:r>
              <w:rPr>
                <w:rFonts w:ascii="Cambria Math" w:eastAsiaTheme="minorEastAsia" w:hAnsi="Cambria Math" w:cs="Times New Roman"/>
                <w:szCs w:val="24"/>
              </w:rPr>
              <m:t>25</m:t>
            </m:r>
          </m:num>
          <m:den>
            <m:sSup>
              <m:sSupPr>
                <m:ctrlPr>
                  <w:rPr>
                    <w:rFonts w:ascii="Cambria Math" w:eastAsiaTheme="minorEastAsia" w:hAnsi="Cambria Math" w:cs="Times New Roman"/>
                    <w:i/>
                    <w:szCs w:val="24"/>
                  </w:rPr>
                </m:ctrlPr>
              </m:sSupPr>
              <m:e>
                <m:r>
                  <w:rPr>
                    <w:rFonts w:ascii="Cambria Math" w:eastAsiaTheme="minorEastAsia" w:hAnsi="Cambria Math" w:cs="Times New Roman"/>
                    <w:szCs w:val="24"/>
                  </w:rPr>
                  <m:t>(1+.105)</m:t>
                </m:r>
              </m:e>
              <m:sup>
                <m:r>
                  <w:rPr>
                    <w:rFonts w:ascii="Cambria Math" w:eastAsiaTheme="minorEastAsia" w:hAnsi="Cambria Math" w:cs="Times New Roman"/>
                    <w:szCs w:val="24"/>
                  </w:rPr>
                  <m:t>1</m:t>
                </m:r>
              </m:sup>
            </m:sSup>
          </m:den>
        </m:f>
        <m:r>
          <w:rPr>
            <w:rFonts w:ascii="Cambria Math" w:eastAsiaTheme="minorEastAsia" w:hAnsi="Cambria Math" w:cs="Times New Roman"/>
            <w:szCs w:val="24"/>
          </w:rPr>
          <m:t xml:space="preserve">+ </m:t>
        </m:r>
        <m:f>
          <m:fPr>
            <m:ctrlPr>
              <w:rPr>
                <w:rFonts w:ascii="Cambria Math" w:eastAsiaTheme="minorEastAsia" w:hAnsi="Cambria Math" w:cs="Times New Roman"/>
                <w:szCs w:val="24"/>
              </w:rPr>
            </m:ctrlPr>
          </m:fPr>
          <m:num>
            <m:r>
              <w:rPr>
                <w:rFonts w:ascii="Cambria Math" w:eastAsiaTheme="minorEastAsia" w:hAnsi="Cambria Math" w:cs="Times New Roman"/>
                <w:szCs w:val="24"/>
              </w:rPr>
              <m:t>30</m:t>
            </m:r>
          </m:num>
          <m:den>
            <m:sSup>
              <m:sSupPr>
                <m:ctrlPr>
                  <w:rPr>
                    <w:rFonts w:ascii="Cambria Math" w:eastAsiaTheme="minorEastAsia" w:hAnsi="Cambria Math" w:cs="Times New Roman"/>
                    <w:i/>
                    <w:szCs w:val="24"/>
                  </w:rPr>
                </m:ctrlPr>
              </m:sSupPr>
              <m:e>
                <m:r>
                  <w:rPr>
                    <w:rFonts w:ascii="Cambria Math" w:eastAsiaTheme="minorEastAsia" w:hAnsi="Cambria Math" w:cs="Times New Roman"/>
                    <w:szCs w:val="24"/>
                  </w:rPr>
                  <m:t>(1+.105)</m:t>
                </m:r>
              </m:e>
              <m:sup>
                <m:r>
                  <w:rPr>
                    <w:rFonts w:ascii="Cambria Math" w:eastAsiaTheme="minorEastAsia" w:hAnsi="Cambria Math" w:cs="Times New Roman"/>
                    <w:szCs w:val="24"/>
                  </w:rPr>
                  <m:t>2</m:t>
                </m:r>
              </m:sup>
            </m:sSup>
          </m:den>
        </m:f>
        <m:r>
          <w:rPr>
            <w:rFonts w:ascii="Cambria Math" w:eastAsiaTheme="minorEastAsia" w:hAnsi="Cambria Math" w:cs="Times New Roman"/>
            <w:szCs w:val="24"/>
          </w:rPr>
          <m:t xml:space="preserve">+ </m:t>
        </m:r>
        <m:f>
          <m:fPr>
            <m:ctrlPr>
              <w:rPr>
                <w:rFonts w:ascii="Cambria Math" w:eastAsiaTheme="minorEastAsia" w:hAnsi="Cambria Math" w:cs="Times New Roman"/>
                <w:szCs w:val="24"/>
              </w:rPr>
            </m:ctrlPr>
          </m:fPr>
          <m:num>
            <m:r>
              <w:rPr>
                <w:rFonts w:ascii="Cambria Math" w:eastAsiaTheme="minorEastAsia" w:hAnsi="Cambria Math" w:cs="Times New Roman"/>
                <w:szCs w:val="24"/>
              </w:rPr>
              <m:t>35</m:t>
            </m:r>
          </m:num>
          <m:den>
            <m:sSup>
              <m:sSupPr>
                <m:ctrlPr>
                  <w:rPr>
                    <w:rFonts w:ascii="Cambria Math" w:eastAsiaTheme="minorEastAsia" w:hAnsi="Cambria Math" w:cs="Times New Roman"/>
                    <w:i/>
                    <w:szCs w:val="24"/>
                  </w:rPr>
                </m:ctrlPr>
              </m:sSupPr>
              <m:e>
                <m:r>
                  <w:rPr>
                    <w:rFonts w:ascii="Cambria Math" w:eastAsiaTheme="minorEastAsia" w:hAnsi="Cambria Math" w:cs="Times New Roman"/>
                    <w:szCs w:val="24"/>
                  </w:rPr>
                  <m:t>(1+.</m:t>
                </m:r>
                <m:r>
                  <w:rPr>
                    <w:rFonts w:ascii="Cambria Math" w:eastAsiaTheme="minorEastAsia" w:hAnsi="Cambria Math" w:cs="Times New Roman"/>
                    <w:szCs w:val="24"/>
                  </w:rPr>
                  <m:t>105)</m:t>
                </m:r>
              </m:e>
              <m:sup>
                <m:r>
                  <w:rPr>
                    <w:rFonts w:ascii="Cambria Math" w:eastAsiaTheme="minorEastAsia" w:hAnsi="Cambria Math" w:cs="Times New Roman"/>
                    <w:szCs w:val="24"/>
                  </w:rPr>
                  <m:t>3</m:t>
                </m:r>
              </m:sup>
            </m:sSup>
          </m:den>
        </m:f>
        <m:r>
          <w:rPr>
            <w:rFonts w:ascii="Cambria Math" w:eastAsiaTheme="minorEastAsia" w:hAnsi="Cambria Math" w:cs="Times New Roman"/>
            <w:szCs w:val="24"/>
          </w:rPr>
          <m:t xml:space="preserve">+ </m:t>
        </m:r>
        <m:f>
          <m:fPr>
            <m:ctrlPr>
              <w:rPr>
                <w:rFonts w:ascii="Cambria Math" w:eastAsiaTheme="minorEastAsia" w:hAnsi="Cambria Math" w:cs="Times New Roman"/>
                <w:szCs w:val="24"/>
              </w:rPr>
            </m:ctrlPr>
          </m:fPr>
          <m:num>
            <m:r>
              <w:rPr>
                <w:rFonts w:ascii="Cambria Math" w:eastAsiaTheme="minorEastAsia" w:hAnsi="Cambria Math" w:cs="Times New Roman"/>
                <w:szCs w:val="24"/>
              </w:rPr>
              <m:t>40</m:t>
            </m:r>
          </m:num>
          <m:den>
            <m:sSup>
              <m:sSupPr>
                <m:ctrlPr>
                  <w:rPr>
                    <w:rFonts w:ascii="Cambria Math" w:eastAsiaTheme="minorEastAsia" w:hAnsi="Cambria Math" w:cs="Times New Roman"/>
                    <w:i/>
                    <w:szCs w:val="24"/>
                  </w:rPr>
                </m:ctrlPr>
              </m:sSupPr>
              <m:e>
                <m:r>
                  <w:rPr>
                    <w:rFonts w:ascii="Cambria Math" w:eastAsiaTheme="minorEastAsia" w:hAnsi="Cambria Math" w:cs="Times New Roman"/>
                    <w:szCs w:val="24"/>
                  </w:rPr>
                  <m:t>(1+.105)</m:t>
                </m:r>
              </m:e>
              <m:sup>
                <m:r>
                  <w:rPr>
                    <w:rFonts w:ascii="Cambria Math" w:eastAsiaTheme="minorEastAsia" w:hAnsi="Cambria Math" w:cs="Times New Roman"/>
                    <w:szCs w:val="24"/>
                  </w:rPr>
                  <m:t>4</m:t>
                </m:r>
              </m:sup>
            </m:sSup>
          </m:den>
        </m:f>
        <m:r>
          <w:rPr>
            <w:rFonts w:ascii="Cambria Math" w:eastAsiaTheme="minorEastAsia" w:hAnsi="Cambria Math" w:cs="Times New Roman"/>
            <w:szCs w:val="24"/>
          </w:rPr>
          <m:t>-</m:t>
        </m:r>
        <m:r>
          <w:rPr>
            <w:rFonts w:ascii="Cambria Math" w:eastAsiaTheme="minorEastAsia" w:hAnsi="Cambria Math" w:cs="Times New Roman"/>
            <w:szCs w:val="24"/>
          </w:rPr>
          <m:t xml:space="preserve">90 </m:t>
        </m:r>
      </m:oMath>
    </w:p>
    <w:p w14:paraId="7EB9B173" w14:textId="77777777" w:rsidR="00D44ED2" w:rsidRPr="00FB5261" w:rsidRDefault="00313C6B" w:rsidP="00FB5261">
      <w:pPr>
        <w:spacing w:line="360" w:lineRule="auto"/>
        <w:rPr>
          <w:rFonts w:eastAsiaTheme="minorEastAsia" w:cs="Times New Roman"/>
          <w:szCs w:val="24"/>
        </w:rPr>
      </w:pPr>
      <w:r w:rsidRPr="00FB5261">
        <w:rPr>
          <w:rFonts w:eastAsiaTheme="minorEastAsia" w:cs="Times New Roman"/>
          <w:szCs w:val="24"/>
        </w:rPr>
        <w:tab/>
      </w:r>
      <w:r w:rsidRPr="00FB5261">
        <w:rPr>
          <w:rFonts w:eastAsiaTheme="minorEastAsia" w:cs="Times New Roman"/>
          <w:szCs w:val="24"/>
        </w:rPr>
        <w:tab/>
      </w:r>
      <w:r w:rsidR="00DC690A" w:rsidRPr="00FB5261">
        <w:rPr>
          <w:rFonts w:eastAsiaTheme="minorEastAsia" w:cs="Times New Roman"/>
          <w:szCs w:val="24"/>
        </w:rPr>
        <w:t xml:space="preserve">     = 99.96 - 90</w:t>
      </w:r>
      <w:r w:rsidRPr="00FB5261">
        <w:rPr>
          <w:rFonts w:eastAsiaTheme="minorEastAsia" w:cs="Times New Roman"/>
          <w:szCs w:val="24"/>
        </w:rPr>
        <w:tab/>
      </w:r>
      <w:r w:rsidRPr="00FB5261">
        <w:rPr>
          <w:rFonts w:eastAsiaTheme="minorEastAsia" w:cs="Times New Roman"/>
          <w:szCs w:val="24"/>
        </w:rPr>
        <w:tab/>
      </w:r>
      <w:r w:rsidRPr="00FB5261">
        <w:rPr>
          <w:rFonts w:eastAsiaTheme="minorEastAsia" w:cs="Times New Roman"/>
          <w:szCs w:val="24"/>
        </w:rPr>
        <w:tab/>
      </w:r>
      <w:r w:rsidRPr="00FB5261">
        <w:rPr>
          <w:rFonts w:eastAsiaTheme="minorEastAsia" w:cs="Times New Roman"/>
          <w:szCs w:val="24"/>
        </w:rPr>
        <w:tab/>
      </w:r>
    </w:p>
    <w:p w14:paraId="34D99738" w14:textId="77777777" w:rsidR="00DC690A" w:rsidRPr="00FB5261" w:rsidRDefault="00313C6B" w:rsidP="00FB5261">
      <w:pPr>
        <w:tabs>
          <w:tab w:val="left" w:pos="1695"/>
        </w:tabs>
        <w:spacing w:line="360" w:lineRule="auto"/>
        <w:rPr>
          <w:rFonts w:eastAsiaTheme="minorEastAsia" w:cs="Times New Roman"/>
          <w:szCs w:val="24"/>
        </w:rPr>
      </w:pPr>
      <w:r w:rsidRPr="00FB5261">
        <w:rPr>
          <w:rFonts w:eastAsiaTheme="minorEastAsia" w:cs="Times New Roman"/>
          <w:szCs w:val="24"/>
        </w:rPr>
        <w:tab/>
        <w:t xml:space="preserve"> = £9.96m</w:t>
      </w:r>
    </w:p>
    <w:p w14:paraId="1A8AFE5C" w14:textId="77777777" w:rsidR="00676B7B" w:rsidRPr="00FB5261" w:rsidRDefault="00313C6B" w:rsidP="00FB5261">
      <w:pPr>
        <w:spacing w:line="360" w:lineRule="auto"/>
        <w:rPr>
          <w:rFonts w:eastAsiaTheme="minorEastAsia" w:cs="Times New Roman"/>
          <w:szCs w:val="24"/>
        </w:rPr>
      </w:pPr>
      <w:r w:rsidRPr="00FB5261">
        <w:rPr>
          <w:rFonts w:eastAsiaTheme="minorEastAsia" w:cs="Times New Roman"/>
          <w:szCs w:val="24"/>
        </w:rPr>
        <w:t xml:space="preserve">Also, in </w:t>
      </w:r>
      <w:r w:rsidR="00A862ED">
        <w:rPr>
          <w:rFonts w:eastAsiaTheme="minorEastAsia" w:cs="Times New Roman"/>
          <w:szCs w:val="24"/>
        </w:rPr>
        <w:t xml:space="preserve">the </w:t>
      </w:r>
      <w:r w:rsidRPr="00FB5261">
        <w:rPr>
          <w:rFonts w:eastAsiaTheme="minorEastAsia" w:cs="Times New Roman"/>
          <w:szCs w:val="24"/>
        </w:rPr>
        <w:t>case of project B, the present values of projected earnings generated exceed the initial investment, implying that the project would create value for its investor.</w:t>
      </w:r>
    </w:p>
    <w:p w14:paraId="614CE00B" w14:textId="77777777" w:rsidR="00676B7B" w:rsidRPr="00FB5261" w:rsidRDefault="00313C6B" w:rsidP="00FB5261">
      <w:pPr>
        <w:spacing w:line="360" w:lineRule="auto"/>
        <w:rPr>
          <w:rFonts w:eastAsiaTheme="minorEastAsia" w:cs="Times New Roman"/>
          <w:szCs w:val="24"/>
        </w:rPr>
      </w:pPr>
      <w:r w:rsidRPr="00FB5261">
        <w:rPr>
          <w:rFonts w:eastAsiaTheme="minorEastAsia" w:cs="Times New Roman"/>
          <w:szCs w:val="24"/>
        </w:rPr>
        <w:t>The general rule is t</w:t>
      </w:r>
      <w:r w:rsidRPr="00FB5261">
        <w:rPr>
          <w:rFonts w:eastAsiaTheme="minorEastAsia" w:cs="Times New Roman"/>
          <w:szCs w:val="24"/>
        </w:rPr>
        <w:t xml:space="preserve">hat if the NPV of a project is positive, it should be accepted. But in </w:t>
      </w:r>
      <w:r w:rsidR="00A862ED">
        <w:rPr>
          <w:rFonts w:eastAsiaTheme="minorEastAsia" w:cs="Times New Roman"/>
          <w:szCs w:val="24"/>
        </w:rPr>
        <w:t xml:space="preserve">the </w:t>
      </w:r>
      <w:r w:rsidRPr="00FB5261">
        <w:rPr>
          <w:rFonts w:eastAsiaTheme="minorEastAsia" w:cs="Times New Roman"/>
          <w:szCs w:val="24"/>
        </w:rPr>
        <w:t>case of mutually exclusive projects, only one project should be accepted. Here, both project A and project B have positive NPV</w:t>
      </w:r>
      <w:r w:rsidR="003907C8">
        <w:rPr>
          <w:rFonts w:eastAsiaTheme="minorEastAsia" w:cs="Times New Roman"/>
          <w:szCs w:val="24"/>
        </w:rPr>
        <w:t xml:space="preserve"> </w:t>
      </w:r>
      <w:r w:rsidR="003907C8">
        <w:rPr>
          <w:color w:val="000000"/>
        </w:rPr>
        <w:t>(Harun, 2021)</w:t>
      </w:r>
      <w:r w:rsidRPr="00FB5261">
        <w:rPr>
          <w:rFonts w:eastAsiaTheme="minorEastAsia" w:cs="Times New Roman"/>
          <w:szCs w:val="24"/>
        </w:rPr>
        <w:t xml:space="preserve">. As project B has </w:t>
      </w:r>
      <w:r w:rsidR="00A862ED">
        <w:rPr>
          <w:rFonts w:eastAsiaTheme="minorEastAsia" w:cs="Times New Roman"/>
          <w:szCs w:val="24"/>
        </w:rPr>
        <w:t xml:space="preserve">a </w:t>
      </w:r>
      <w:r w:rsidRPr="00FB5261">
        <w:rPr>
          <w:rFonts w:eastAsiaTheme="minorEastAsia" w:cs="Times New Roman"/>
          <w:szCs w:val="24"/>
        </w:rPr>
        <w:t xml:space="preserve">higher NPV compared </w:t>
      </w:r>
      <w:r w:rsidRPr="00FB5261">
        <w:rPr>
          <w:rFonts w:eastAsiaTheme="minorEastAsia" w:cs="Times New Roman"/>
          <w:szCs w:val="24"/>
        </w:rPr>
        <w:t>to that of project A, project B should be accepted in this case.</w:t>
      </w:r>
    </w:p>
    <w:p w14:paraId="5D3BF0EB" w14:textId="77777777" w:rsidR="004E5CC2" w:rsidRPr="00FB5261" w:rsidRDefault="004E5CC2" w:rsidP="00FB5261">
      <w:pPr>
        <w:tabs>
          <w:tab w:val="left" w:pos="1695"/>
        </w:tabs>
        <w:spacing w:line="360" w:lineRule="auto"/>
        <w:rPr>
          <w:rFonts w:eastAsiaTheme="minorEastAsia" w:cs="Times New Roman"/>
          <w:szCs w:val="24"/>
        </w:rPr>
      </w:pPr>
    </w:p>
    <w:p w14:paraId="5F9648ED" w14:textId="77777777" w:rsidR="004E5CC2" w:rsidRPr="00FB5261" w:rsidRDefault="00313C6B" w:rsidP="00C657AE">
      <w:pPr>
        <w:pStyle w:val="Heading2"/>
        <w:rPr>
          <w:rFonts w:eastAsiaTheme="minorEastAsia"/>
        </w:rPr>
      </w:pPr>
      <w:bookmarkStart w:id="15" w:name="_Toc61380001"/>
      <w:r>
        <w:rPr>
          <w:rFonts w:eastAsiaTheme="minorEastAsia"/>
        </w:rPr>
        <w:lastRenderedPageBreak/>
        <w:t>4.2 Advantage and Disadvantage of Capital Budgeting Tools</w:t>
      </w:r>
      <w:bookmarkEnd w:id="15"/>
    </w:p>
    <w:p w14:paraId="237898F8" w14:textId="77777777" w:rsidR="004E5CC2" w:rsidRPr="00FB5261" w:rsidRDefault="00313C6B" w:rsidP="00C657AE">
      <w:pPr>
        <w:pStyle w:val="Heading3"/>
      </w:pPr>
      <w:bookmarkStart w:id="16" w:name="_Toc61380002"/>
      <w:r>
        <w:t xml:space="preserve">4.2.1 </w:t>
      </w:r>
      <w:r w:rsidRPr="00FB5261">
        <w:t>Payback Period (PBP)</w:t>
      </w:r>
      <w:bookmarkEnd w:id="16"/>
    </w:p>
    <w:p w14:paraId="64913902" w14:textId="77777777" w:rsidR="004E5CC2" w:rsidRPr="00FB5261" w:rsidRDefault="00313C6B" w:rsidP="00FB5261">
      <w:pPr>
        <w:spacing w:line="360" w:lineRule="auto"/>
        <w:rPr>
          <w:rFonts w:cs="Times New Roman"/>
          <w:szCs w:val="24"/>
        </w:rPr>
      </w:pPr>
      <w:r>
        <w:rPr>
          <w:rFonts w:cs="Times New Roman"/>
          <w:szCs w:val="24"/>
        </w:rPr>
        <w:t>The p</w:t>
      </w:r>
      <w:r w:rsidRPr="00FB5261">
        <w:rPr>
          <w:rFonts w:cs="Times New Roman"/>
          <w:szCs w:val="24"/>
        </w:rPr>
        <w:t xml:space="preserve">ayback period is a technique used for evaluating an investment. It refers to the time taken to </w:t>
      </w:r>
      <w:r w:rsidRPr="00FB5261">
        <w:rPr>
          <w:rFonts w:cs="Times New Roman"/>
          <w:szCs w:val="24"/>
        </w:rPr>
        <w:t>recover the cost of investment</w:t>
      </w:r>
      <w:r w:rsidR="003907C8">
        <w:rPr>
          <w:rFonts w:cs="Times New Roman"/>
          <w:szCs w:val="24"/>
        </w:rPr>
        <w:t xml:space="preserve"> </w:t>
      </w:r>
      <w:r w:rsidR="003907C8">
        <w:rPr>
          <w:color w:val="000000"/>
        </w:rPr>
        <w:t>(Beaky, 2021)</w:t>
      </w:r>
      <w:r w:rsidRPr="00FB5261">
        <w:rPr>
          <w:rFonts w:cs="Times New Roman"/>
          <w:szCs w:val="24"/>
        </w:rPr>
        <w:t xml:space="preserve">. PBP is formed on the view of how much time is required by a capital project to bring about cash flows to recover the initial investments. Calculating and interpreting </w:t>
      </w:r>
      <w:r>
        <w:rPr>
          <w:rFonts w:cs="Times New Roman"/>
          <w:szCs w:val="24"/>
        </w:rPr>
        <w:t xml:space="preserve">the </w:t>
      </w:r>
      <w:r w:rsidRPr="00FB5261">
        <w:rPr>
          <w:rFonts w:cs="Times New Roman"/>
          <w:szCs w:val="24"/>
        </w:rPr>
        <w:t>payback period is very easy. For calcul</w:t>
      </w:r>
      <w:r w:rsidRPr="00FB5261">
        <w:rPr>
          <w:rFonts w:cs="Times New Roman"/>
          <w:szCs w:val="24"/>
        </w:rPr>
        <w:t xml:space="preserve">ating PBP developing a table and applying a formula (Payback Period = W + (X – Y) / Z) is all that is needed. </w:t>
      </w:r>
      <w:r>
        <w:rPr>
          <w:rFonts w:cs="Times New Roman"/>
          <w:szCs w:val="24"/>
        </w:rPr>
        <w:t>T</w:t>
      </w:r>
      <w:r w:rsidRPr="00FB5261">
        <w:rPr>
          <w:rFonts w:cs="Times New Roman"/>
          <w:szCs w:val="24"/>
        </w:rPr>
        <w:t>he acceptability of PBP depends on the benchmark set by an organi</w:t>
      </w:r>
      <w:r>
        <w:rPr>
          <w:rFonts w:cs="Times New Roman"/>
          <w:szCs w:val="24"/>
        </w:rPr>
        <w:t>z</w:t>
      </w:r>
      <w:r w:rsidRPr="00FB5261">
        <w:rPr>
          <w:rFonts w:cs="Times New Roman"/>
          <w:szCs w:val="24"/>
        </w:rPr>
        <w:t>ation. But generally</w:t>
      </w:r>
      <w:r>
        <w:rPr>
          <w:rFonts w:cs="Times New Roman"/>
          <w:szCs w:val="24"/>
        </w:rPr>
        <w:t>,</w:t>
      </w:r>
      <w:r w:rsidRPr="00FB5261">
        <w:rPr>
          <w:rFonts w:cs="Times New Roman"/>
          <w:szCs w:val="24"/>
        </w:rPr>
        <w:t xml:space="preserve"> the lower it is, the more acceptability it has. </w:t>
      </w:r>
    </w:p>
    <w:p w14:paraId="3244F68A" w14:textId="77777777" w:rsidR="004E5CC2" w:rsidRPr="00FB5261" w:rsidRDefault="00313C6B" w:rsidP="00FB5261">
      <w:pPr>
        <w:spacing w:line="360" w:lineRule="auto"/>
        <w:rPr>
          <w:rFonts w:cs="Times New Roman"/>
          <w:szCs w:val="24"/>
        </w:rPr>
      </w:pPr>
      <w:r w:rsidRPr="00FB5261">
        <w:rPr>
          <w:rFonts w:cs="Times New Roman"/>
          <w:szCs w:val="24"/>
        </w:rPr>
        <w:t>The most</w:t>
      </w:r>
      <w:r w:rsidRPr="00FB5261">
        <w:rPr>
          <w:rFonts w:cs="Times New Roman"/>
          <w:szCs w:val="24"/>
        </w:rPr>
        <w:t xml:space="preserve"> significant advantage of PBP is its simplicity to calculate and interpret</w:t>
      </w:r>
      <w:r w:rsidR="003907C8">
        <w:rPr>
          <w:rFonts w:cs="Times New Roman"/>
          <w:szCs w:val="24"/>
        </w:rPr>
        <w:t xml:space="preserve"> </w:t>
      </w:r>
      <w:r w:rsidR="003907C8">
        <w:rPr>
          <w:color w:val="000000"/>
        </w:rPr>
        <w:t>(Bharma, 2021)</w:t>
      </w:r>
      <w:r w:rsidRPr="00FB5261">
        <w:rPr>
          <w:rFonts w:cs="Times New Roman"/>
          <w:szCs w:val="24"/>
        </w:rPr>
        <w:t xml:space="preserve">. </w:t>
      </w:r>
      <w:r w:rsidR="00A862ED">
        <w:rPr>
          <w:rFonts w:cs="Times New Roman"/>
          <w:szCs w:val="24"/>
        </w:rPr>
        <w:t>S</w:t>
      </w:r>
      <w:r w:rsidRPr="00FB5261">
        <w:rPr>
          <w:rFonts w:cs="Times New Roman"/>
          <w:szCs w:val="24"/>
        </w:rPr>
        <w:t>implicity leads to a quick evaluation and saves time. It also mitigates the risk of losses because a project with a shorter payback period has a lower risk in uncer</w:t>
      </w:r>
      <w:r w:rsidRPr="00FB5261">
        <w:rPr>
          <w:rFonts w:cs="Times New Roman"/>
          <w:szCs w:val="24"/>
        </w:rPr>
        <w:t xml:space="preserve">tain industries where technology changes rapidly; PBP is very advantageous. To get a rough idea about the time for the investment, the manager </w:t>
      </w:r>
      <w:r w:rsidR="003907C8" w:rsidRPr="00FB5261">
        <w:rPr>
          <w:rFonts w:cs="Times New Roman"/>
          <w:szCs w:val="24"/>
        </w:rPr>
        <w:t>needs</w:t>
      </w:r>
      <w:r w:rsidRPr="00FB5261">
        <w:rPr>
          <w:rFonts w:cs="Times New Roman"/>
          <w:szCs w:val="24"/>
        </w:rPr>
        <w:t xml:space="preserve"> to calculate </w:t>
      </w:r>
      <w:r w:rsidR="003907C8" w:rsidRPr="00FB5261">
        <w:rPr>
          <w:rFonts w:cs="Times New Roman"/>
          <w:szCs w:val="24"/>
        </w:rPr>
        <w:t>this, and</w:t>
      </w:r>
      <w:r w:rsidRPr="00FB5261">
        <w:rPr>
          <w:rFonts w:cs="Times New Roman"/>
          <w:szCs w:val="24"/>
        </w:rPr>
        <w:t xml:space="preserve"> it can tell him whether they should think about spending </w:t>
      </w:r>
      <w:r w:rsidR="00A862ED">
        <w:rPr>
          <w:rFonts w:cs="Times New Roman"/>
          <w:szCs w:val="24"/>
        </w:rPr>
        <w:t>o</w:t>
      </w:r>
      <w:r w:rsidRPr="00FB5261">
        <w:rPr>
          <w:rFonts w:cs="Times New Roman"/>
          <w:szCs w:val="24"/>
        </w:rPr>
        <w:t xml:space="preserve">n the project or not. </w:t>
      </w:r>
    </w:p>
    <w:p w14:paraId="1AB2ECCB" w14:textId="77777777" w:rsidR="004E5CC2" w:rsidRPr="00FB5261" w:rsidRDefault="00313C6B" w:rsidP="00FB5261">
      <w:pPr>
        <w:spacing w:line="360" w:lineRule="auto"/>
        <w:rPr>
          <w:rFonts w:cs="Times New Roman"/>
          <w:szCs w:val="24"/>
        </w:rPr>
      </w:pPr>
      <w:r w:rsidRPr="00FB5261">
        <w:rPr>
          <w:rFonts w:cs="Times New Roman"/>
          <w:szCs w:val="24"/>
        </w:rPr>
        <w:t>The</w:t>
      </w:r>
      <w:r w:rsidRPr="00FB5261">
        <w:rPr>
          <w:rFonts w:cs="Times New Roman"/>
          <w:szCs w:val="24"/>
        </w:rPr>
        <w:t xml:space="preserve"> disadvantages to this technique are not considering the cash flows after the payback period and the time value of money</w:t>
      </w:r>
      <w:r w:rsidR="003907C8">
        <w:rPr>
          <w:rFonts w:cs="Times New Roman"/>
          <w:szCs w:val="24"/>
        </w:rPr>
        <w:t xml:space="preserve"> </w:t>
      </w:r>
      <w:r w:rsidR="003907C8">
        <w:rPr>
          <w:color w:val="000000"/>
        </w:rPr>
        <w:t>(Bierman and Smidt, 2010)</w:t>
      </w:r>
      <w:r w:rsidRPr="00FB5261">
        <w:rPr>
          <w:rFonts w:cs="Times New Roman"/>
          <w:szCs w:val="24"/>
        </w:rPr>
        <w:t>. PBP is so simple to observe normal business scenarios and skips real cases. Two projects with the same payba</w:t>
      </w:r>
      <w:r w:rsidRPr="00FB5261">
        <w:rPr>
          <w:rFonts w:cs="Times New Roman"/>
          <w:szCs w:val="24"/>
        </w:rPr>
        <w:t>ck period might not be equally good, and interest cannot remain ignored. There is no guarantee that a shorter payback period will be profitable, and it may stop generating cash flows at PBP. Other shortcomings include incompetence to deal with unequal cash</w:t>
      </w:r>
      <w:r w:rsidRPr="00FB5261">
        <w:rPr>
          <w:rFonts w:cs="Times New Roman"/>
          <w:szCs w:val="24"/>
        </w:rPr>
        <w:t xml:space="preserve"> flows with negative cash flows. </w:t>
      </w:r>
    </w:p>
    <w:p w14:paraId="5D32E75C" w14:textId="77777777" w:rsidR="004E5CC2" w:rsidRPr="00FB5261" w:rsidRDefault="00313C6B" w:rsidP="00C657AE">
      <w:pPr>
        <w:pStyle w:val="Heading3"/>
      </w:pPr>
      <w:bookmarkStart w:id="17" w:name="_Toc61380003"/>
      <w:r>
        <w:t xml:space="preserve">4.2.2 </w:t>
      </w:r>
      <w:r w:rsidRPr="00FB5261">
        <w:t>Accounting Rate of Return (ARR)</w:t>
      </w:r>
      <w:bookmarkEnd w:id="17"/>
    </w:p>
    <w:p w14:paraId="04E2966F" w14:textId="77777777" w:rsidR="004E5CC2" w:rsidRPr="00FB5261" w:rsidRDefault="00313C6B" w:rsidP="00FB5261">
      <w:pPr>
        <w:spacing w:line="360" w:lineRule="auto"/>
        <w:rPr>
          <w:rFonts w:cs="Times New Roman"/>
          <w:szCs w:val="24"/>
        </w:rPr>
      </w:pPr>
      <w:r>
        <w:rPr>
          <w:rFonts w:cs="Times New Roman"/>
          <w:szCs w:val="24"/>
        </w:rPr>
        <w:t>The a</w:t>
      </w:r>
      <w:r w:rsidRPr="00FB5261">
        <w:rPr>
          <w:rFonts w:cs="Times New Roman"/>
          <w:szCs w:val="24"/>
        </w:rPr>
        <w:t>ccounting rate of return tells the percentage rate of return expected on an investment in comparison to the cost of investment</w:t>
      </w:r>
      <w:r w:rsidR="003907C8">
        <w:rPr>
          <w:rFonts w:cs="Times New Roman"/>
          <w:szCs w:val="24"/>
        </w:rPr>
        <w:t xml:space="preserve"> </w:t>
      </w:r>
      <w:r w:rsidR="000E2E86">
        <w:rPr>
          <w:color w:val="000000"/>
        </w:rPr>
        <w:t>(Higgins, 2019)</w:t>
      </w:r>
      <w:r w:rsidRPr="00FB5261">
        <w:rPr>
          <w:rFonts w:cs="Times New Roman"/>
          <w:szCs w:val="24"/>
        </w:rPr>
        <w:t xml:space="preserve">. ARR is a useful tool for </w:t>
      </w:r>
      <w:r>
        <w:rPr>
          <w:rFonts w:cs="Times New Roman"/>
          <w:szCs w:val="24"/>
        </w:rPr>
        <w:t xml:space="preserve">the </w:t>
      </w:r>
      <w:r w:rsidRPr="00FB5261">
        <w:rPr>
          <w:rFonts w:cs="Times New Roman"/>
          <w:szCs w:val="24"/>
        </w:rPr>
        <w:t>capita</w:t>
      </w:r>
      <w:r w:rsidRPr="00FB5261">
        <w:rPr>
          <w:rFonts w:cs="Times New Roman"/>
          <w:szCs w:val="24"/>
        </w:rPr>
        <w:t>l budget, and it helps in calculating the profitability of investment quickly.  To find ARR, average revenue is divided by the firm's initial investment</w:t>
      </w:r>
      <w:r w:rsidR="000E2E86">
        <w:rPr>
          <w:rFonts w:cs="Times New Roman"/>
          <w:szCs w:val="24"/>
        </w:rPr>
        <w:t xml:space="preserve"> </w:t>
      </w:r>
      <w:r w:rsidR="000E2E86">
        <w:rPr>
          <w:color w:val="000000"/>
        </w:rPr>
        <w:t>(Jenkinson, 2014)</w:t>
      </w:r>
      <w:r w:rsidRPr="00FB5261">
        <w:rPr>
          <w:rFonts w:cs="Times New Roman"/>
          <w:szCs w:val="24"/>
        </w:rPr>
        <w:t xml:space="preserve">. It indicates the return expected over the lifetime of </w:t>
      </w:r>
      <w:r>
        <w:rPr>
          <w:rFonts w:cs="Times New Roman"/>
          <w:szCs w:val="24"/>
        </w:rPr>
        <w:t xml:space="preserve">the </w:t>
      </w:r>
      <w:r w:rsidRPr="00FB5261">
        <w:rPr>
          <w:rFonts w:cs="Times New Roman"/>
          <w:szCs w:val="24"/>
        </w:rPr>
        <w:t xml:space="preserve">project. </w:t>
      </w:r>
    </w:p>
    <w:p w14:paraId="03B1C3EB" w14:textId="77777777" w:rsidR="004E5CC2" w:rsidRPr="00FB5261" w:rsidRDefault="00313C6B" w:rsidP="00FB5261">
      <w:pPr>
        <w:spacing w:line="360" w:lineRule="auto"/>
        <w:rPr>
          <w:rFonts w:cs="Times New Roman"/>
          <w:szCs w:val="24"/>
        </w:rPr>
      </w:pPr>
      <w:r w:rsidRPr="00FB5261">
        <w:rPr>
          <w:rFonts w:cs="Times New Roman"/>
          <w:szCs w:val="24"/>
        </w:rPr>
        <w:t>The advantage of</w:t>
      </w:r>
      <w:r w:rsidRPr="00FB5261">
        <w:rPr>
          <w:rFonts w:cs="Times New Roman"/>
          <w:szCs w:val="24"/>
        </w:rPr>
        <w:t xml:space="preserve"> ARR is helping in determining a project's annual percentage rate of return. ARR can help </w:t>
      </w:r>
      <w:r w:rsidR="00A862ED">
        <w:rPr>
          <w:rFonts w:cs="Times New Roman"/>
          <w:szCs w:val="24"/>
        </w:rPr>
        <w:t xml:space="preserve">the </w:t>
      </w:r>
      <w:r w:rsidRPr="00FB5261">
        <w:rPr>
          <w:rFonts w:cs="Times New Roman"/>
          <w:szCs w:val="24"/>
        </w:rPr>
        <w:t xml:space="preserve">project manager in comparing multiple projects and determining the expected rate of </w:t>
      </w:r>
      <w:r w:rsidRPr="00FB5261">
        <w:rPr>
          <w:rFonts w:cs="Times New Roman"/>
          <w:szCs w:val="24"/>
        </w:rPr>
        <w:lastRenderedPageBreak/>
        <w:t>return of each project</w:t>
      </w:r>
      <w:r w:rsidR="000E2E86">
        <w:rPr>
          <w:rFonts w:cs="Times New Roman"/>
          <w:szCs w:val="24"/>
        </w:rPr>
        <w:t xml:space="preserve"> </w:t>
      </w:r>
      <w:r w:rsidR="000E2E86">
        <w:rPr>
          <w:color w:val="000000"/>
        </w:rPr>
        <w:t>(Martyn, 2021)</w:t>
      </w:r>
      <w:r w:rsidRPr="00FB5261">
        <w:rPr>
          <w:rFonts w:cs="Times New Roman"/>
          <w:szCs w:val="24"/>
        </w:rPr>
        <w:t xml:space="preserve">. </w:t>
      </w:r>
      <w:r w:rsidR="00C657AE" w:rsidRPr="00FB5261">
        <w:rPr>
          <w:rFonts w:cs="Times New Roman"/>
          <w:szCs w:val="24"/>
        </w:rPr>
        <w:t>Thus,</w:t>
      </w:r>
      <w:r w:rsidRPr="00FB5261">
        <w:rPr>
          <w:rFonts w:cs="Times New Roman"/>
          <w:szCs w:val="24"/>
        </w:rPr>
        <w:t xml:space="preserve"> it enables the man</w:t>
      </w:r>
      <w:r w:rsidR="00A862ED">
        <w:rPr>
          <w:rFonts w:cs="Times New Roman"/>
          <w:szCs w:val="24"/>
        </w:rPr>
        <w:t>a</w:t>
      </w:r>
      <w:r w:rsidRPr="00FB5261">
        <w:rPr>
          <w:rFonts w:cs="Times New Roman"/>
          <w:szCs w:val="24"/>
        </w:rPr>
        <w:t xml:space="preserve">ger to decide on an investment or capital project. ARR illustrates a clear picture of the profitability of a capital project. By measuring the current performance of the firm and showing the </w:t>
      </w:r>
      <w:r w:rsidR="00C657AE" w:rsidRPr="00FB5261">
        <w:rPr>
          <w:rFonts w:cs="Times New Roman"/>
          <w:szCs w:val="24"/>
        </w:rPr>
        <w:t>return-on-investment</w:t>
      </w:r>
      <w:r w:rsidRPr="00FB5261">
        <w:rPr>
          <w:rFonts w:cs="Times New Roman"/>
          <w:szCs w:val="24"/>
        </w:rPr>
        <w:t>, ARR matches up to the i</w:t>
      </w:r>
      <w:r w:rsidRPr="00FB5261">
        <w:rPr>
          <w:rFonts w:cs="Times New Roman"/>
          <w:szCs w:val="24"/>
        </w:rPr>
        <w:t>nterest of the investors.</w:t>
      </w:r>
    </w:p>
    <w:p w14:paraId="55B5CC90" w14:textId="77777777" w:rsidR="004E5CC2" w:rsidRPr="00FB5261" w:rsidRDefault="00313C6B" w:rsidP="00FB5261">
      <w:pPr>
        <w:spacing w:line="360" w:lineRule="auto"/>
        <w:rPr>
          <w:rFonts w:cs="Times New Roman"/>
          <w:szCs w:val="24"/>
        </w:rPr>
      </w:pPr>
      <w:r w:rsidRPr="00FB5261">
        <w:rPr>
          <w:rFonts w:cs="Times New Roman"/>
          <w:szCs w:val="24"/>
        </w:rPr>
        <w:t>Like PBP, ARR also does not consider the time value of money or cash flows. One project may return more revenue in its early periods, and the other project in its later</w:t>
      </w:r>
      <w:r w:rsidR="000E2E86">
        <w:rPr>
          <w:rFonts w:cs="Times New Roman"/>
          <w:szCs w:val="24"/>
        </w:rPr>
        <w:t xml:space="preserve"> </w:t>
      </w:r>
      <w:r w:rsidR="000E2E86">
        <w:rPr>
          <w:color w:val="000000"/>
        </w:rPr>
        <w:t>(Octavia and Aidina, 2020)</w:t>
      </w:r>
      <w:r w:rsidRPr="00FB5261">
        <w:rPr>
          <w:rFonts w:cs="Times New Roman"/>
          <w:szCs w:val="24"/>
        </w:rPr>
        <w:t>. The project offering profits soon</w:t>
      </w:r>
      <w:r w:rsidRPr="00FB5261">
        <w:rPr>
          <w:rFonts w:cs="Times New Roman"/>
          <w:szCs w:val="24"/>
        </w:rPr>
        <w:t xml:space="preserve">er </w:t>
      </w:r>
      <w:r w:rsidR="00A862ED">
        <w:rPr>
          <w:rFonts w:cs="Times New Roman"/>
          <w:szCs w:val="24"/>
        </w:rPr>
        <w:t>allows</w:t>
      </w:r>
      <w:r w:rsidRPr="00FB5261">
        <w:rPr>
          <w:rFonts w:cs="Times New Roman"/>
          <w:szCs w:val="24"/>
        </w:rPr>
        <w:t xml:space="preserve"> reinvestment. But ARR does not allocate a higher value to it. ARR does not think about the external factors, and they can affect profitability. It takes no notice for the Period of profits earned. ARR cannot evaluate the projects with more than t</w:t>
      </w:r>
      <w:r w:rsidRPr="00FB5261">
        <w:rPr>
          <w:rFonts w:cs="Times New Roman"/>
          <w:szCs w:val="24"/>
        </w:rPr>
        <w:t xml:space="preserve">wo </w:t>
      </w:r>
      <w:r w:rsidR="00C657AE" w:rsidRPr="00FB5261">
        <w:rPr>
          <w:rFonts w:cs="Times New Roman"/>
          <w:szCs w:val="24"/>
        </w:rPr>
        <w:t>insta</w:t>
      </w:r>
      <w:r w:rsidR="00A862ED">
        <w:rPr>
          <w:rFonts w:cs="Times New Roman"/>
          <w:szCs w:val="24"/>
        </w:rPr>
        <w:t>l</w:t>
      </w:r>
      <w:r w:rsidR="00C657AE" w:rsidRPr="00FB5261">
        <w:rPr>
          <w:rFonts w:cs="Times New Roman"/>
          <w:szCs w:val="24"/>
        </w:rPr>
        <w:t>lments</w:t>
      </w:r>
      <w:r w:rsidRPr="00FB5261">
        <w:rPr>
          <w:rFonts w:cs="Times New Roman"/>
          <w:szCs w:val="24"/>
        </w:rPr>
        <w:t xml:space="preserve"> at </w:t>
      </w:r>
      <w:r w:rsidR="00C657AE" w:rsidRPr="00FB5261">
        <w:rPr>
          <w:rFonts w:cs="Times New Roman"/>
          <w:szCs w:val="24"/>
        </w:rPr>
        <w:t>separate</w:t>
      </w:r>
      <w:r w:rsidRPr="00FB5261">
        <w:rPr>
          <w:rFonts w:cs="Times New Roman"/>
          <w:szCs w:val="24"/>
        </w:rPr>
        <w:t xml:space="preserve"> times. </w:t>
      </w:r>
      <w:r w:rsidR="00C657AE" w:rsidRPr="00FB5261">
        <w:rPr>
          <w:rFonts w:cs="Times New Roman"/>
          <w:szCs w:val="24"/>
        </w:rPr>
        <w:t>Also,</w:t>
      </w:r>
      <w:r w:rsidRPr="00FB5261">
        <w:rPr>
          <w:rFonts w:cs="Times New Roman"/>
          <w:szCs w:val="24"/>
        </w:rPr>
        <w:t xml:space="preserve"> ARR does not consider the increased risk and uncertainty related to longer periods.</w:t>
      </w:r>
    </w:p>
    <w:p w14:paraId="3A758103" w14:textId="77777777" w:rsidR="004E5CC2" w:rsidRPr="00FB5261" w:rsidRDefault="00313C6B" w:rsidP="00C657AE">
      <w:pPr>
        <w:pStyle w:val="Heading3"/>
      </w:pPr>
      <w:bookmarkStart w:id="18" w:name="_Toc61380004"/>
      <w:r>
        <w:t xml:space="preserve">4.2.3 </w:t>
      </w:r>
      <w:r w:rsidRPr="00FB5261">
        <w:t>Present Net Value (NPV)</w:t>
      </w:r>
      <w:bookmarkEnd w:id="18"/>
    </w:p>
    <w:p w14:paraId="48E31B9E" w14:textId="77777777" w:rsidR="004E5CC2" w:rsidRPr="00FB5261" w:rsidRDefault="00313C6B" w:rsidP="00FB5261">
      <w:pPr>
        <w:spacing w:line="360" w:lineRule="auto"/>
        <w:rPr>
          <w:rFonts w:cs="Times New Roman"/>
          <w:szCs w:val="24"/>
        </w:rPr>
      </w:pPr>
      <w:r w:rsidRPr="00FB5261">
        <w:rPr>
          <w:rFonts w:cs="Times New Roman"/>
          <w:szCs w:val="24"/>
        </w:rPr>
        <w:t>Net Present Value is the value of all future cash flows over the lifetime of an investment discounted</w:t>
      </w:r>
      <w:r w:rsidRPr="00FB5261">
        <w:rPr>
          <w:rFonts w:cs="Times New Roman"/>
          <w:szCs w:val="24"/>
        </w:rPr>
        <w:t xml:space="preserve"> to the present. NPV analysis is a type of inherent valuation. It is used broadly to determine the value of an investment or capital project</w:t>
      </w:r>
      <w:r w:rsidR="000E2E86">
        <w:rPr>
          <w:rFonts w:cs="Times New Roman"/>
          <w:szCs w:val="24"/>
        </w:rPr>
        <w:t xml:space="preserve"> </w:t>
      </w:r>
      <w:r w:rsidR="000E2E86">
        <w:rPr>
          <w:color w:val="000000"/>
        </w:rPr>
        <w:t>(Robinson et al., 2012)</w:t>
      </w:r>
      <w:r w:rsidRPr="00FB5261">
        <w:rPr>
          <w:rFonts w:cs="Times New Roman"/>
          <w:szCs w:val="24"/>
        </w:rPr>
        <w:t xml:space="preserve">. The formula used for calculating NPV differs based on the number and steadiness of future </w:t>
      </w:r>
      <w:r w:rsidRPr="00FB5261">
        <w:rPr>
          <w:rFonts w:cs="Times New Roman"/>
          <w:szCs w:val="24"/>
        </w:rPr>
        <w:t xml:space="preserve">cash flows. A project with </w:t>
      </w:r>
      <w:r w:rsidR="00A862ED">
        <w:rPr>
          <w:rFonts w:cs="Times New Roman"/>
          <w:szCs w:val="24"/>
        </w:rPr>
        <w:t xml:space="preserve">a </w:t>
      </w:r>
      <w:r w:rsidRPr="00FB5261">
        <w:rPr>
          <w:rFonts w:cs="Times New Roman"/>
          <w:szCs w:val="24"/>
        </w:rPr>
        <w:t>positive NPV reflects a good investment and, therefore, attractive. A negative NPV, on the other hand, suggests not to invest. The NPV can help a manager to decide whether a capital project should be undertaken or not and compa</w:t>
      </w:r>
      <w:r w:rsidRPr="00FB5261">
        <w:rPr>
          <w:rFonts w:cs="Times New Roman"/>
          <w:szCs w:val="24"/>
        </w:rPr>
        <w:t xml:space="preserve">re alternative ways of using capital. </w:t>
      </w:r>
    </w:p>
    <w:p w14:paraId="4BA759D5" w14:textId="77777777" w:rsidR="004E5CC2" w:rsidRPr="00FB5261" w:rsidRDefault="00313C6B" w:rsidP="00FB5261">
      <w:pPr>
        <w:spacing w:line="360" w:lineRule="auto"/>
        <w:rPr>
          <w:rFonts w:cs="Times New Roman"/>
          <w:szCs w:val="24"/>
        </w:rPr>
      </w:pPr>
      <w:r w:rsidRPr="00FB5261">
        <w:rPr>
          <w:rFonts w:cs="Times New Roman"/>
          <w:szCs w:val="24"/>
        </w:rPr>
        <w:t>The advantages of NPV include considering the time value of money and helping the management of the firm to make decisions in better ways</w:t>
      </w:r>
      <w:r w:rsidR="000E2E86">
        <w:rPr>
          <w:rFonts w:cs="Times New Roman"/>
          <w:szCs w:val="24"/>
        </w:rPr>
        <w:t xml:space="preserve"> </w:t>
      </w:r>
      <w:r w:rsidR="000E2E86">
        <w:rPr>
          <w:color w:val="000000"/>
        </w:rPr>
        <w:t>(Srithon, 2017)</w:t>
      </w:r>
      <w:r w:rsidRPr="00FB5261">
        <w:rPr>
          <w:rFonts w:cs="Times New Roman"/>
          <w:szCs w:val="24"/>
        </w:rPr>
        <w:t>. Time value of money is a basic concern of finance. NPV follows</w:t>
      </w:r>
      <w:r w:rsidRPr="00FB5261">
        <w:rPr>
          <w:rFonts w:cs="Times New Roman"/>
          <w:szCs w:val="24"/>
        </w:rPr>
        <w:t xml:space="preserve"> it</w:t>
      </w:r>
      <w:r w:rsidR="00A862ED">
        <w:rPr>
          <w:rFonts w:cs="Times New Roman"/>
          <w:szCs w:val="24"/>
        </w:rPr>
        <w:t>,</w:t>
      </w:r>
      <w:r w:rsidRPr="00FB5261">
        <w:rPr>
          <w:rFonts w:cs="Times New Roman"/>
          <w:szCs w:val="24"/>
        </w:rPr>
        <w:t xml:space="preserve"> unlike ARR and PBP. The most vital advantage of NPV is it takes into account the cost of capital and the implicit risk while projecting the future. NPV is helpful in both evaluating projects of the same size and pointing out whether a specific investm</w:t>
      </w:r>
      <w:r w:rsidRPr="00FB5261">
        <w:rPr>
          <w:rFonts w:cs="Times New Roman"/>
          <w:szCs w:val="24"/>
        </w:rPr>
        <w:t>ent is profitable or not.</w:t>
      </w:r>
    </w:p>
    <w:p w14:paraId="6E2E2D9F" w14:textId="77777777" w:rsidR="004E5CC2" w:rsidRPr="00FB5261" w:rsidRDefault="00313C6B" w:rsidP="00FB5261">
      <w:pPr>
        <w:spacing w:line="360" w:lineRule="auto"/>
        <w:rPr>
          <w:rFonts w:cs="Times New Roman"/>
          <w:szCs w:val="24"/>
        </w:rPr>
      </w:pPr>
      <w:r w:rsidRPr="00FB5261">
        <w:rPr>
          <w:rFonts w:cs="Times New Roman"/>
          <w:szCs w:val="24"/>
        </w:rPr>
        <w:t xml:space="preserve">The disadvantages of NPV </w:t>
      </w:r>
      <w:r w:rsidR="00A862ED">
        <w:rPr>
          <w:rFonts w:cs="Times New Roman"/>
          <w:szCs w:val="24"/>
        </w:rPr>
        <w:t>are</w:t>
      </w:r>
      <w:r w:rsidRPr="00FB5261">
        <w:rPr>
          <w:rFonts w:cs="Times New Roman"/>
          <w:szCs w:val="24"/>
        </w:rPr>
        <w:t xml:space="preserve"> not considering the hidden cost and not able to compare the different sizes </w:t>
      </w:r>
      <w:r w:rsidR="00A862ED">
        <w:rPr>
          <w:rFonts w:cs="Times New Roman"/>
          <w:szCs w:val="24"/>
        </w:rPr>
        <w:t xml:space="preserve">of </w:t>
      </w:r>
      <w:r w:rsidRPr="00FB5261">
        <w:rPr>
          <w:rFonts w:cs="Times New Roman"/>
          <w:szCs w:val="24"/>
        </w:rPr>
        <w:t xml:space="preserve">projects. There </w:t>
      </w:r>
      <w:r w:rsidR="00A862ED">
        <w:rPr>
          <w:rFonts w:cs="Times New Roman"/>
          <w:szCs w:val="24"/>
        </w:rPr>
        <w:t>are</w:t>
      </w:r>
      <w:r w:rsidRPr="00FB5261">
        <w:rPr>
          <w:rFonts w:cs="Times New Roman"/>
          <w:szCs w:val="24"/>
        </w:rPr>
        <w:t xml:space="preserve"> no standard guidelines for calculating </w:t>
      </w:r>
      <w:r w:rsidR="00A862ED">
        <w:rPr>
          <w:rFonts w:cs="Times New Roman"/>
          <w:szCs w:val="24"/>
        </w:rPr>
        <w:t xml:space="preserve">the </w:t>
      </w:r>
      <w:r w:rsidRPr="00FB5261">
        <w:rPr>
          <w:rFonts w:cs="Times New Roman"/>
          <w:szCs w:val="24"/>
        </w:rPr>
        <w:t>Required Rate of Return. The entire process of NPV calculat</w:t>
      </w:r>
      <w:r w:rsidRPr="00FB5261">
        <w:rPr>
          <w:rFonts w:cs="Times New Roman"/>
          <w:szCs w:val="24"/>
        </w:rPr>
        <w:t>ion depends on the required rate of return for discount</w:t>
      </w:r>
      <w:r w:rsidR="00A862ED">
        <w:rPr>
          <w:rFonts w:cs="Times New Roman"/>
          <w:szCs w:val="24"/>
        </w:rPr>
        <w:t>s</w:t>
      </w:r>
      <w:r w:rsidRPr="00FB5261">
        <w:rPr>
          <w:rFonts w:cs="Times New Roman"/>
          <w:szCs w:val="24"/>
        </w:rPr>
        <w:t xml:space="preserve">. As the RRR different from each project to </w:t>
      </w:r>
      <w:r w:rsidR="00A862ED">
        <w:rPr>
          <w:rFonts w:cs="Times New Roman"/>
          <w:szCs w:val="24"/>
        </w:rPr>
        <w:t xml:space="preserve">the </w:t>
      </w:r>
      <w:r w:rsidRPr="00FB5261">
        <w:rPr>
          <w:rFonts w:cs="Times New Roman"/>
          <w:szCs w:val="24"/>
        </w:rPr>
        <w:t>other and under the judgment of the firm, NPV cannot be used to differentiate projects of different sizes</w:t>
      </w:r>
      <w:r w:rsidR="000E2E86">
        <w:rPr>
          <w:rFonts w:cs="Times New Roman"/>
          <w:szCs w:val="24"/>
        </w:rPr>
        <w:t xml:space="preserve"> </w:t>
      </w:r>
      <w:r w:rsidR="000E2E86">
        <w:rPr>
          <w:color w:val="000000"/>
        </w:rPr>
        <w:t>(Herbst, 2013)</w:t>
      </w:r>
      <w:r w:rsidRPr="00FB5261">
        <w:rPr>
          <w:rFonts w:cs="Times New Roman"/>
          <w:szCs w:val="24"/>
        </w:rPr>
        <w:t xml:space="preserve">. </w:t>
      </w:r>
      <w:r w:rsidR="000E2E86" w:rsidRPr="00FB5261">
        <w:rPr>
          <w:rFonts w:cs="Times New Roman"/>
          <w:szCs w:val="24"/>
        </w:rPr>
        <w:t>Also,</w:t>
      </w:r>
      <w:r w:rsidRPr="00FB5261">
        <w:rPr>
          <w:rFonts w:cs="Times New Roman"/>
          <w:szCs w:val="24"/>
        </w:rPr>
        <w:t xml:space="preserve"> the crucial disadvantage</w:t>
      </w:r>
      <w:r w:rsidRPr="00FB5261">
        <w:rPr>
          <w:rFonts w:cs="Times New Roman"/>
          <w:szCs w:val="24"/>
        </w:rPr>
        <w:t xml:space="preserve"> of the net </w:t>
      </w:r>
      <w:r w:rsidRPr="00FB5261">
        <w:rPr>
          <w:rFonts w:cs="Times New Roman"/>
          <w:szCs w:val="24"/>
        </w:rPr>
        <w:lastRenderedPageBreak/>
        <w:t xml:space="preserve">present value metric is that it needs some presumption about the cost of capital of the business.  As NPV is an absolute figure, unlike percentage, NPV of larger projects would automatically be higher than a </w:t>
      </w:r>
      <w:r w:rsidR="000E2E86" w:rsidRPr="00FB5261">
        <w:rPr>
          <w:rFonts w:cs="Times New Roman"/>
          <w:szCs w:val="24"/>
        </w:rPr>
        <w:t>smaller project</w:t>
      </w:r>
      <w:r w:rsidRPr="00FB5261">
        <w:rPr>
          <w:rFonts w:cs="Times New Roman"/>
          <w:szCs w:val="24"/>
        </w:rPr>
        <w:t>. Therefore, the retu</w:t>
      </w:r>
      <w:r w:rsidRPr="00FB5261">
        <w:rPr>
          <w:rFonts w:cs="Times New Roman"/>
          <w:szCs w:val="24"/>
        </w:rPr>
        <w:t xml:space="preserve">rns from the smaller project may be higher than its investment, but </w:t>
      </w:r>
      <w:r w:rsidR="00A862ED">
        <w:rPr>
          <w:rFonts w:cs="Times New Roman"/>
          <w:szCs w:val="24"/>
        </w:rPr>
        <w:t xml:space="preserve">a </w:t>
      </w:r>
      <w:r w:rsidRPr="00FB5261">
        <w:rPr>
          <w:rFonts w:cs="Times New Roman"/>
          <w:szCs w:val="24"/>
        </w:rPr>
        <w:t>lower NPV can mislead the management.</w:t>
      </w:r>
    </w:p>
    <w:p w14:paraId="7C992684" w14:textId="77777777" w:rsidR="004E5CC2" w:rsidRPr="00C657AE" w:rsidRDefault="00313C6B" w:rsidP="00C657AE">
      <w:pPr>
        <w:pStyle w:val="Heading3"/>
      </w:pPr>
      <w:bookmarkStart w:id="19" w:name="_Toc61380005"/>
      <w:r w:rsidRPr="00C657AE">
        <w:t>4.2.4 Non-Financial Factors for Investment Assessment</w:t>
      </w:r>
      <w:bookmarkEnd w:id="19"/>
    </w:p>
    <w:p w14:paraId="1A679C9A" w14:textId="77777777" w:rsidR="004E5CC2" w:rsidRDefault="00313C6B" w:rsidP="00FB5261">
      <w:pPr>
        <w:spacing w:line="360" w:lineRule="auto"/>
        <w:rPr>
          <w:rFonts w:cs="Times New Roman"/>
          <w:szCs w:val="24"/>
        </w:rPr>
      </w:pPr>
      <w:r w:rsidRPr="00FB5261">
        <w:rPr>
          <w:rFonts w:cs="Times New Roman"/>
          <w:szCs w:val="24"/>
        </w:rPr>
        <w:t xml:space="preserve">When a firm is showing a weaker non-financial performance, </w:t>
      </w:r>
      <w:r w:rsidR="00A862ED">
        <w:rPr>
          <w:rFonts w:cs="Times New Roman"/>
          <w:szCs w:val="24"/>
        </w:rPr>
        <w:t>its</w:t>
      </w:r>
      <w:r w:rsidRPr="00FB5261">
        <w:rPr>
          <w:rFonts w:cs="Times New Roman"/>
          <w:szCs w:val="24"/>
        </w:rPr>
        <w:t xml:space="preserve"> financial performance and strength do not matter. </w:t>
      </w:r>
      <w:r w:rsidR="000E2E86" w:rsidRPr="00FB5261">
        <w:rPr>
          <w:rFonts w:cs="Times New Roman"/>
          <w:szCs w:val="24"/>
        </w:rPr>
        <w:t>So,</w:t>
      </w:r>
      <w:r w:rsidRPr="00FB5261">
        <w:rPr>
          <w:rFonts w:cs="Times New Roman"/>
          <w:szCs w:val="24"/>
        </w:rPr>
        <w:t xml:space="preserve"> spotting and assessing non-financial objectives is more significant. Thinking about non-financial factors and objectives may help firms of </w:t>
      </w:r>
      <w:r w:rsidRPr="00FB5261">
        <w:rPr>
          <w:rFonts w:cs="Times New Roman"/>
          <w:szCs w:val="24"/>
        </w:rPr>
        <w:t>any size</w:t>
      </w:r>
      <w:r w:rsidR="000E2E86">
        <w:rPr>
          <w:rFonts w:cs="Times New Roman"/>
          <w:szCs w:val="24"/>
        </w:rPr>
        <w:t xml:space="preserve"> </w:t>
      </w:r>
      <w:r w:rsidR="000E2E86">
        <w:rPr>
          <w:color w:val="000000"/>
        </w:rPr>
        <w:t>(Strunk, 2015)</w:t>
      </w:r>
      <w:r w:rsidRPr="00FB5261">
        <w:rPr>
          <w:rFonts w:cs="Times New Roman"/>
          <w:szCs w:val="24"/>
        </w:rPr>
        <w:t xml:space="preserve">. A company with sound sales but poor customer relationship management may fall in </w:t>
      </w:r>
      <w:r w:rsidR="00A862ED">
        <w:rPr>
          <w:rFonts w:cs="Times New Roman"/>
          <w:szCs w:val="24"/>
        </w:rPr>
        <w:t xml:space="preserve">the </w:t>
      </w:r>
      <w:r w:rsidRPr="00FB5261">
        <w:rPr>
          <w:rFonts w:cs="Times New Roman"/>
          <w:szCs w:val="24"/>
        </w:rPr>
        <w:t>future if it remains unnoticed. Managers can make decisions and adjustments by keeping an eye on non-financial factors. Employee morale, corporate</w:t>
      </w:r>
      <w:r w:rsidRPr="00FB5261">
        <w:rPr>
          <w:rFonts w:cs="Times New Roman"/>
          <w:szCs w:val="24"/>
        </w:rPr>
        <w:t xml:space="preserve"> ethics, customer engagement, are also some important non-financial factors for an investment</w:t>
      </w:r>
      <w:r w:rsidR="000E2E86">
        <w:rPr>
          <w:rFonts w:cs="Times New Roman"/>
          <w:szCs w:val="24"/>
        </w:rPr>
        <w:t xml:space="preserve"> </w:t>
      </w:r>
      <w:r w:rsidR="000E2E86">
        <w:rPr>
          <w:color w:val="000000"/>
        </w:rPr>
        <w:t>(Tate, 2018)</w:t>
      </w:r>
      <w:r w:rsidRPr="00FB5261">
        <w:rPr>
          <w:rFonts w:cs="Times New Roman"/>
          <w:szCs w:val="24"/>
        </w:rPr>
        <w:t xml:space="preserve">. Firms must use proper tools and techniques in management. </w:t>
      </w:r>
      <w:r w:rsidR="00A862ED">
        <w:rPr>
          <w:rFonts w:cs="Times New Roman"/>
          <w:szCs w:val="24"/>
        </w:rPr>
        <w:t>A f</w:t>
      </w:r>
      <w:r w:rsidRPr="00FB5261">
        <w:rPr>
          <w:rFonts w:cs="Times New Roman"/>
          <w:szCs w:val="24"/>
        </w:rPr>
        <w:t>irm should check all current and probable legislation regarding investment and industry</w:t>
      </w:r>
      <w:r w:rsidRPr="00FB5261">
        <w:rPr>
          <w:rFonts w:cs="Times New Roman"/>
          <w:szCs w:val="24"/>
        </w:rPr>
        <w:t xml:space="preserve"> standards. </w:t>
      </w:r>
      <w:r w:rsidR="000E2E86" w:rsidRPr="00FB5261">
        <w:rPr>
          <w:rFonts w:cs="Times New Roman"/>
          <w:szCs w:val="24"/>
        </w:rPr>
        <w:t>Also,</w:t>
      </w:r>
      <w:r w:rsidRPr="00FB5261">
        <w:rPr>
          <w:rFonts w:cs="Times New Roman"/>
          <w:szCs w:val="24"/>
        </w:rPr>
        <w:t xml:space="preserve"> it should focus on building the capabilities of business in new fields and improving management systems. Predicting and preparing for future threats is also important for a firm before investing in capital projects</w:t>
      </w:r>
      <w:r w:rsidR="000E2E86">
        <w:rPr>
          <w:rFonts w:cs="Times New Roman"/>
          <w:szCs w:val="24"/>
        </w:rPr>
        <w:t xml:space="preserve"> </w:t>
      </w:r>
      <w:r w:rsidR="000E2E86">
        <w:rPr>
          <w:color w:val="000000"/>
        </w:rPr>
        <w:t>(Wahlen et al., 2019)</w:t>
      </w:r>
      <w:r w:rsidRPr="00FB5261">
        <w:rPr>
          <w:rFonts w:cs="Times New Roman"/>
          <w:szCs w:val="24"/>
        </w:rPr>
        <w:t>.</w:t>
      </w:r>
    </w:p>
    <w:p w14:paraId="13EF8329" w14:textId="77777777" w:rsidR="00AE7255" w:rsidRDefault="00313C6B" w:rsidP="00C657AE">
      <w:pPr>
        <w:pStyle w:val="Heading1"/>
      </w:pPr>
      <w:bookmarkStart w:id="20" w:name="_Toc61380006"/>
      <w:r>
        <w:t>5. Conclusion</w:t>
      </w:r>
      <w:bookmarkEnd w:id="20"/>
    </w:p>
    <w:p w14:paraId="66876CBF" w14:textId="77777777" w:rsidR="00AE7255" w:rsidRDefault="00313C6B" w:rsidP="00FB5261">
      <w:pPr>
        <w:spacing w:line="360" w:lineRule="auto"/>
        <w:rPr>
          <w:rFonts w:cs="Times New Roman"/>
          <w:szCs w:val="24"/>
        </w:rPr>
      </w:pPr>
      <w:r>
        <w:rPr>
          <w:rFonts w:cs="Times New Roman"/>
          <w:szCs w:val="24"/>
        </w:rPr>
        <w:t xml:space="preserve">Running </w:t>
      </w:r>
      <w:r w:rsidR="00A862ED">
        <w:rPr>
          <w:rFonts w:cs="Times New Roman"/>
          <w:szCs w:val="24"/>
        </w:rPr>
        <w:t xml:space="preserve">a </w:t>
      </w:r>
      <w:r>
        <w:rPr>
          <w:rFonts w:cs="Times New Roman"/>
          <w:szCs w:val="24"/>
        </w:rPr>
        <w:t xml:space="preserve">business is not an easy task. The success of a business highly depends on its financial managers. </w:t>
      </w:r>
      <w:r w:rsidR="001C40E4">
        <w:rPr>
          <w:rFonts w:cs="Times New Roman"/>
          <w:szCs w:val="24"/>
        </w:rPr>
        <w:t xml:space="preserve">A financial manager must, at a point </w:t>
      </w:r>
      <w:r w:rsidR="00A862ED">
        <w:rPr>
          <w:rFonts w:cs="Times New Roman"/>
          <w:szCs w:val="24"/>
        </w:rPr>
        <w:t>in</w:t>
      </w:r>
      <w:r w:rsidR="001C40E4">
        <w:rPr>
          <w:rFonts w:cs="Times New Roman"/>
          <w:szCs w:val="24"/>
        </w:rPr>
        <w:t xml:space="preserve"> time, determine or evaluate the performance of a company</w:t>
      </w:r>
      <w:r w:rsidR="000E2E86">
        <w:rPr>
          <w:rFonts w:cs="Times New Roman"/>
          <w:szCs w:val="24"/>
        </w:rPr>
        <w:t xml:space="preserve"> </w:t>
      </w:r>
      <w:r w:rsidR="000E2E86">
        <w:rPr>
          <w:color w:val="000000"/>
        </w:rPr>
        <w:t>(Valand, 2011)</w:t>
      </w:r>
      <w:r w:rsidR="001C40E4">
        <w:rPr>
          <w:rFonts w:cs="Times New Roman"/>
          <w:szCs w:val="24"/>
        </w:rPr>
        <w:t xml:space="preserve">. Similarly, the managers of GSK have to determine whether all the ratio analysis tools are giving a positive insight </w:t>
      </w:r>
      <w:r w:rsidR="00A862ED">
        <w:rPr>
          <w:rFonts w:cs="Times New Roman"/>
          <w:szCs w:val="24"/>
        </w:rPr>
        <w:t>into</w:t>
      </w:r>
      <w:r w:rsidR="001C40E4">
        <w:rPr>
          <w:rFonts w:cs="Times New Roman"/>
          <w:szCs w:val="24"/>
        </w:rPr>
        <w:t xml:space="preserve"> the company. If the results are satisfying, they should keep on doing that. If the result is not satisfactory, they would even change their business strategy. Again, </w:t>
      </w:r>
      <w:r w:rsidR="000C53FB">
        <w:rPr>
          <w:rFonts w:cs="Times New Roman"/>
          <w:szCs w:val="24"/>
        </w:rPr>
        <w:t>managers must be aware of choosing investment tools while investing in a huge field.</w:t>
      </w:r>
    </w:p>
    <w:p w14:paraId="7463C5B5" w14:textId="77777777" w:rsidR="00CF1DF7" w:rsidRDefault="00CF1DF7" w:rsidP="009254C4">
      <w:pPr>
        <w:pStyle w:val="Heading1"/>
      </w:pPr>
      <w:bookmarkStart w:id="21" w:name="_Toc61380007"/>
    </w:p>
    <w:p w14:paraId="32A4A74B" w14:textId="77777777" w:rsidR="00CF1DF7" w:rsidRDefault="00313C6B">
      <w:pPr>
        <w:jc w:val="left"/>
        <w:rPr>
          <w:rFonts w:eastAsiaTheme="majorEastAsia" w:cstheme="majorBidi"/>
          <w:b/>
          <w:sz w:val="32"/>
          <w:szCs w:val="32"/>
        </w:rPr>
      </w:pPr>
      <w:r>
        <w:br w:type="page"/>
      </w:r>
    </w:p>
    <w:p w14:paraId="71B2A982" w14:textId="77777777" w:rsidR="009254C4" w:rsidRPr="009254C4" w:rsidRDefault="00313C6B" w:rsidP="009254C4">
      <w:pPr>
        <w:pStyle w:val="Heading1"/>
        <w:rPr>
          <w:lang w:val="en-US"/>
        </w:rPr>
      </w:pPr>
      <w:r>
        <w:lastRenderedPageBreak/>
        <w:t xml:space="preserve">6. </w:t>
      </w:r>
      <w:r w:rsidRPr="009254C4">
        <w:t>References</w:t>
      </w:r>
      <w:bookmarkEnd w:id="21"/>
    </w:p>
    <w:p w14:paraId="6E1DC215"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Beaky, E., 2021. </w:t>
      </w:r>
      <w:r w:rsidRPr="009254C4">
        <w:rPr>
          <w:i/>
          <w:iCs/>
          <w:color w:val="000000"/>
        </w:rPr>
        <w:t>Inventory Turnover</w:t>
      </w:r>
      <w:r w:rsidRPr="009254C4">
        <w:rPr>
          <w:color w:val="000000"/>
        </w:rPr>
        <w:t xml:space="preserve">. [online] Investopedia. Available at: </w:t>
      </w:r>
      <w:r w:rsidRPr="009254C4">
        <w:rPr>
          <w:color w:val="000000"/>
        </w:rPr>
        <w:t>&lt;https://www.investopedia.com/terms/i/inventoryturnover.asp&gt; [Accessed 12 January 2021].</w:t>
      </w:r>
    </w:p>
    <w:p w14:paraId="06AB822A"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Bharma, M., 2021. </w:t>
      </w:r>
      <w:r w:rsidRPr="009254C4">
        <w:rPr>
          <w:i/>
          <w:iCs/>
          <w:color w:val="000000"/>
        </w:rPr>
        <w:t>GSK. U.K. | Glaxosmithkline PLC Annual Income Statement - WSJ</w:t>
      </w:r>
      <w:r w:rsidRPr="009254C4">
        <w:rPr>
          <w:color w:val="000000"/>
        </w:rPr>
        <w:t>. [online] Wsj.com. Available at: &lt;https://www.wsj.com/market-data/quotes/UK/XLON/GSK/fi</w:t>
      </w:r>
      <w:r w:rsidRPr="009254C4">
        <w:rPr>
          <w:color w:val="000000"/>
        </w:rPr>
        <w:t>nancials/annual/income-statement&gt; [Accessed 12 January 2021].</w:t>
      </w:r>
    </w:p>
    <w:p w14:paraId="7CAD3356"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 xml:space="preserve">Bierman, H., and Smidt, S., 2010. </w:t>
      </w:r>
      <w:r w:rsidRPr="009254C4">
        <w:rPr>
          <w:i/>
          <w:iCs/>
          <w:color w:val="000000"/>
        </w:rPr>
        <w:t>The Capital Budgeting Decision</w:t>
      </w:r>
      <w:r w:rsidRPr="009254C4">
        <w:rPr>
          <w:color w:val="000000"/>
        </w:rPr>
        <w:t>. Upper Saddle River, N.J.: Prentice-Hall Inc, pp.226-229.</w:t>
      </w:r>
    </w:p>
    <w:p w14:paraId="1B975F48"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Harun, J., 2021. </w:t>
      </w:r>
      <w:r w:rsidRPr="009254C4">
        <w:rPr>
          <w:i/>
          <w:iCs/>
          <w:color w:val="000000"/>
        </w:rPr>
        <w:t>ULVR. U.K. | Unilever PLC Annual Income Statement - WS</w:t>
      </w:r>
      <w:r w:rsidRPr="009254C4">
        <w:rPr>
          <w:i/>
          <w:iCs/>
          <w:color w:val="000000"/>
        </w:rPr>
        <w:t>J</w:t>
      </w:r>
      <w:r w:rsidRPr="009254C4">
        <w:rPr>
          <w:color w:val="000000"/>
        </w:rPr>
        <w:t>. [online] Wsj.com. Available at: &lt;https://www.wsj.com/market-data/quotes/UK/ULVR/financials/annual/income-statement&gt; [Accessed 12 January 2021].</w:t>
      </w:r>
    </w:p>
    <w:p w14:paraId="192F1C82"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Herbst, A., 2013. </w:t>
      </w:r>
      <w:r w:rsidRPr="009254C4">
        <w:rPr>
          <w:i/>
          <w:iCs/>
          <w:color w:val="000000"/>
        </w:rPr>
        <w:t>Capital Asset Investment</w:t>
      </w:r>
      <w:r w:rsidRPr="009254C4">
        <w:rPr>
          <w:color w:val="000000"/>
        </w:rPr>
        <w:t>. 3rd ed. Chichester: John Wiley &amp; Sons, pp.489-491.</w:t>
      </w:r>
    </w:p>
    <w:p w14:paraId="3F65686A"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Higgins, R., 2</w:t>
      </w:r>
      <w:r w:rsidRPr="009254C4">
        <w:rPr>
          <w:color w:val="000000"/>
        </w:rPr>
        <w:t>019. </w:t>
      </w:r>
      <w:r w:rsidRPr="009254C4">
        <w:rPr>
          <w:i/>
          <w:iCs/>
          <w:color w:val="000000"/>
        </w:rPr>
        <w:t xml:space="preserve">Analysis </w:t>
      </w:r>
      <w:proofErr w:type="gramStart"/>
      <w:r w:rsidRPr="009254C4">
        <w:rPr>
          <w:i/>
          <w:iCs/>
          <w:color w:val="000000"/>
        </w:rPr>
        <w:t>For</w:t>
      </w:r>
      <w:proofErr w:type="gramEnd"/>
      <w:r w:rsidRPr="009254C4">
        <w:rPr>
          <w:i/>
          <w:iCs/>
          <w:color w:val="000000"/>
        </w:rPr>
        <w:t xml:space="preserve"> Financial Management</w:t>
      </w:r>
      <w:r w:rsidRPr="009254C4">
        <w:rPr>
          <w:color w:val="000000"/>
        </w:rPr>
        <w:t>. 8th ed. New York: McGraw-Hill Education, p.225.</w:t>
      </w:r>
    </w:p>
    <w:p w14:paraId="30638566"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Jenkinson, N., 2014. </w:t>
      </w:r>
      <w:r w:rsidRPr="009254C4">
        <w:rPr>
          <w:i/>
          <w:iCs/>
          <w:color w:val="000000"/>
        </w:rPr>
        <w:t xml:space="preserve">Investment, Profitability </w:t>
      </w:r>
      <w:proofErr w:type="gramStart"/>
      <w:r w:rsidRPr="009254C4">
        <w:rPr>
          <w:i/>
          <w:iCs/>
          <w:color w:val="000000"/>
        </w:rPr>
        <w:t>And</w:t>
      </w:r>
      <w:proofErr w:type="gramEnd"/>
      <w:r w:rsidRPr="009254C4">
        <w:rPr>
          <w:i/>
          <w:iCs/>
          <w:color w:val="000000"/>
        </w:rPr>
        <w:t xml:space="preserve"> The Valuation Ratio</w:t>
      </w:r>
      <w:r w:rsidRPr="009254C4">
        <w:rPr>
          <w:color w:val="000000"/>
        </w:rPr>
        <w:t>. 13th ed. Ann Arbor, Mich.: University Microfilms International, p.37.</w:t>
      </w:r>
    </w:p>
    <w:p w14:paraId="75015A31"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Martyn, A., 2021. </w:t>
      </w:r>
      <w:r w:rsidRPr="009254C4">
        <w:rPr>
          <w:i/>
          <w:iCs/>
          <w:color w:val="000000"/>
        </w:rPr>
        <w:t xml:space="preserve">Balance </w:t>
      </w:r>
      <w:r w:rsidRPr="009254C4">
        <w:rPr>
          <w:i/>
          <w:iCs/>
          <w:color w:val="000000"/>
        </w:rPr>
        <w:t xml:space="preserve">Solvency Vs. Liquidity </w:t>
      </w:r>
      <w:proofErr w:type="gramStart"/>
      <w:r w:rsidRPr="009254C4">
        <w:rPr>
          <w:i/>
          <w:iCs/>
          <w:color w:val="000000"/>
        </w:rPr>
        <w:t>For</w:t>
      </w:r>
      <w:proofErr w:type="gramEnd"/>
      <w:r w:rsidRPr="009254C4">
        <w:rPr>
          <w:i/>
          <w:iCs/>
          <w:color w:val="000000"/>
        </w:rPr>
        <w:t xml:space="preserve"> Your Business - Pilot Blog</w:t>
      </w:r>
      <w:r w:rsidRPr="009254C4">
        <w:rPr>
          <w:color w:val="000000"/>
        </w:rPr>
        <w:t>. [online] Pilot Blog. Available at: &lt;https://pilot.com/blog/solvency-vs-liquidity/&gt; [Accessed 12 January 2021].</w:t>
      </w:r>
    </w:p>
    <w:p w14:paraId="4FEDF639"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 xml:space="preserve">Octavia, E. and Aidina, E., 2020. The Effect of Profitability Ratio, Liquidity, Ratio and </w:t>
      </w:r>
      <w:r w:rsidRPr="009254C4">
        <w:rPr>
          <w:color w:val="000000"/>
        </w:rPr>
        <w:t>Leverage Ratio to Financial Distress (Studies at Textile and Garment Companies Listed on the Indonesia Stock Exchange 2012-2016). </w:t>
      </w:r>
      <w:r w:rsidRPr="009254C4">
        <w:rPr>
          <w:i/>
          <w:iCs/>
          <w:color w:val="000000"/>
        </w:rPr>
        <w:t>International Journal of Psychosocial Rehabilitation</w:t>
      </w:r>
      <w:r w:rsidRPr="009254C4">
        <w:rPr>
          <w:color w:val="000000"/>
        </w:rPr>
        <w:t>, 24(02), pp.3012-3018.</w:t>
      </w:r>
    </w:p>
    <w:p w14:paraId="770BBC40"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Robinson, T., Henry, E. and Broihahn, M., 2012. </w:t>
      </w:r>
      <w:r w:rsidRPr="009254C4">
        <w:rPr>
          <w:i/>
          <w:iCs/>
          <w:color w:val="000000"/>
        </w:rPr>
        <w:t>In</w:t>
      </w:r>
      <w:r w:rsidRPr="009254C4">
        <w:rPr>
          <w:i/>
          <w:iCs/>
          <w:color w:val="000000"/>
        </w:rPr>
        <w:t>ternational Financial Statement Analysis Workbook</w:t>
      </w:r>
      <w:r w:rsidRPr="009254C4">
        <w:rPr>
          <w:color w:val="000000"/>
        </w:rPr>
        <w:t>. 7th ed. pp.73-76.</w:t>
      </w:r>
    </w:p>
    <w:p w14:paraId="1841D166"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lastRenderedPageBreak/>
        <w:t>Srithon, A., 2017. Capital Budgeting and Management Practices: Smoothing Out Rough Spots in Government Outlays. </w:t>
      </w:r>
      <w:r w:rsidRPr="009254C4">
        <w:rPr>
          <w:i/>
          <w:iCs/>
          <w:color w:val="000000"/>
        </w:rPr>
        <w:t>Public Budgeting &amp; Finance</w:t>
      </w:r>
      <w:r w:rsidRPr="009254C4">
        <w:rPr>
          <w:color w:val="000000"/>
        </w:rPr>
        <w:t>, 38(1), pp.47-71.</w:t>
      </w:r>
    </w:p>
    <w:p w14:paraId="300AEA22"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Strunk, J., 2015. </w:t>
      </w:r>
      <w:r w:rsidRPr="009254C4">
        <w:rPr>
          <w:i/>
          <w:iCs/>
          <w:color w:val="000000"/>
        </w:rPr>
        <w:t>Financial Ra</w:t>
      </w:r>
      <w:r w:rsidRPr="009254C4">
        <w:rPr>
          <w:i/>
          <w:iCs/>
          <w:color w:val="000000"/>
        </w:rPr>
        <w:t>tio Analysis</w:t>
      </w:r>
      <w:r w:rsidRPr="009254C4">
        <w:rPr>
          <w:color w:val="000000"/>
        </w:rPr>
        <w:t>. 4th ed. Ann Arbor, Mich.: Univ. of Mich., p.52.</w:t>
      </w:r>
    </w:p>
    <w:p w14:paraId="2DC4D70B"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Tate, T., 2018. </w:t>
      </w:r>
      <w:r w:rsidRPr="009254C4">
        <w:rPr>
          <w:i/>
          <w:iCs/>
          <w:color w:val="000000"/>
        </w:rPr>
        <w:t>NPV, DCF And The EBQ</w:t>
      </w:r>
      <w:r w:rsidRPr="009254C4">
        <w:rPr>
          <w:color w:val="000000"/>
        </w:rPr>
        <w:t>. 7th ed.</w:t>
      </w:r>
    </w:p>
    <w:p w14:paraId="737A9FC7" w14:textId="77777777" w:rsidR="009254C4" w:rsidRP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Valand, P., 2011. An Emparical Study of Ratio Analysis. 2(1), pp.19-20.</w:t>
      </w:r>
    </w:p>
    <w:p w14:paraId="42508CE1" w14:textId="77777777" w:rsidR="009254C4" w:rsidRDefault="00313C6B" w:rsidP="009254C4">
      <w:pPr>
        <w:pStyle w:val="NormalWeb"/>
        <w:spacing w:before="0" w:beforeAutospacing="0" w:after="180" w:afterAutospacing="0" w:line="360" w:lineRule="auto"/>
        <w:ind w:left="450" w:hanging="450"/>
        <w:jc w:val="both"/>
        <w:rPr>
          <w:color w:val="000000"/>
        </w:rPr>
      </w:pPr>
      <w:r w:rsidRPr="009254C4">
        <w:rPr>
          <w:color w:val="000000"/>
        </w:rPr>
        <w:t>Wahlen, J., Bradshaw, M. and Baginski, S., 2019. </w:t>
      </w:r>
      <w:r w:rsidRPr="009254C4">
        <w:rPr>
          <w:i/>
          <w:iCs/>
          <w:color w:val="000000"/>
        </w:rPr>
        <w:t>Financial Reporting, Financ</w:t>
      </w:r>
      <w:r w:rsidRPr="009254C4">
        <w:rPr>
          <w:i/>
          <w:iCs/>
          <w:color w:val="000000"/>
        </w:rPr>
        <w:t>ial Statement Analysis, And Valuation</w:t>
      </w:r>
      <w:r w:rsidRPr="009254C4">
        <w:rPr>
          <w:color w:val="000000"/>
        </w:rPr>
        <w:t>. 3rd ed. pp.451-460.</w:t>
      </w:r>
    </w:p>
    <w:p w14:paraId="273969AF" w14:textId="77777777" w:rsidR="009254C4" w:rsidRPr="00FB5261" w:rsidRDefault="009254C4" w:rsidP="00FB5261">
      <w:pPr>
        <w:spacing w:line="360" w:lineRule="auto"/>
        <w:rPr>
          <w:rFonts w:cs="Times New Roman"/>
          <w:szCs w:val="24"/>
        </w:rPr>
      </w:pPr>
    </w:p>
    <w:p w14:paraId="60981F29" w14:textId="77777777" w:rsidR="004E5CC2" w:rsidRPr="00FB5261" w:rsidRDefault="004E5CC2" w:rsidP="00FB5261">
      <w:pPr>
        <w:tabs>
          <w:tab w:val="left" w:pos="1695"/>
        </w:tabs>
        <w:spacing w:line="360" w:lineRule="auto"/>
        <w:rPr>
          <w:rFonts w:eastAsiaTheme="minorEastAsia" w:cs="Times New Roman"/>
          <w:szCs w:val="24"/>
        </w:rPr>
      </w:pPr>
    </w:p>
    <w:sectPr w:rsidR="004E5CC2" w:rsidRPr="00FB5261" w:rsidSect="0081041C">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32E105" w14:textId="77777777" w:rsidR="00000000" w:rsidRDefault="00313C6B">
      <w:pPr>
        <w:spacing w:after="0" w:line="240" w:lineRule="auto"/>
      </w:pPr>
      <w:r>
        <w:separator/>
      </w:r>
    </w:p>
  </w:endnote>
  <w:endnote w:type="continuationSeparator" w:id="0">
    <w:p w14:paraId="5BA6A438" w14:textId="77777777" w:rsidR="00000000" w:rsidRDefault="00313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3012642"/>
      <w:docPartObj>
        <w:docPartGallery w:val="Page Numbers (Bottom of Page)"/>
        <w:docPartUnique/>
      </w:docPartObj>
    </w:sdtPr>
    <w:sdtEndPr>
      <w:rPr>
        <w:noProof/>
      </w:rPr>
    </w:sdtEndPr>
    <w:sdtContent>
      <w:p w14:paraId="742ECC9F" w14:textId="0C90B4CA" w:rsidR="00CF1DF7" w:rsidRDefault="00313C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4890F6" w14:textId="35EE2867" w:rsidR="005C2B36" w:rsidRDefault="005C2B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219157" w14:textId="77777777" w:rsidR="00000000" w:rsidRDefault="00313C6B">
      <w:pPr>
        <w:spacing w:after="0" w:line="240" w:lineRule="auto"/>
      </w:pPr>
      <w:r>
        <w:separator/>
      </w:r>
    </w:p>
  </w:footnote>
  <w:footnote w:type="continuationSeparator" w:id="0">
    <w:p w14:paraId="0723F3AC" w14:textId="77777777" w:rsidR="00000000" w:rsidRDefault="00313C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EwNzCwNDG3NDU1MjNR0lEKTi0uzszPAykwqgUA8BZ9GSwAAAA="/>
  </w:docVars>
  <w:rsids>
    <w:rsidRoot w:val="00CF6B77"/>
    <w:rsid w:val="000000B1"/>
    <w:rsid w:val="00027990"/>
    <w:rsid w:val="000721D4"/>
    <w:rsid w:val="0008561F"/>
    <w:rsid w:val="00087985"/>
    <w:rsid w:val="00092F7F"/>
    <w:rsid w:val="00094DC0"/>
    <w:rsid w:val="0009504E"/>
    <w:rsid w:val="000A421A"/>
    <w:rsid w:val="000B2C6C"/>
    <w:rsid w:val="000B73C1"/>
    <w:rsid w:val="000C53FB"/>
    <w:rsid w:val="000E2E86"/>
    <w:rsid w:val="00110BE5"/>
    <w:rsid w:val="00126944"/>
    <w:rsid w:val="00144BC0"/>
    <w:rsid w:val="001A47DB"/>
    <w:rsid w:val="001B49DC"/>
    <w:rsid w:val="001C40E4"/>
    <w:rsid w:val="001D2E14"/>
    <w:rsid w:val="001F46DF"/>
    <w:rsid w:val="00203A96"/>
    <w:rsid w:val="002074E2"/>
    <w:rsid w:val="00227E0B"/>
    <w:rsid w:val="00232704"/>
    <w:rsid w:val="00246195"/>
    <w:rsid w:val="00252394"/>
    <w:rsid w:val="00271B75"/>
    <w:rsid w:val="002A1477"/>
    <w:rsid w:val="002D1220"/>
    <w:rsid w:val="002E0814"/>
    <w:rsid w:val="002E18F2"/>
    <w:rsid w:val="002F20AB"/>
    <w:rsid w:val="00304AE7"/>
    <w:rsid w:val="00313C6B"/>
    <w:rsid w:val="00327C6E"/>
    <w:rsid w:val="0035136E"/>
    <w:rsid w:val="00365CD6"/>
    <w:rsid w:val="00385A7E"/>
    <w:rsid w:val="003907C8"/>
    <w:rsid w:val="003959F3"/>
    <w:rsid w:val="003A19CE"/>
    <w:rsid w:val="003A4C88"/>
    <w:rsid w:val="003B6F1B"/>
    <w:rsid w:val="003D66DF"/>
    <w:rsid w:val="0040210E"/>
    <w:rsid w:val="00411DB1"/>
    <w:rsid w:val="00425AB9"/>
    <w:rsid w:val="004548C1"/>
    <w:rsid w:val="004E360D"/>
    <w:rsid w:val="004E5CC2"/>
    <w:rsid w:val="005143EE"/>
    <w:rsid w:val="00557985"/>
    <w:rsid w:val="00580F7D"/>
    <w:rsid w:val="005B77FB"/>
    <w:rsid w:val="005C2B36"/>
    <w:rsid w:val="005D0274"/>
    <w:rsid w:val="00607F5F"/>
    <w:rsid w:val="0066680F"/>
    <w:rsid w:val="00676B7B"/>
    <w:rsid w:val="00686C1F"/>
    <w:rsid w:val="0069483E"/>
    <w:rsid w:val="006C4D70"/>
    <w:rsid w:val="006F508A"/>
    <w:rsid w:val="006F7A46"/>
    <w:rsid w:val="00767D63"/>
    <w:rsid w:val="007C5028"/>
    <w:rsid w:val="007D4142"/>
    <w:rsid w:val="007E0371"/>
    <w:rsid w:val="007F30A9"/>
    <w:rsid w:val="0081041C"/>
    <w:rsid w:val="00814872"/>
    <w:rsid w:val="0082468B"/>
    <w:rsid w:val="00841723"/>
    <w:rsid w:val="00852C49"/>
    <w:rsid w:val="00892CEB"/>
    <w:rsid w:val="00895262"/>
    <w:rsid w:val="008B271B"/>
    <w:rsid w:val="008B77BD"/>
    <w:rsid w:val="008E1451"/>
    <w:rsid w:val="00904ED1"/>
    <w:rsid w:val="00907F39"/>
    <w:rsid w:val="00915E37"/>
    <w:rsid w:val="009254C4"/>
    <w:rsid w:val="0094153A"/>
    <w:rsid w:val="009905DF"/>
    <w:rsid w:val="00992583"/>
    <w:rsid w:val="009C0618"/>
    <w:rsid w:val="009E4B21"/>
    <w:rsid w:val="00A0145D"/>
    <w:rsid w:val="00A2056C"/>
    <w:rsid w:val="00A66599"/>
    <w:rsid w:val="00A862ED"/>
    <w:rsid w:val="00AA05A3"/>
    <w:rsid w:val="00AA3F48"/>
    <w:rsid w:val="00AE7255"/>
    <w:rsid w:val="00AF0A0C"/>
    <w:rsid w:val="00B044EE"/>
    <w:rsid w:val="00B12BEB"/>
    <w:rsid w:val="00B51816"/>
    <w:rsid w:val="00B976A1"/>
    <w:rsid w:val="00BD2FB1"/>
    <w:rsid w:val="00BD34E1"/>
    <w:rsid w:val="00BD4160"/>
    <w:rsid w:val="00C12DF4"/>
    <w:rsid w:val="00C357A9"/>
    <w:rsid w:val="00C43455"/>
    <w:rsid w:val="00C51649"/>
    <w:rsid w:val="00C51EC9"/>
    <w:rsid w:val="00C657AE"/>
    <w:rsid w:val="00C9662F"/>
    <w:rsid w:val="00CF1DF7"/>
    <w:rsid w:val="00CF6B77"/>
    <w:rsid w:val="00CF7E4D"/>
    <w:rsid w:val="00D02623"/>
    <w:rsid w:val="00D35E68"/>
    <w:rsid w:val="00D40A89"/>
    <w:rsid w:val="00D44ED2"/>
    <w:rsid w:val="00DB6FEB"/>
    <w:rsid w:val="00DC690A"/>
    <w:rsid w:val="00DE24E4"/>
    <w:rsid w:val="00DF62C3"/>
    <w:rsid w:val="00E01D44"/>
    <w:rsid w:val="00E025A5"/>
    <w:rsid w:val="00E0496B"/>
    <w:rsid w:val="00E137EE"/>
    <w:rsid w:val="00E22410"/>
    <w:rsid w:val="00E534C5"/>
    <w:rsid w:val="00E85B62"/>
    <w:rsid w:val="00EA2885"/>
    <w:rsid w:val="00EA6A02"/>
    <w:rsid w:val="00ED303D"/>
    <w:rsid w:val="00F0577E"/>
    <w:rsid w:val="00F745B5"/>
    <w:rsid w:val="00F81DA1"/>
    <w:rsid w:val="00F824D7"/>
    <w:rsid w:val="00F93B9D"/>
    <w:rsid w:val="00F94BEC"/>
    <w:rsid w:val="00FB5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8CAAE50"/>
  <w15:chartTrackingRefBased/>
  <w15:docId w15:val="{CDEADB00-5C9D-44EC-B630-9246C0165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18F2"/>
    <w:pPr>
      <w:jc w:val="both"/>
    </w:pPr>
    <w:rPr>
      <w:rFonts w:ascii="Times New Roman" w:hAnsi="Times New Roman"/>
      <w:sz w:val="24"/>
      <w:lang w:val="en-GB"/>
    </w:rPr>
  </w:style>
  <w:style w:type="paragraph" w:styleId="Heading1">
    <w:name w:val="heading 1"/>
    <w:basedOn w:val="Normal"/>
    <w:next w:val="Normal"/>
    <w:link w:val="Heading1Char"/>
    <w:uiPriority w:val="9"/>
    <w:qFormat/>
    <w:rsid w:val="00AA3F48"/>
    <w:pPr>
      <w:keepNext/>
      <w:keepLines/>
      <w:spacing w:before="240" w:after="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A3F48"/>
    <w:pPr>
      <w:keepNext/>
      <w:keepLines/>
      <w:spacing w:before="40" w:after="0" w:line="360" w:lineRule="auto"/>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25AB9"/>
    <w:pPr>
      <w:keepNext/>
      <w:keepLines/>
      <w:spacing w:before="40" w:after="0" w:line="36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F4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A3F48"/>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AA3F48"/>
    <w:pPr>
      <w:spacing w:after="0" w:line="36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AA3F48"/>
    <w:rPr>
      <w:rFonts w:ascii="Times New Roman" w:eastAsiaTheme="majorEastAsia" w:hAnsi="Times New Roman" w:cstheme="majorBidi"/>
      <w:b/>
      <w:spacing w:val="-10"/>
      <w:kern w:val="28"/>
      <w:sz w:val="24"/>
      <w:szCs w:val="56"/>
    </w:rPr>
  </w:style>
  <w:style w:type="character" w:customStyle="1" w:styleId="Heading3Char">
    <w:name w:val="Heading 3 Char"/>
    <w:basedOn w:val="DefaultParagraphFont"/>
    <w:link w:val="Heading3"/>
    <w:uiPriority w:val="9"/>
    <w:rsid w:val="00425AB9"/>
    <w:rPr>
      <w:rFonts w:ascii="Times New Roman" w:eastAsiaTheme="majorEastAsia" w:hAnsi="Times New Roman" w:cstheme="majorBidi"/>
      <w:b/>
      <w:sz w:val="24"/>
      <w:szCs w:val="24"/>
    </w:rPr>
  </w:style>
  <w:style w:type="table" w:styleId="TableGrid">
    <w:name w:val="Table Grid"/>
    <w:basedOn w:val="TableNormal"/>
    <w:uiPriority w:val="39"/>
    <w:rsid w:val="00F93B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44ED2"/>
    <w:rPr>
      <w:b/>
      <w:bCs/>
    </w:rPr>
  </w:style>
  <w:style w:type="paragraph" w:styleId="Header">
    <w:name w:val="header"/>
    <w:basedOn w:val="Normal"/>
    <w:link w:val="HeaderChar"/>
    <w:uiPriority w:val="99"/>
    <w:unhideWhenUsed/>
    <w:rsid w:val="006948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483E"/>
    <w:rPr>
      <w:rFonts w:ascii="Times New Roman" w:hAnsi="Times New Roman"/>
      <w:sz w:val="24"/>
      <w:lang w:val="en-GB"/>
    </w:rPr>
  </w:style>
  <w:style w:type="paragraph" w:styleId="Footer">
    <w:name w:val="footer"/>
    <w:basedOn w:val="Normal"/>
    <w:link w:val="FooterChar"/>
    <w:uiPriority w:val="99"/>
    <w:unhideWhenUsed/>
    <w:rsid w:val="006948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483E"/>
    <w:rPr>
      <w:rFonts w:ascii="Times New Roman" w:hAnsi="Times New Roman"/>
      <w:sz w:val="24"/>
      <w:lang w:val="en-GB"/>
    </w:rPr>
  </w:style>
  <w:style w:type="paragraph" w:styleId="TOCHeading">
    <w:name w:val="TOC Heading"/>
    <w:basedOn w:val="Heading1"/>
    <w:next w:val="Normal"/>
    <w:uiPriority w:val="39"/>
    <w:unhideWhenUsed/>
    <w:qFormat/>
    <w:rsid w:val="00EA6A0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A6A02"/>
    <w:pPr>
      <w:spacing w:after="100"/>
    </w:pPr>
  </w:style>
  <w:style w:type="paragraph" w:styleId="TOC2">
    <w:name w:val="toc 2"/>
    <w:basedOn w:val="Normal"/>
    <w:next w:val="Normal"/>
    <w:autoRedefine/>
    <w:uiPriority w:val="39"/>
    <w:unhideWhenUsed/>
    <w:rsid w:val="00EA6A02"/>
    <w:pPr>
      <w:spacing w:after="100"/>
      <w:ind w:left="240"/>
    </w:pPr>
  </w:style>
  <w:style w:type="paragraph" w:styleId="TOC3">
    <w:name w:val="toc 3"/>
    <w:basedOn w:val="Normal"/>
    <w:next w:val="Normal"/>
    <w:autoRedefine/>
    <w:uiPriority w:val="39"/>
    <w:unhideWhenUsed/>
    <w:rsid w:val="00EA6A02"/>
    <w:pPr>
      <w:spacing w:after="100"/>
      <w:ind w:left="480"/>
    </w:pPr>
  </w:style>
  <w:style w:type="character" w:styleId="Hyperlink">
    <w:name w:val="Hyperlink"/>
    <w:basedOn w:val="DefaultParagraphFont"/>
    <w:uiPriority w:val="99"/>
    <w:unhideWhenUsed/>
    <w:rsid w:val="00EA6A02"/>
    <w:rPr>
      <w:color w:val="0563C1" w:themeColor="hyperlink"/>
      <w:u w:val="single"/>
    </w:rPr>
  </w:style>
  <w:style w:type="paragraph" w:styleId="NormalWeb">
    <w:name w:val="Normal (Web)"/>
    <w:basedOn w:val="Normal"/>
    <w:uiPriority w:val="99"/>
    <w:semiHidden/>
    <w:unhideWhenUsed/>
    <w:rsid w:val="009254C4"/>
    <w:pPr>
      <w:spacing w:before="100" w:beforeAutospacing="1" w:after="100" w:afterAutospacing="1" w:line="240" w:lineRule="auto"/>
      <w:jc w:val="left"/>
    </w:pPr>
    <w:rPr>
      <w:rFonts w:eastAsia="Times New Roman" w:cs="Times New Roman"/>
      <w:szCs w:val="24"/>
      <w:lang w:val="en-US"/>
    </w:rPr>
  </w:style>
  <w:style w:type="paragraph" w:styleId="NoSpacing">
    <w:name w:val="No Spacing"/>
    <w:link w:val="NoSpacingChar"/>
    <w:uiPriority w:val="1"/>
    <w:qFormat/>
    <w:rsid w:val="0081041C"/>
    <w:pPr>
      <w:spacing w:after="0" w:line="240" w:lineRule="auto"/>
    </w:pPr>
    <w:rPr>
      <w:rFonts w:eastAsiaTheme="minorEastAsia"/>
    </w:rPr>
  </w:style>
  <w:style w:type="character" w:customStyle="1" w:styleId="NoSpacingChar">
    <w:name w:val="No Spacing Char"/>
    <w:basedOn w:val="DefaultParagraphFont"/>
    <w:link w:val="NoSpacing"/>
    <w:uiPriority w:val="1"/>
    <w:rsid w:val="0081041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81CF1D-309A-1648-A311-DAA6654AEF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25</Pages>
  <Words>5371</Words>
  <Characters>30615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Junayet Hossain</dc:creator>
  <cp:lastModifiedBy>Petya Slaveva (2014035)</cp:lastModifiedBy>
  <cp:revision>17</cp:revision>
  <dcterms:created xsi:type="dcterms:W3CDTF">2021-01-13T18:24:00Z</dcterms:created>
  <dcterms:modified xsi:type="dcterms:W3CDTF">2021-01-13T18:42:00Z</dcterms:modified>
</cp:coreProperties>
</file>