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emf" /><Relationship Id="rId1" Type="http://schemas.openxmlformats.org/officeDocument/2006/relationships/officeDocument" Target="word/document.xml" /><Relationship Id="rId5" Type="http://schemas.openxmlformats.org/officeDocument/2006/relationships/custom-properties" Target="docProps/custom.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77B78" w:rsidRDefault="00F77B78" w:rsidP="00F77B78">
      <w:pPr>
        <w:pStyle w:val="PreformattedText"/>
        <w:jc w:val="center"/>
        <w:rPr>
          <w:rFonts w:ascii="open sansregular" w:eastAsia="open sansregular" w:hAnsi="open sansregular" w:cs="open sansregular"/>
          <w:b/>
          <w:bCs/>
          <w:color w:val="333333"/>
          <w:sz w:val="32"/>
          <w:szCs w:val="32"/>
        </w:rPr>
      </w:pPr>
    </w:p>
    <w:p w:rsidR="00F77B78" w:rsidRDefault="00F77B78" w:rsidP="00F77B78">
      <w:pPr>
        <w:pStyle w:val="PreformattedText"/>
        <w:jc w:val="center"/>
        <w:rPr>
          <w:rFonts w:ascii="open sansregular" w:eastAsia="open sansregular" w:hAnsi="open sansregular" w:cs="open sansregular"/>
          <w:b/>
          <w:bCs/>
          <w:color w:val="333333"/>
          <w:sz w:val="32"/>
          <w:szCs w:val="32"/>
        </w:rPr>
      </w:pPr>
    </w:p>
    <w:p w:rsidR="001137B3" w:rsidRPr="00832C69" w:rsidRDefault="001137B3" w:rsidP="00BA23FD">
      <w:pPr>
        <w:pStyle w:val="PreformattedText"/>
        <w:rPr>
          <w:rFonts w:ascii="Times New Roman" w:hAnsi="Times New Roman" w:cs="Times New Roman"/>
          <w:b/>
          <w:bCs/>
          <w:sz w:val="32"/>
          <w:szCs w:val="32"/>
        </w:rPr>
      </w:pPr>
    </w:p>
    <w:p w:rsidR="000A334E" w:rsidRDefault="008349E3" w:rsidP="008D0EA2">
      <w:pPr>
        <w:pStyle w:val="NoSpacing"/>
        <w:jc w:val="center"/>
        <w:rPr>
          <w:rFonts w:ascii="Times New Roman" w:hAnsi="Times New Roman" w:cs="Times New Roman"/>
          <w:b/>
          <w:bCs/>
          <w:i/>
          <w:iCs/>
          <w:color w:val="333333"/>
          <w:sz w:val="96"/>
          <w:szCs w:val="96"/>
          <w:u w:val="single"/>
        </w:rPr>
      </w:pPr>
      <w:r>
        <w:rPr>
          <w:rFonts w:ascii="Times New Roman" w:hAnsi="Times New Roman" w:cs="Times New Roman"/>
          <w:b/>
          <w:bCs/>
          <w:i/>
          <w:iCs/>
          <w:color w:val="333333"/>
          <w:sz w:val="96"/>
          <w:szCs w:val="96"/>
          <w:u w:val="single"/>
        </w:rPr>
        <w:t>Financial Management</w:t>
      </w:r>
    </w:p>
    <w:p w:rsidR="000A334E" w:rsidRDefault="000A334E">
      <w:pPr>
        <w:pStyle w:val="NoSpacing"/>
        <w:jc w:val="right"/>
        <w:rPr>
          <w:rFonts w:ascii="Times New Roman" w:hAnsi="Times New Roman" w:cs="Times New Roman"/>
          <w:sz w:val="96"/>
          <w:szCs w:val="96"/>
        </w:rPr>
      </w:pPr>
    </w:p>
    <w:p w:rsidR="000A334E" w:rsidRDefault="000A334E">
      <w:pPr>
        <w:pStyle w:val="NoSpacing"/>
        <w:jc w:val="right"/>
        <w:rPr>
          <w:rFonts w:ascii="Times New Roman" w:hAnsi="Times New Roman" w:cs="Times New Roman"/>
          <w:sz w:val="96"/>
          <w:szCs w:val="96"/>
        </w:rPr>
      </w:pPr>
    </w:p>
    <w:p w:rsidR="005222D9" w:rsidRPr="00832C69" w:rsidRDefault="005222D9" w:rsidP="002E3DC3">
      <w:pPr>
        <w:pStyle w:val="PreformattedText"/>
        <w:jc w:val="center"/>
        <w:rPr>
          <w:rFonts w:ascii="open sansregular" w:eastAsia="open sansregular" w:hAnsi="open sansregular" w:cs="open sansregular"/>
          <w:b/>
          <w:bCs/>
          <w:color w:val="333333"/>
          <w:sz w:val="32"/>
          <w:szCs w:val="32"/>
        </w:rPr>
      </w:pPr>
      <w:r w:rsidRPr="00832C69">
        <w:rPr>
          <w:rFonts w:ascii="open sansregular" w:eastAsia="open sansregular" w:hAnsi="open sansregular" w:cs="open sansregular"/>
          <w:b/>
          <w:bCs/>
          <w:color w:val="333333"/>
          <w:sz w:val="32"/>
          <w:szCs w:val="32"/>
        </w:rPr>
        <w:t xml:space="preserve">Lecturer: Dale </w:t>
      </w:r>
      <w:proofErr w:type="spellStart"/>
      <w:r w:rsidRPr="00832C69">
        <w:rPr>
          <w:rFonts w:ascii="open sansregular" w:eastAsia="open sansregular" w:hAnsi="open sansregular" w:cs="open sansregular"/>
          <w:b/>
          <w:bCs/>
          <w:color w:val="333333"/>
          <w:sz w:val="32"/>
          <w:szCs w:val="32"/>
        </w:rPr>
        <w:t>clarke</w:t>
      </w:r>
      <w:proofErr w:type="spellEnd"/>
    </w:p>
    <w:p w:rsidR="005222D9" w:rsidRPr="00832C69" w:rsidRDefault="005222D9" w:rsidP="002E3DC3">
      <w:pPr>
        <w:pStyle w:val="PreformattedText"/>
        <w:jc w:val="center"/>
        <w:rPr>
          <w:rFonts w:ascii="open sansregular" w:eastAsia="open sansregular" w:hAnsi="open sansregular" w:cs="open sansregular"/>
          <w:b/>
          <w:bCs/>
          <w:color w:val="333333"/>
          <w:sz w:val="32"/>
          <w:szCs w:val="32"/>
        </w:rPr>
      </w:pPr>
      <w:r w:rsidRPr="00832C69">
        <w:rPr>
          <w:rFonts w:ascii="open sansregular" w:eastAsia="open sansregular" w:hAnsi="open sansregular" w:cs="open sansregular"/>
          <w:b/>
          <w:bCs/>
          <w:color w:val="333333"/>
          <w:sz w:val="32"/>
          <w:szCs w:val="32"/>
        </w:rPr>
        <w:t xml:space="preserve">Student Name: </w:t>
      </w:r>
      <w:proofErr w:type="spellStart"/>
      <w:r w:rsidRPr="00832C69">
        <w:rPr>
          <w:rFonts w:ascii="open sansregular" w:eastAsia="open sansregular" w:hAnsi="open sansregular" w:cs="open sansregular"/>
          <w:b/>
          <w:bCs/>
          <w:color w:val="333333"/>
          <w:sz w:val="32"/>
          <w:szCs w:val="32"/>
        </w:rPr>
        <w:t>Humaun</w:t>
      </w:r>
      <w:proofErr w:type="spellEnd"/>
      <w:r w:rsidRPr="00832C69">
        <w:rPr>
          <w:rFonts w:ascii="open sansregular" w:eastAsia="open sansregular" w:hAnsi="open sansregular" w:cs="open sansregular"/>
          <w:b/>
          <w:bCs/>
          <w:color w:val="333333"/>
          <w:sz w:val="32"/>
          <w:szCs w:val="32"/>
        </w:rPr>
        <w:t xml:space="preserve"> </w:t>
      </w:r>
      <w:proofErr w:type="spellStart"/>
      <w:r w:rsidRPr="00832C69">
        <w:rPr>
          <w:rFonts w:ascii="open sansregular" w:eastAsia="open sansregular" w:hAnsi="open sansregular" w:cs="open sansregular"/>
          <w:b/>
          <w:bCs/>
          <w:color w:val="333333"/>
          <w:sz w:val="32"/>
          <w:szCs w:val="32"/>
        </w:rPr>
        <w:t>kabir</w:t>
      </w:r>
      <w:proofErr w:type="spellEnd"/>
      <w:r w:rsidRPr="00832C69">
        <w:rPr>
          <w:rFonts w:ascii="open sansregular" w:eastAsia="open sansregular" w:hAnsi="open sansregular" w:cs="open sansregular"/>
          <w:b/>
          <w:bCs/>
          <w:color w:val="333333"/>
          <w:sz w:val="32"/>
          <w:szCs w:val="32"/>
        </w:rPr>
        <w:t xml:space="preserve"> (2019842)</w:t>
      </w:r>
    </w:p>
    <w:p w:rsidR="000A334E" w:rsidRDefault="000A334E">
      <w:pPr>
        <w:pStyle w:val="Standard"/>
        <w:jc w:val="center"/>
        <w:rPr>
          <w:rFonts w:ascii="Times" w:hAnsi="Times" w:cs="Times"/>
          <w:b/>
          <w:bCs/>
          <w:sz w:val="72"/>
          <w:szCs w:val="72"/>
        </w:rPr>
      </w:pPr>
    </w:p>
    <w:p w:rsidR="000A334E" w:rsidRDefault="008349E3">
      <w:pPr>
        <w:pStyle w:val="ContentsHeading"/>
        <w:pageBreakBefore/>
        <w:outlineLvl w:val="9"/>
      </w:pPr>
      <w:r>
        <w:lastRenderedPageBreak/>
        <w:t>Contents</w:t>
      </w:r>
    </w:p>
    <w:p w:rsidR="000A334E" w:rsidRDefault="008349E3">
      <w:pPr>
        <w:pStyle w:val="Contents1"/>
      </w:pPr>
      <w:r>
        <w:rPr>
          <w:rFonts w:ascii="Calibri Light" w:eastAsia="Times New Roman" w:hAnsi="Calibri Light" w:cs="Times New Roman"/>
          <w:color w:val="2E74B5"/>
          <w:sz w:val="32"/>
          <w:szCs w:val="32"/>
          <w:lang w:val="en-US"/>
        </w:rPr>
        <w:fldChar w:fldCharType="begin"/>
      </w:r>
      <w:r>
        <w:instrText xml:space="preserve"> TOC \o "1-3" \u \h </w:instrText>
      </w:r>
      <w:r>
        <w:rPr>
          <w:rFonts w:ascii="Calibri Light" w:eastAsia="Times New Roman" w:hAnsi="Calibri Light" w:cs="Times New Roman"/>
          <w:color w:val="2E74B5"/>
          <w:sz w:val="32"/>
          <w:szCs w:val="32"/>
          <w:lang w:val="en-US"/>
        </w:rPr>
        <w:fldChar w:fldCharType="separate"/>
      </w:r>
      <w:hyperlink w:anchor="__RefHeading__55005_154773378" w:history="1">
        <w:r>
          <w:t>Executive summary</w:t>
        </w:r>
        <w:r>
          <w:tab/>
          <w:t>3</w:t>
        </w:r>
      </w:hyperlink>
    </w:p>
    <w:p w:rsidR="000A334E" w:rsidRDefault="00CE2B7F">
      <w:pPr>
        <w:pStyle w:val="Contents1"/>
      </w:pPr>
      <w:hyperlink w:anchor="__RefHeading__55007_154773378" w:history="1">
        <w:r w:rsidR="008349E3">
          <w:t>INTRODUCTION</w:t>
        </w:r>
        <w:r w:rsidR="008349E3">
          <w:tab/>
          <w:t>3</w:t>
        </w:r>
      </w:hyperlink>
    </w:p>
    <w:p w:rsidR="000A334E" w:rsidRDefault="00CE2B7F">
      <w:pPr>
        <w:pStyle w:val="Contents1"/>
      </w:pPr>
      <w:hyperlink w:anchor="__RefHeading__55009_154773378" w:history="1">
        <w:r w:rsidR="008349E3">
          <w:t>Overview of the Companies</w:t>
        </w:r>
        <w:r w:rsidR="008349E3">
          <w:tab/>
          <w:t>3</w:t>
        </w:r>
      </w:hyperlink>
    </w:p>
    <w:p w:rsidR="000A334E" w:rsidRDefault="00CE2B7F">
      <w:pPr>
        <w:pStyle w:val="Contents1"/>
      </w:pPr>
      <w:hyperlink w:anchor="__RefHeading__55011_154773378" w:history="1">
        <w:r w:rsidR="008349E3">
          <w:t xml:space="preserve">Total Revenue </w:t>
        </w:r>
        <w:r w:rsidR="008349E3">
          <w:tab/>
          <w:t>4</w:t>
        </w:r>
      </w:hyperlink>
    </w:p>
    <w:p w:rsidR="000A334E" w:rsidRDefault="00CE2B7F">
      <w:pPr>
        <w:pStyle w:val="Contents1"/>
      </w:pPr>
      <w:hyperlink w:anchor="__RefHeading__55013_154773378" w:history="1">
        <w:r w:rsidR="008349E3">
          <w:t>Market Position</w:t>
        </w:r>
        <w:r w:rsidR="008349E3">
          <w:tab/>
          <w:t>6</w:t>
        </w:r>
      </w:hyperlink>
    </w:p>
    <w:p w:rsidR="000A334E" w:rsidRDefault="00CE2B7F">
      <w:pPr>
        <w:pStyle w:val="Contents1"/>
      </w:pPr>
      <w:hyperlink w:anchor="__RefHeading__55078_154773378" w:history="1">
        <w:r w:rsidR="008349E3">
          <w:t xml:space="preserve">Financial Commitment to CSR  </w:t>
        </w:r>
        <w:r w:rsidR="008349E3">
          <w:tab/>
          <w:t>8</w:t>
        </w:r>
      </w:hyperlink>
    </w:p>
    <w:p w:rsidR="000A334E" w:rsidRDefault="00CE2B7F">
      <w:pPr>
        <w:pStyle w:val="Contents1"/>
      </w:pPr>
      <w:hyperlink w:anchor="__RefHeading__55015_154773378" w:history="1">
        <w:r w:rsidR="008349E3">
          <w:t>Recommendations</w:t>
        </w:r>
        <w:r w:rsidR="008349E3">
          <w:tab/>
          <w:t>9</w:t>
        </w:r>
      </w:hyperlink>
    </w:p>
    <w:p w:rsidR="000A334E" w:rsidRDefault="00CE2B7F">
      <w:pPr>
        <w:pStyle w:val="Contents1"/>
      </w:pPr>
      <w:hyperlink w:anchor="__RefHeading___Toc111545781" w:history="1">
        <w:r w:rsidR="008349E3">
          <w:t>CONCLUSION</w:t>
        </w:r>
        <w:r w:rsidR="008349E3">
          <w:tab/>
          <w:t>9</w:t>
        </w:r>
      </w:hyperlink>
    </w:p>
    <w:p w:rsidR="000A334E" w:rsidRDefault="00CE2B7F">
      <w:pPr>
        <w:pStyle w:val="Contents1"/>
      </w:pPr>
      <w:hyperlink w:anchor="__RefHeading___Toc111545782" w:history="1">
        <w:r w:rsidR="008349E3">
          <w:t>REFERENCES</w:t>
        </w:r>
        <w:r w:rsidR="008349E3">
          <w:tab/>
          <w:t>11</w:t>
        </w:r>
      </w:hyperlink>
    </w:p>
    <w:p w:rsidR="000A334E" w:rsidRDefault="008349E3">
      <w:pPr>
        <w:pStyle w:val="Standard"/>
      </w:pPr>
      <w:r>
        <w:rPr>
          <w:rFonts w:cs="DejaVu Sans"/>
        </w:rPr>
        <w:fldChar w:fldCharType="end"/>
      </w:r>
      <w:hyperlink w:anchor="__RefHeading___Toc111545779" w:history="1"/>
    </w:p>
    <w:p w:rsidR="000A334E" w:rsidRDefault="008349E3">
      <w:pPr>
        <w:pStyle w:val="Heading1"/>
        <w:pageBreakBefore/>
      </w:pPr>
      <w:bookmarkStart w:id="0" w:name="__RefHeading__55005_154773378"/>
      <w:r>
        <w:rPr>
          <w:rFonts w:cs="Arial"/>
        </w:rPr>
        <w:lastRenderedPageBreak/>
        <w:t>Executive summary</w:t>
      </w:r>
      <w:bookmarkEnd w:id="0"/>
    </w:p>
    <w:p w:rsidR="000A334E" w:rsidRDefault="008349E3">
      <w:pPr>
        <w:pStyle w:val="Textbody"/>
      </w:pPr>
      <w:r>
        <w:rPr>
          <w:rFonts w:cs="Arial"/>
        </w:rPr>
        <w:t xml:space="preserve">This paper gives the insight upon the hospitality industries and their financial management structure. In this report , comparison about the two hotels are defined in it on the basis of their financial strength, efficiency, and also on other areas. In this report , the chosen hotels are </w:t>
      </w:r>
      <w:proofErr w:type="spellStart"/>
      <w:r>
        <w:rPr>
          <w:rFonts w:cs="Arial"/>
        </w:rPr>
        <w:t>Hilston</w:t>
      </w:r>
      <w:proofErr w:type="spellEnd"/>
      <w:r>
        <w:rPr>
          <w:rFonts w:cs="Arial"/>
        </w:rPr>
        <w:t xml:space="preserve"> and Hyatt on which overall report is based.</w:t>
      </w:r>
    </w:p>
    <w:p w:rsidR="000A334E" w:rsidRDefault="008349E3">
      <w:pPr>
        <w:pStyle w:val="Heading1"/>
      </w:pPr>
      <w:bookmarkStart w:id="1" w:name="__RefHeading__55007_154773378"/>
      <w:r>
        <w:t>INTRODUCTION</w:t>
      </w:r>
      <w:bookmarkEnd w:id="1"/>
    </w:p>
    <w:p w:rsidR="000A334E" w:rsidRDefault="008349E3">
      <w:pPr>
        <w:pStyle w:val="Textbody"/>
      </w:pPr>
      <w:r>
        <w:t>The main goal of this report is to gives insight about the effective financial management in the hospitality sector or industries. In the section of total revenue , there is comparison among the two chosen hotels on the basis of their current and previous years revenues. In this , there is also the adaption of the CSR in the hospitality sector. The chosen hotels are Hilton and Hyatt both are different in nature in their sector on which comparison are done.</w:t>
      </w:r>
    </w:p>
    <w:p w:rsidR="000A334E" w:rsidRDefault="008349E3">
      <w:pPr>
        <w:pStyle w:val="Heading1"/>
      </w:pPr>
      <w:bookmarkStart w:id="2" w:name="__RefHeading__55009_154773378"/>
      <w:r>
        <w:rPr>
          <w:rFonts w:cs="Arial"/>
        </w:rPr>
        <w:t>Overview of the Companies</w:t>
      </w:r>
      <w:bookmarkEnd w:id="2"/>
    </w:p>
    <w:p w:rsidR="000A334E" w:rsidRDefault="008349E3">
      <w:pPr>
        <w:pStyle w:val="Textbody"/>
      </w:pPr>
      <w:r>
        <w:rPr>
          <w:rFonts w:cs="Arial"/>
        </w:rPr>
        <w:t>All inclusive resorts are considered as that areas of company  which are expertise for the American hospitality giant Hilton Hotels &amp; Resorts, that performed on an international level or scale. The Hilton Hotels &amp; Resorts established its corporation on 31</w:t>
      </w:r>
      <w:r>
        <w:rPr>
          <w:rFonts w:cs="Arial"/>
          <w:vertAlign w:val="superscript"/>
        </w:rPr>
        <w:t>st</w:t>
      </w:r>
      <w:r>
        <w:rPr>
          <w:rFonts w:cs="Arial"/>
        </w:rPr>
        <w:t xml:space="preserve"> May of 1919. Hilton Hotels &amp; Resorts provides its 584 hotels and resorts services across all the six continents in the year 2019,30</w:t>
      </w:r>
      <w:r>
        <w:rPr>
          <w:rFonts w:cs="Arial"/>
          <w:vertAlign w:val="superscript"/>
        </w:rPr>
        <w:t>th</w:t>
      </w:r>
      <w:r>
        <w:rPr>
          <w:rFonts w:cs="Arial"/>
        </w:rPr>
        <w:t xml:space="preserve"> December</w:t>
      </w:r>
      <w:r>
        <w:rPr>
          <w:rFonts w:cs="Arial"/>
          <w:color w:val="222222"/>
        </w:rPr>
        <w:t>(</w:t>
      </w:r>
      <w:r>
        <w:rPr>
          <w:rFonts w:cs="Arial"/>
          <w:color w:val="222222"/>
          <w:szCs w:val="24"/>
        </w:rPr>
        <w:t>DANURDARA,2022)</w:t>
      </w:r>
      <w:r>
        <w:rPr>
          <w:rFonts w:cs="Arial"/>
        </w:rPr>
        <w:t xml:space="preserve">. Their is total of 216,379 availability of guest rooms in these hotels. The services provided by these hotels are close to the city </w:t>
      </w:r>
      <w:proofErr w:type="spellStart"/>
      <w:r>
        <w:rPr>
          <w:rFonts w:cs="Arial"/>
        </w:rPr>
        <w:t>Center</w:t>
      </w:r>
      <w:proofErr w:type="spellEnd"/>
      <w:r>
        <w:rPr>
          <w:rFonts w:cs="Arial"/>
        </w:rPr>
        <w:t>, the airport, and the convention centre. The main of this brand is to provide services for both the business travellers and vacationers. The loyalty program as Hilton Honours provided the stays in Hilton Hotels &amp; Resorts and enjoy their services. Thus, guests of Hilton hotels enjoy its services and earn points in this way. The subscribers of the Hilton Honours make their reservation with the helps of the  official channel of Hilton that are eligible to free Wi-Fi, digital check-in, keyless entry, and room selection via mobile app(</w:t>
      </w:r>
      <w:proofErr w:type="spellStart"/>
      <w:r>
        <w:rPr>
          <w:rFonts w:cs="Arial"/>
          <w:color w:val="222222"/>
          <w:szCs w:val="24"/>
        </w:rPr>
        <w:t>Li,Huang</w:t>
      </w:r>
      <w:proofErr w:type="spellEnd"/>
      <w:r>
        <w:rPr>
          <w:rFonts w:cs="Arial"/>
          <w:color w:val="222222"/>
          <w:szCs w:val="24"/>
        </w:rPr>
        <w:t>, and Song, 2020)</w:t>
      </w:r>
      <w:r>
        <w:rPr>
          <w:rFonts w:cs="Arial"/>
        </w:rPr>
        <w:t>.</w:t>
      </w:r>
    </w:p>
    <w:p w:rsidR="000A334E" w:rsidRDefault="008349E3">
      <w:pPr>
        <w:pStyle w:val="Textbody"/>
        <w:rPr>
          <w:rFonts w:cs="Arial"/>
        </w:rPr>
      </w:pPr>
      <w:r>
        <w:rPr>
          <w:rFonts w:cs="Arial"/>
          <w:noProof/>
        </w:rPr>
        <w:lastRenderedPageBreak/>
        <w:drawing>
          <wp:inline distT="0" distB="0" distL="0" distR="0">
            <wp:extent cx="5943600" cy="2502000"/>
            <wp:effectExtent l="0" t="0" r="0" b="0"/>
            <wp:docPr id="1"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lum/>
                      <a:alphaModFix/>
                    </a:blip>
                    <a:srcRect/>
                    <a:stretch>
                      <a:fillRect/>
                    </a:stretch>
                  </pic:blipFill>
                  <pic:spPr>
                    <a:xfrm>
                      <a:off x="0" y="0"/>
                      <a:ext cx="5943600" cy="2502000"/>
                    </a:xfrm>
                    <a:prstGeom prst="rect">
                      <a:avLst/>
                    </a:prstGeom>
                    <a:ln>
                      <a:noFill/>
                      <a:prstDash/>
                    </a:ln>
                  </pic:spPr>
                </pic:pic>
              </a:graphicData>
            </a:graphic>
          </wp:inline>
        </w:drawing>
      </w:r>
    </w:p>
    <w:p w:rsidR="000A334E" w:rsidRDefault="008349E3">
      <w:pPr>
        <w:pStyle w:val="Textbody"/>
      </w:pPr>
      <w:r>
        <w:rPr>
          <w:rFonts w:cs="Arial"/>
        </w:rPr>
        <w:t xml:space="preserve">                 </w:t>
      </w:r>
      <w:r>
        <w:rPr>
          <w:rFonts w:cs="Arial"/>
          <w:szCs w:val="24"/>
        </w:rPr>
        <w:t>Figure: Comparison between Hilton and Hyatt Hotel’ (</w:t>
      </w:r>
      <w:proofErr w:type="spellStart"/>
      <w:r>
        <w:rPr>
          <w:rFonts w:cs="Arial"/>
          <w:szCs w:val="24"/>
        </w:rPr>
        <w:t>Zill</w:t>
      </w:r>
      <w:proofErr w:type="spellEnd"/>
      <w:r>
        <w:rPr>
          <w:rFonts w:cs="Arial"/>
          <w:szCs w:val="24"/>
        </w:rPr>
        <w:t>, 2023).</w:t>
      </w:r>
    </w:p>
    <w:p w:rsidR="000A334E" w:rsidRDefault="008349E3">
      <w:pPr>
        <w:pStyle w:val="Textbody"/>
      </w:pPr>
      <w:r>
        <w:rPr>
          <w:rFonts w:cs="Arial"/>
          <w:szCs w:val="24"/>
        </w:rPr>
        <w:t xml:space="preserve">The location of the globally famed Hyatt Hotels &amp; Resorts global headquarters is known as the name of Riverside Plaza in Chicago. The organisation is managed by the </w:t>
      </w:r>
      <w:proofErr w:type="spellStart"/>
      <w:r>
        <w:rPr>
          <w:rFonts w:cs="Arial"/>
          <w:szCs w:val="24"/>
        </w:rPr>
        <w:t>Pritzkers</w:t>
      </w:r>
      <w:proofErr w:type="spellEnd"/>
      <w:r>
        <w:rPr>
          <w:rFonts w:cs="Arial"/>
          <w:szCs w:val="24"/>
        </w:rPr>
        <w:t>. The beginning of Hyatt corporation was started on 27 September, 1957, during the acquiring of the Hyatt House at Los Angeles International Airport. For taking place in international level, the Hyatt  undertakes the step of establishing its corporation or hotel in Europe,1969. The purchasing of ALG for $2.7 billion in cash from KKR and KSL capital Partners affiliates that was done by the Hyatt Hotels in august 2021. ALG plays an important role in managing the Luxury hotels and national events and also travelled extensively. The services provided by ALG in form of 33000 hotel rooms across  the 10 nations. This agreement of ALG with the Hyatt Hotel provides it a new way to expand its services or footprint all over Europe with the eleven countries. It is state that there are  more than 1100 exclusive resorts which is operated  by the Hyatt Hotels  in the 69 countries and 6 continents. Their is classification of brands of Hyatt  in the form of solo collections, a traditional portfolio, and an infinite supply in the world</w:t>
      </w:r>
      <w:r>
        <w:rPr>
          <w:rFonts w:cs="Arial"/>
          <w:color w:val="222222"/>
          <w:szCs w:val="24"/>
        </w:rPr>
        <w:t>(</w:t>
      </w:r>
      <w:proofErr w:type="spellStart"/>
      <w:r>
        <w:rPr>
          <w:rFonts w:cs="Arial"/>
          <w:color w:val="222222"/>
          <w:szCs w:val="24"/>
        </w:rPr>
        <w:t>Iyer,ET</w:t>
      </w:r>
      <w:proofErr w:type="spellEnd"/>
      <w:r>
        <w:rPr>
          <w:rFonts w:cs="Arial"/>
          <w:color w:val="222222"/>
          <w:szCs w:val="24"/>
        </w:rPr>
        <w:t xml:space="preserve"> AL.2019)</w:t>
      </w:r>
      <w:r>
        <w:rPr>
          <w:rFonts w:cs="Arial"/>
          <w:szCs w:val="24"/>
        </w:rPr>
        <w:t>. The most appropriate brand of Hyatt are Relics, and there is presence of endless brands of Hyatt .</w:t>
      </w:r>
    </w:p>
    <w:p w:rsidR="000A334E" w:rsidRDefault="008349E3">
      <w:pPr>
        <w:pStyle w:val="Heading1"/>
      </w:pPr>
      <w:bookmarkStart w:id="3" w:name="_Toc125832872"/>
      <w:bookmarkStart w:id="4" w:name="__RefHeading__55011_154773378"/>
      <w:r>
        <w:t>Total Revenue</w:t>
      </w:r>
      <w:bookmarkEnd w:id="3"/>
      <w:bookmarkEnd w:id="4"/>
    </w:p>
    <w:p w:rsidR="000A334E" w:rsidRDefault="008349E3">
      <w:pPr>
        <w:pStyle w:val="Textbody"/>
      </w:pPr>
      <w:r>
        <w:t xml:space="preserve">The international commerce takes place in almost in every region of the world up to until the year 2019. However, there is </w:t>
      </w:r>
      <w:proofErr w:type="spellStart"/>
      <w:r>
        <w:t>unshifted</w:t>
      </w:r>
      <w:proofErr w:type="spellEnd"/>
      <w:r>
        <w:t xml:space="preserve"> the balances in different direction which is not anticipated by anyone due to unexpected outburst of a pandemic takes places in every region of the planet. Their is a greatest impact of COVID-19 pandemic upon the hotels and resorts services of the Hilton and that result in effecting the revenue of its in the year 2020, which falls up to 44.26%. the revenue </w:t>
      </w:r>
      <w:r>
        <w:lastRenderedPageBreak/>
        <w:t xml:space="preserve">of Hilton Hotels was about to $9.5 billion. In Hyatt Hotel, there is presence or observation of homologous pattern. The sales which is recorded by the company in 2019 was $5 billion. But is decreased in the 2020 up to $2.17 billion that indicates a great loss of more than 42%.  </w:t>
      </w:r>
    </w:p>
    <w:p w:rsidR="000A334E" w:rsidRDefault="008349E3">
      <w:pPr>
        <w:pStyle w:val="Textbody"/>
      </w:pPr>
      <w:r>
        <w:rPr>
          <w:noProof/>
        </w:rPr>
        <w:drawing>
          <wp:anchor distT="0" distB="0" distL="114300" distR="114300" simplePos="0" relativeHeight="2" behindDoc="0" locked="0" layoutInCell="1" allowOverlap="1">
            <wp:simplePos x="0" y="0"/>
            <wp:positionH relativeFrom="column">
              <wp:align>center</wp:align>
            </wp:positionH>
            <wp:positionV relativeFrom="paragraph">
              <wp:align>top</wp:align>
            </wp:positionV>
            <wp:extent cx="4419720" cy="2981159"/>
            <wp:effectExtent l="0" t="0" r="0" b="0"/>
            <wp:wrapTopAndBottom/>
            <wp:docPr id="2" name="graphics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lum/>
                      <a:alphaModFix/>
                    </a:blip>
                    <a:srcRect/>
                    <a:stretch>
                      <a:fillRect/>
                    </a:stretch>
                  </pic:blipFill>
                  <pic:spPr>
                    <a:xfrm>
                      <a:off x="0" y="0"/>
                      <a:ext cx="4419720" cy="2981159"/>
                    </a:xfrm>
                    <a:prstGeom prst="rect">
                      <a:avLst/>
                    </a:prstGeom>
                  </pic:spPr>
                </pic:pic>
              </a:graphicData>
            </a:graphic>
          </wp:anchor>
        </w:drawing>
      </w:r>
    </w:p>
    <w:p w:rsidR="000A334E" w:rsidRDefault="000A334E">
      <w:pPr>
        <w:pStyle w:val="Standard"/>
        <w:rPr>
          <w:rFonts w:cs="Arial"/>
        </w:rPr>
      </w:pPr>
    </w:p>
    <w:tbl>
      <w:tblPr>
        <w:tblW w:w="9350" w:type="dxa"/>
        <w:tblInd w:w="-108" w:type="dxa"/>
        <w:tblLayout w:type="fixed"/>
        <w:tblCellMar>
          <w:left w:w="10" w:type="dxa"/>
          <w:right w:w="10" w:type="dxa"/>
        </w:tblCellMar>
        <w:tblLook w:val="0000" w:firstRow="0" w:lastRow="0" w:firstColumn="0" w:lastColumn="0" w:noHBand="0" w:noVBand="0"/>
      </w:tblPr>
      <w:tblGrid>
        <w:gridCol w:w="3116"/>
        <w:gridCol w:w="3115"/>
        <w:gridCol w:w="3119"/>
      </w:tblGrid>
      <w:tr w:rsidR="000A334E">
        <w:tc>
          <w:tcPr>
            <w:tcW w:w="3116"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0A334E" w:rsidRDefault="000A334E">
            <w:pPr>
              <w:pStyle w:val="Standard"/>
              <w:spacing w:before="120" w:line="240" w:lineRule="auto"/>
              <w:jc w:val="center"/>
              <w:rPr>
                <w:b/>
                <w:bCs/>
              </w:rPr>
            </w:pPr>
          </w:p>
        </w:tc>
        <w:tc>
          <w:tcPr>
            <w:tcW w:w="3115"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0A334E" w:rsidRDefault="008349E3">
            <w:pPr>
              <w:pStyle w:val="Standard"/>
              <w:spacing w:before="120" w:line="240" w:lineRule="auto"/>
              <w:jc w:val="center"/>
            </w:pPr>
            <w:r>
              <w:rPr>
                <w:b/>
                <w:bCs/>
              </w:rPr>
              <w:t>Hilton (</w:t>
            </w:r>
            <w:r>
              <w:t>$ in Billion)</w:t>
            </w:r>
          </w:p>
        </w:tc>
        <w:tc>
          <w:tcPr>
            <w:tcW w:w="3119"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0A334E" w:rsidRDefault="008349E3">
            <w:pPr>
              <w:pStyle w:val="Standard"/>
              <w:spacing w:before="120" w:line="240" w:lineRule="auto"/>
              <w:jc w:val="center"/>
            </w:pPr>
            <w:r>
              <w:rPr>
                <w:b/>
                <w:bCs/>
              </w:rPr>
              <w:t>Hyatt Hotels (</w:t>
            </w:r>
            <w:r>
              <w:t>$ in Billion)</w:t>
            </w:r>
          </w:p>
        </w:tc>
      </w:tr>
      <w:tr w:rsidR="000A334E">
        <w:tc>
          <w:tcPr>
            <w:tcW w:w="311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A334E" w:rsidRDefault="008349E3">
            <w:pPr>
              <w:pStyle w:val="Standard"/>
              <w:spacing w:before="120" w:line="240" w:lineRule="auto"/>
              <w:jc w:val="center"/>
            </w:pPr>
            <w:r>
              <w:rPr>
                <w:b/>
                <w:bCs/>
              </w:rPr>
              <w:t>2019</w:t>
            </w:r>
          </w:p>
        </w:tc>
        <w:tc>
          <w:tcPr>
            <w:tcW w:w="311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A334E" w:rsidRDefault="008349E3">
            <w:pPr>
              <w:pStyle w:val="Standard"/>
              <w:spacing w:before="120" w:line="240" w:lineRule="auto"/>
              <w:jc w:val="center"/>
            </w:pPr>
            <w:r>
              <w:t>9.5</w:t>
            </w:r>
          </w:p>
        </w:tc>
        <w:tc>
          <w:tcPr>
            <w:tcW w:w="311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A334E" w:rsidRDefault="008349E3">
            <w:pPr>
              <w:pStyle w:val="Standard"/>
              <w:spacing w:before="120" w:line="240" w:lineRule="auto"/>
              <w:jc w:val="center"/>
            </w:pPr>
            <w:r>
              <w:t>5.0</w:t>
            </w:r>
          </w:p>
        </w:tc>
      </w:tr>
      <w:tr w:rsidR="000A334E">
        <w:tc>
          <w:tcPr>
            <w:tcW w:w="3116"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tcPr>
          <w:p w:rsidR="000A334E" w:rsidRDefault="008349E3">
            <w:pPr>
              <w:pStyle w:val="Standard"/>
              <w:spacing w:before="120" w:line="240" w:lineRule="auto"/>
              <w:jc w:val="center"/>
            </w:pPr>
            <w:r>
              <w:rPr>
                <w:b/>
                <w:bCs/>
              </w:rPr>
              <w:t>2020</w:t>
            </w:r>
          </w:p>
        </w:tc>
        <w:tc>
          <w:tcPr>
            <w:tcW w:w="3115"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tcPr>
          <w:p w:rsidR="000A334E" w:rsidRDefault="008349E3">
            <w:pPr>
              <w:pStyle w:val="Standard"/>
              <w:spacing w:before="120" w:line="240" w:lineRule="auto"/>
              <w:jc w:val="center"/>
            </w:pPr>
            <w:r>
              <w:t>4.3</w:t>
            </w:r>
          </w:p>
        </w:tc>
        <w:tc>
          <w:tcPr>
            <w:tcW w:w="3119"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tcPr>
          <w:p w:rsidR="000A334E" w:rsidRDefault="008349E3">
            <w:pPr>
              <w:pStyle w:val="Standard"/>
              <w:spacing w:before="120" w:line="240" w:lineRule="auto"/>
              <w:jc w:val="center"/>
            </w:pPr>
            <w:r>
              <w:t>2.1</w:t>
            </w:r>
          </w:p>
        </w:tc>
      </w:tr>
      <w:tr w:rsidR="000A334E">
        <w:tc>
          <w:tcPr>
            <w:tcW w:w="311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A334E" w:rsidRDefault="008349E3">
            <w:pPr>
              <w:pStyle w:val="Standard"/>
              <w:spacing w:before="120" w:line="240" w:lineRule="auto"/>
              <w:jc w:val="center"/>
            </w:pPr>
            <w:r>
              <w:rPr>
                <w:b/>
                <w:bCs/>
              </w:rPr>
              <w:t>2021</w:t>
            </w:r>
          </w:p>
        </w:tc>
        <w:tc>
          <w:tcPr>
            <w:tcW w:w="311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A334E" w:rsidRDefault="008349E3">
            <w:pPr>
              <w:pStyle w:val="Standard"/>
              <w:spacing w:before="120" w:line="240" w:lineRule="auto"/>
              <w:jc w:val="center"/>
            </w:pPr>
            <w:r>
              <w:t>5.8</w:t>
            </w:r>
          </w:p>
        </w:tc>
        <w:tc>
          <w:tcPr>
            <w:tcW w:w="311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A334E" w:rsidRDefault="008349E3">
            <w:pPr>
              <w:pStyle w:val="Standard"/>
              <w:spacing w:before="120" w:line="240" w:lineRule="auto"/>
              <w:jc w:val="center"/>
            </w:pPr>
            <w:r>
              <w:t>3.0</w:t>
            </w:r>
          </w:p>
        </w:tc>
      </w:tr>
    </w:tbl>
    <w:p w:rsidR="000A334E" w:rsidRDefault="008349E3">
      <w:pPr>
        <w:pStyle w:val="Standard"/>
      </w:pPr>
      <w:r>
        <w:rPr>
          <w:szCs w:val="24"/>
        </w:rPr>
        <w:t xml:space="preserve">                       Figure: Revenue of Hilton and Hyatt Hotels (Source: Author).</w:t>
      </w:r>
    </w:p>
    <w:p w:rsidR="000A334E" w:rsidRDefault="008349E3">
      <w:pPr>
        <w:pStyle w:val="Standard"/>
      </w:pPr>
      <w:r>
        <w:t>On the other hand, when economy of the world takes several steps for overcoming from the pandemic then the businesses started to get or adapt the success at high levels. After that there is increased up to 34.88 percent of the revenue of Hilton Hotels from 2020 to 2021. During that year the revenue of Hilton hotels are resulted in the $5.8 billion. On the other hand in the same year or period of time the total gaining of sales of Hyatt hotel was 42.8% which is reached up to $3.1 billion in that year.</w:t>
      </w:r>
    </w:p>
    <w:p w:rsidR="000A334E" w:rsidRDefault="008349E3">
      <w:pPr>
        <w:pStyle w:val="Heading1"/>
      </w:pPr>
      <w:bookmarkStart w:id="5" w:name="__RefHeading__55013_154773378"/>
      <w:r>
        <w:t>Market Position</w:t>
      </w:r>
      <w:bookmarkEnd w:id="5"/>
    </w:p>
    <w:p w:rsidR="000A334E" w:rsidRDefault="008349E3">
      <w:pPr>
        <w:pStyle w:val="Textbody"/>
      </w:pPr>
      <w:r>
        <w:t>On the basis of overall positioning of 2 different hotels, it is defined that there is higher brand position of Hilton in comparison to Hyatt which has higher brand listing elements and scope(</w:t>
      </w:r>
      <w:r>
        <w:rPr>
          <w:color w:val="222222"/>
          <w:szCs w:val="24"/>
        </w:rPr>
        <w:t>Mitra,2020)</w:t>
      </w:r>
      <w:r>
        <w:t>. The  competitive positioning of both are depicts by the following graph:</w:t>
      </w:r>
    </w:p>
    <w:p w:rsidR="000A334E" w:rsidRDefault="008349E3">
      <w:pPr>
        <w:pStyle w:val="Textbody"/>
      </w:pPr>
      <w:r>
        <w:lastRenderedPageBreak/>
        <w:t xml:space="preserve">                                             </w:t>
      </w:r>
      <w:r>
        <w:rPr>
          <w:noProof/>
        </w:rPr>
        <w:drawing>
          <wp:inline distT="0" distB="0" distL="0" distR="0">
            <wp:extent cx="3547800" cy="3403440"/>
            <wp:effectExtent l="0" t="0" r="0" b="651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lum/>
                      <a:alphaModFix/>
                    </a:blip>
                    <a:srcRect/>
                    <a:stretch>
                      <a:fillRect/>
                    </a:stretch>
                  </pic:blipFill>
                  <pic:spPr>
                    <a:xfrm>
                      <a:off x="0" y="0"/>
                      <a:ext cx="3547800" cy="3403440"/>
                    </a:xfrm>
                    <a:prstGeom prst="rect">
                      <a:avLst/>
                    </a:prstGeom>
                    <a:ln>
                      <a:noFill/>
                      <a:prstDash/>
                    </a:ln>
                  </pic:spPr>
                </pic:pic>
              </a:graphicData>
            </a:graphic>
          </wp:inline>
        </w:drawing>
      </w:r>
    </w:p>
    <w:p w:rsidR="000A334E" w:rsidRDefault="008349E3">
      <w:pPr>
        <w:pStyle w:val="Standard"/>
        <w:rPr>
          <w:u w:val="single"/>
        </w:rPr>
      </w:pPr>
      <w:r>
        <w:rPr>
          <w:rFonts w:cs="Arial"/>
          <w:b/>
          <w:bCs/>
          <w:u w:val="single"/>
        </w:rPr>
        <w:t>The volume of properties and pricing</w:t>
      </w:r>
    </w:p>
    <w:p w:rsidR="000A334E" w:rsidRDefault="008349E3">
      <w:pPr>
        <w:pStyle w:val="Standard"/>
      </w:pPr>
      <w:r>
        <w:rPr>
          <w:rFonts w:cs="Arial"/>
        </w:rPr>
        <w:t>Approximately there  may be presence of 6,800 Hilton Hotels  among the 122 different countries in the world. Their are presence of different 18 hotel chains which ranged from the budget to five-star. In any area of world,  you can find the services or hotels of Hilton resort. But on the other hand, the Hyatt hotels are not that much locally focused. The Hyatt hotel has less market share in comparison to Hilton Hotels in the world. But Hyatt hotel acquired so much hotel chains in the recent years or times. The foundation of Hyatt hotels is in among 70 different countries over with the 1,150 hotel services. So, it is concluded that there is better market position of Hilton Hotels in comparison to Hyatt Hotels.</w:t>
      </w:r>
    </w:p>
    <w:p w:rsidR="000A334E" w:rsidRDefault="008349E3">
      <w:pPr>
        <w:pStyle w:val="Standard"/>
        <w:rPr>
          <w:u w:val="single"/>
        </w:rPr>
      </w:pPr>
      <w:r>
        <w:rPr>
          <w:rFonts w:cs="Arial"/>
          <w:b/>
          <w:bCs/>
          <w:u w:val="single"/>
        </w:rPr>
        <w:t>Easy collection of hotel points</w:t>
      </w:r>
    </w:p>
    <w:p w:rsidR="000A334E" w:rsidRDefault="008349E3">
      <w:pPr>
        <w:pStyle w:val="Standard"/>
      </w:pPr>
      <w:r>
        <w:rPr>
          <w:rFonts w:cs="Arial"/>
        </w:rPr>
        <w:t xml:space="preserve">Due to having wide range in the world, the Hilton hotels makes earning of the profits in easier way as comparison to other hotels. The main earning point is hotel stays. The points provided buy Hilton in the form of American Express Membership Rewards that is in 2:1 ratio which is debatable. The points of Hilton and American Express is reduced by the transfers. On the other hand, the Hyatt points are considered as insufficient but desired also. The bonus received by the Top-tier Globalist members is only 30% on staying with the world of Hyatt Credit Card or Business Credit Card. Thus, the members earned 9 points on the every dollars spent at Hyatt hotels. And it </w:t>
      </w:r>
      <w:r>
        <w:rPr>
          <w:rFonts w:cs="Arial"/>
        </w:rPr>
        <w:lastRenderedPageBreak/>
        <w:t>last it is concluded that the collection system is easier in Hilton Hotels as comparison to Hyatt Hotels and thus, it also received better position here.</w:t>
      </w:r>
    </w:p>
    <w:p w:rsidR="000A334E" w:rsidRDefault="008349E3">
      <w:pPr>
        <w:pStyle w:val="Standard"/>
      </w:pPr>
      <w:bookmarkStart w:id="6" w:name="__RefHeading__55076_154773378"/>
      <w:r>
        <w:rPr>
          <w:rFonts w:cs="Arial"/>
          <w:b/>
          <w:bCs/>
        </w:rPr>
        <w:t>Comparison based on discount offer like- Redemptions</w:t>
      </w:r>
      <w:bookmarkEnd w:id="6"/>
    </w:p>
    <w:p w:rsidR="000A334E" w:rsidRDefault="008349E3">
      <w:pPr>
        <w:pStyle w:val="Standard"/>
      </w:pPr>
      <w:r>
        <w:rPr>
          <w:rFonts w:cs="Arial"/>
        </w:rPr>
        <w:t>In the market , redemptions refers to that specialized offers or collection points of the clients for discount, which is specially for increasing the loyalty of the customers towards the hotels. Their is difference among the hotel in the form of refund policies. The room charges that is charged by the Hyatt Hotel is 40,000 points per night. The charges of standard room are not exceed 1,50,000 points. The award table of Hilton Hotel is gone in it. The member of the Hilton hotels can make redemption points for staying in hotel when the regular award nights run out of time, but there is expensive premium room charges. Which is opposite to the Hyatt Hotel by hitting its maximum number of rooms services or awards. In this point, it is concluded that there is better market position of Hyatt Hotel in comparison to Hilton Hotel.</w:t>
      </w:r>
    </w:p>
    <w:p w:rsidR="000A334E" w:rsidRDefault="008349E3">
      <w:pPr>
        <w:pStyle w:val="Standard"/>
        <w:rPr>
          <w:u w:val="single"/>
        </w:rPr>
      </w:pPr>
      <w:r>
        <w:rPr>
          <w:rFonts w:cs="Arial"/>
          <w:u w:val="single"/>
        </w:rPr>
        <w:t>Growth Potential</w:t>
      </w:r>
    </w:p>
    <w:p w:rsidR="000A334E" w:rsidRDefault="008349E3">
      <w:pPr>
        <w:pStyle w:val="Textbody"/>
      </w:pPr>
      <w:r>
        <w:rPr>
          <w:rFonts w:cs="Arial"/>
        </w:rPr>
        <w:t>The growth of the corporation depends its on performance, growth of the workforce or environment and expected profitability. The performance of a corporation basically depends on capacity of  its long term expansion which includes the fund investments,  purchasing of individuals, and acquired the property. It also helps in promoting the expansion of corporate. The following expansion opportunities are available for the growth of the hospitality businesses:</w:t>
      </w:r>
    </w:p>
    <w:p w:rsidR="000A334E" w:rsidRDefault="008349E3">
      <w:pPr>
        <w:pStyle w:val="Standard"/>
        <w:rPr>
          <w:szCs w:val="24"/>
          <w:u w:val="single"/>
        </w:rPr>
      </w:pPr>
      <w:r>
        <w:rPr>
          <w:rFonts w:cs="Arial"/>
          <w:szCs w:val="24"/>
          <w:u w:val="single"/>
        </w:rPr>
        <w:t>Potential Combination and Takeovers</w:t>
      </w:r>
    </w:p>
    <w:p w:rsidR="000A334E" w:rsidRDefault="008349E3">
      <w:pPr>
        <w:pStyle w:val="Standard"/>
        <w:rPr>
          <w:szCs w:val="24"/>
        </w:rPr>
      </w:pPr>
      <w:r>
        <w:rPr>
          <w:rFonts w:cs="Arial"/>
          <w:szCs w:val="24"/>
        </w:rPr>
        <w:t>Merge and acquisition is termed as the merging of two or more organisation that gives the result of any number of business transactions. The rooms provided by the Hilton has gain largest number of services in the world. In the present time, total of 122 nations or countries enjoyed the services by the firm. The growth of the Hilton hotels are assist by the acquisition with the local businesses and also its combined customer base. The growth booster is result from the acquiring of the whole consumer base in the certain area. For thus, the Hyatt Hotel followed the crowd, fortuitous. Therefore , Hyatt Hotels  is presented across the 72 different countries. The benefit of strategic purchases of booming regional competitors are gained by the both companies in the market.</w:t>
      </w:r>
    </w:p>
    <w:p w:rsidR="000A334E" w:rsidRDefault="008349E3">
      <w:pPr>
        <w:pStyle w:val="Standard"/>
        <w:rPr>
          <w:szCs w:val="24"/>
          <w:u w:val="single"/>
        </w:rPr>
      </w:pPr>
      <w:r>
        <w:rPr>
          <w:rFonts w:cs="Arial"/>
          <w:szCs w:val="24"/>
          <w:u w:val="single"/>
        </w:rPr>
        <w:t>Growth of brand</w:t>
      </w:r>
    </w:p>
    <w:p w:rsidR="000A334E" w:rsidRDefault="008349E3">
      <w:pPr>
        <w:pStyle w:val="Standard"/>
        <w:rPr>
          <w:szCs w:val="24"/>
        </w:rPr>
      </w:pPr>
      <w:r>
        <w:rPr>
          <w:rFonts w:cs="Arial"/>
          <w:szCs w:val="24"/>
        </w:rPr>
        <w:t xml:space="preserve">Therefore, the unique benefit is provided by the Hyatt and </w:t>
      </w:r>
      <w:proofErr w:type="spellStart"/>
      <w:r>
        <w:rPr>
          <w:rFonts w:cs="Arial"/>
          <w:szCs w:val="24"/>
        </w:rPr>
        <w:t>Hilston</w:t>
      </w:r>
      <w:proofErr w:type="spellEnd"/>
      <w:r>
        <w:rPr>
          <w:rFonts w:cs="Arial"/>
          <w:szCs w:val="24"/>
        </w:rPr>
        <w:t xml:space="preserve"> to its guests or customers. Their is availability of various new customers if both the corporation of hospitality industry provides the excellent services quality and makes well management of its brands. The expansion chance is provided by the 18 separate brand of Hilton. For guesting all around the world, the 20 other brands </w:t>
      </w:r>
      <w:r>
        <w:rPr>
          <w:rFonts w:cs="Arial"/>
          <w:szCs w:val="24"/>
        </w:rPr>
        <w:lastRenderedPageBreak/>
        <w:t>are provided by the Hyatt Hotels. Their the comparison regarding the P/E ratio which depicts that the investors gives 93.1x share price for Hyatt each unit of earning, but for the Hilton Hotel it is 37x.</w:t>
      </w:r>
    </w:p>
    <w:p w:rsidR="000A334E" w:rsidRDefault="008349E3">
      <w:pPr>
        <w:pStyle w:val="Standard"/>
        <w:rPr>
          <w:szCs w:val="24"/>
        </w:rPr>
      </w:pPr>
      <w:r>
        <w:rPr>
          <w:noProof/>
          <w:szCs w:val="24"/>
        </w:rPr>
        <w:drawing>
          <wp:anchor distT="0" distB="0" distL="114300" distR="114300" simplePos="0" relativeHeight="3" behindDoc="0" locked="0" layoutInCell="1" allowOverlap="1">
            <wp:simplePos x="0" y="0"/>
            <wp:positionH relativeFrom="column">
              <wp:align>center</wp:align>
            </wp:positionH>
            <wp:positionV relativeFrom="paragraph">
              <wp:align>top</wp:align>
            </wp:positionV>
            <wp:extent cx="3895560" cy="2286000"/>
            <wp:effectExtent l="0" t="0" r="0" b="0"/>
            <wp:wrapTopAndBottom/>
            <wp:docPr id="4" name="graphics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lum/>
                      <a:alphaModFix/>
                    </a:blip>
                    <a:srcRect/>
                    <a:stretch>
                      <a:fillRect/>
                    </a:stretch>
                  </pic:blipFill>
                  <pic:spPr>
                    <a:xfrm>
                      <a:off x="0" y="0"/>
                      <a:ext cx="3895560" cy="2286000"/>
                    </a:xfrm>
                    <a:prstGeom prst="rect">
                      <a:avLst/>
                    </a:prstGeom>
                  </pic:spPr>
                </pic:pic>
              </a:graphicData>
            </a:graphic>
          </wp:anchor>
        </w:drawing>
      </w:r>
    </w:p>
    <w:p w:rsidR="000A334E" w:rsidRDefault="000A334E">
      <w:pPr>
        <w:pStyle w:val="Standard"/>
        <w:rPr>
          <w:szCs w:val="24"/>
        </w:rPr>
      </w:pPr>
    </w:p>
    <w:p w:rsidR="000A334E" w:rsidRDefault="008349E3">
      <w:pPr>
        <w:pStyle w:val="Standard"/>
        <w:rPr>
          <w:szCs w:val="24"/>
          <w:u w:val="single"/>
        </w:rPr>
      </w:pPr>
      <w:r>
        <w:rPr>
          <w:rFonts w:cs="Arial"/>
          <w:szCs w:val="24"/>
          <w:u w:val="single"/>
        </w:rPr>
        <w:t>Expansions</w:t>
      </w:r>
    </w:p>
    <w:p w:rsidR="000A334E" w:rsidRDefault="008349E3">
      <w:pPr>
        <w:pStyle w:val="Standard"/>
        <w:rPr>
          <w:szCs w:val="24"/>
        </w:rPr>
      </w:pPr>
      <w:r>
        <w:rPr>
          <w:rFonts w:cs="Arial"/>
          <w:szCs w:val="24"/>
        </w:rPr>
        <w:t>Both the companies enjoy the benefits of expanding their businesses in the new markets. There will be the presence of industrialization globally, progressiveness , and an untick in its spending. In the economy of world, the consumers are more disposed about the shelling out extra cash for upscale services thus for cut back on their luxuries. Their are upward adding of the new countries with economies as an transition.  Their is abundant of global business expansion opportunities for the developed nations or countries</w:t>
      </w:r>
      <w:r>
        <w:rPr>
          <w:rFonts w:cs="Arial"/>
          <w:color w:val="222222"/>
          <w:szCs w:val="24"/>
        </w:rPr>
        <w:t>(</w:t>
      </w:r>
      <w:proofErr w:type="spellStart"/>
      <w:r>
        <w:rPr>
          <w:rFonts w:cs="Arial"/>
          <w:color w:val="222222"/>
          <w:szCs w:val="24"/>
        </w:rPr>
        <w:t>Ergashev,and</w:t>
      </w:r>
      <w:proofErr w:type="spellEnd"/>
      <w:r>
        <w:rPr>
          <w:rFonts w:cs="Arial"/>
          <w:color w:val="222222"/>
          <w:szCs w:val="24"/>
        </w:rPr>
        <w:t xml:space="preserve"> Berdiev,2020)</w:t>
      </w:r>
      <w:r>
        <w:rPr>
          <w:rFonts w:cs="Arial"/>
          <w:szCs w:val="24"/>
        </w:rPr>
        <w:t>.</w:t>
      </w:r>
    </w:p>
    <w:p w:rsidR="000A334E" w:rsidRDefault="008349E3">
      <w:pPr>
        <w:pStyle w:val="Heading1"/>
      </w:pPr>
      <w:bookmarkStart w:id="7" w:name="_Toc125832875"/>
      <w:bookmarkStart w:id="8" w:name="__RefHeading__55078_154773378"/>
      <w:r>
        <w:rPr>
          <w:rFonts w:cs="Arial"/>
        </w:rPr>
        <w:t>Financial Commitment to CSR</w:t>
      </w:r>
      <w:bookmarkEnd w:id="7"/>
      <w:r>
        <w:rPr>
          <w:rFonts w:cs="Arial"/>
        </w:rPr>
        <w:t xml:space="preserve"> </w:t>
      </w:r>
      <w:r>
        <w:rPr>
          <w:rFonts w:cs="Arial"/>
          <w:b w:val="0"/>
          <w:bCs w:val="0"/>
        </w:rPr>
        <w:t xml:space="preserve"> </w:t>
      </w:r>
      <w:bookmarkEnd w:id="8"/>
    </w:p>
    <w:p w:rsidR="000A334E" w:rsidRDefault="008349E3">
      <w:pPr>
        <w:pStyle w:val="Standard"/>
        <w:rPr>
          <w:szCs w:val="24"/>
          <w:u w:val="single"/>
        </w:rPr>
      </w:pPr>
      <w:r>
        <w:rPr>
          <w:rFonts w:cs="Arial"/>
          <w:szCs w:val="24"/>
          <w:u w:val="single"/>
        </w:rPr>
        <w:t>Hilton’s CSR Practices</w:t>
      </w:r>
    </w:p>
    <w:p w:rsidR="000A334E" w:rsidRDefault="008349E3">
      <w:pPr>
        <w:pStyle w:val="Standard"/>
        <w:rPr>
          <w:szCs w:val="24"/>
        </w:rPr>
      </w:pPr>
      <w:r>
        <w:rPr>
          <w:rFonts w:cs="Arial"/>
          <w:szCs w:val="24"/>
        </w:rPr>
        <w:t>For conservation of natural resources, the Hilton corporation makes reconfiguration to its energy management teams. These teams were appoint to see the things differently. Hilton hotels found out the need of LED lighting , door gasket repairs, and removal of the wasteful items. Its provide support towards the clean the World's social duty. For this, the 140 million annual visitors of the Hilton find out the new use for soap and hygiene supplies. The main purpose of the Hilton World Wide's travel  to provide the good services to its guests. It also provide training to the 400000  young people approximately in its internships, careers and life skills.</w:t>
      </w:r>
    </w:p>
    <w:p w:rsidR="000A334E" w:rsidRDefault="008349E3">
      <w:pPr>
        <w:pStyle w:val="Standard"/>
        <w:rPr>
          <w:szCs w:val="24"/>
          <w:u w:val="single"/>
        </w:rPr>
      </w:pPr>
      <w:r>
        <w:rPr>
          <w:rFonts w:cs="Arial"/>
          <w:szCs w:val="24"/>
          <w:u w:val="single"/>
        </w:rPr>
        <w:t>Hyatt Hotels CSR Practices</w:t>
      </w:r>
    </w:p>
    <w:p w:rsidR="000A334E" w:rsidRDefault="008349E3">
      <w:pPr>
        <w:pStyle w:val="Standard"/>
        <w:rPr>
          <w:szCs w:val="24"/>
        </w:rPr>
      </w:pPr>
      <w:r>
        <w:rPr>
          <w:rFonts w:cs="Arial"/>
          <w:szCs w:val="24"/>
        </w:rPr>
        <w:lastRenderedPageBreak/>
        <w:t xml:space="preserve">Hyatt is considered as the environmentally sensitive. It gives high values towards its customer loyalty. The organisation start to make the endeavour to make the establishment of the comfy environment. When there is comfy </w:t>
      </w:r>
      <w:proofErr w:type="spellStart"/>
      <w:r>
        <w:rPr>
          <w:rFonts w:cs="Arial"/>
          <w:szCs w:val="24"/>
        </w:rPr>
        <w:t>environment,then</w:t>
      </w:r>
      <w:proofErr w:type="spellEnd"/>
      <w:r>
        <w:rPr>
          <w:rFonts w:cs="Arial"/>
          <w:szCs w:val="24"/>
        </w:rPr>
        <w:t xml:space="preserve"> the employees start to work more. It makes the reduction of the food wastage. For this, it also makes the collaboration  with other hotels. The organisation also make the focuses on the significant environmental challenges such as environment, water, and architecture. Environmental and societal topics are considered as the difficult</w:t>
      </w:r>
      <w:r>
        <w:rPr>
          <w:rFonts w:cs="Arial"/>
          <w:color w:val="222222"/>
          <w:szCs w:val="24"/>
        </w:rPr>
        <w:t>(Sheeran,2023)</w:t>
      </w:r>
      <w:r>
        <w:rPr>
          <w:rFonts w:cs="Arial"/>
          <w:szCs w:val="24"/>
        </w:rPr>
        <w:t>.</w:t>
      </w:r>
    </w:p>
    <w:p w:rsidR="000A334E" w:rsidRDefault="000A334E">
      <w:pPr>
        <w:pStyle w:val="Standard"/>
        <w:rPr>
          <w:szCs w:val="24"/>
        </w:rPr>
      </w:pPr>
    </w:p>
    <w:p w:rsidR="000A334E" w:rsidRDefault="008349E3">
      <w:pPr>
        <w:pStyle w:val="Heading1"/>
      </w:pPr>
      <w:bookmarkStart w:id="9" w:name="__RefHeading__55015_154773378"/>
      <w:r>
        <w:rPr>
          <w:rFonts w:cs="Arial"/>
        </w:rPr>
        <w:t>Recommendations</w:t>
      </w:r>
      <w:bookmarkEnd w:id="9"/>
    </w:p>
    <w:p w:rsidR="000A334E" w:rsidRDefault="008349E3">
      <w:pPr>
        <w:pStyle w:val="Textbody"/>
      </w:pPr>
      <w:r>
        <w:rPr>
          <w:rFonts w:cs="Arial"/>
        </w:rPr>
        <w:t xml:space="preserve"> The two recommendations for the above report are:</w:t>
      </w:r>
    </w:p>
    <w:p w:rsidR="000A334E" w:rsidRDefault="008349E3">
      <w:pPr>
        <w:pStyle w:val="Textbody"/>
        <w:numPr>
          <w:ilvl w:val="0"/>
          <w:numId w:val="2"/>
        </w:numPr>
      </w:pPr>
      <w:r>
        <w:rPr>
          <w:rFonts w:cs="Arial"/>
        </w:rPr>
        <w:t>opportunities for growth: the growth of the Hilton is take place in the various countries like Japan, Barbados, Georgia, Turkey and other parts of South Africa. It makes planning of providing its brands in the 122 countries. Hilton Hotel have the potential to make its growth by exploring and penetrating untapped markets.</w:t>
      </w:r>
    </w:p>
    <w:p w:rsidR="000A334E" w:rsidRDefault="008349E3">
      <w:pPr>
        <w:pStyle w:val="Textbody"/>
        <w:numPr>
          <w:ilvl w:val="0"/>
          <w:numId w:val="2"/>
        </w:numPr>
      </w:pPr>
      <w:r>
        <w:rPr>
          <w:rFonts w:cs="Arial"/>
        </w:rPr>
        <w:t>Potential for outsourcing: the outsourcing makes reduction of the time, effort, overhead, operating, and training costs of both Hilton and Hyatt Hotels which results in the lowers cost in comparison to other hotels. Thus, these hotels and their corporations are all on beware of the potential harm from the outsourcing.</w:t>
      </w:r>
    </w:p>
    <w:p w:rsidR="000A334E" w:rsidRDefault="008349E3">
      <w:pPr>
        <w:pStyle w:val="Heading1"/>
      </w:pPr>
      <w:bookmarkStart w:id="10" w:name="__RefHeading___Toc111545781"/>
      <w:r>
        <w:t>CONCLUSION</w:t>
      </w:r>
      <w:bookmarkEnd w:id="10"/>
    </w:p>
    <w:p w:rsidR="000A334E" w:rsidRDefault="008349E3">
      <w:pPr>
        <w:pStyle w:val="Standard"/>
      </w:pPr>
      <w:r>
        <w:t>In the above report, it is concluded that there is comparison among the Hilton and Hyatt Hotels in various factors. This report, give the insights about the both the hotels in the  market. Both hotels provides their services across various countries and nations. Their is adaptation of CSR by both the hospitality industries. And in last in the report, the recommendation is provided by us for both the Hotels.</w:t>
      </w:r>
    </w:p>
    <w:p w:rsidR="000A334E" w:rsidRDefault="008349E3">
      <w:pPr>
        <w:pStyle w:val="Heading1"/>
        <w:pageBreakBefore/>
      </w:pPr>
      <w:bookmarkStart w:id="11" w:name="__RefHeading___Toc111545782"/>
      <w:r>
        <w:lastRenderedPageBreak/>
        <w:t>REFERENCES</w:t>
      </w:r>
      <w:bookmarkEnd w:id="11"/>
    </w:p>
    <w:p w:rsidR="000A334E" w:rsidRDefault="008349E3">
      <w:pPr>
        <w:pStyle w:val="Standard"/>
        <w:rPr>
          <w:u w:val="single"/>
        </w:rPr>
      </w:pPr>
      <w:r>
        <w:rPr>
          <w:u w:val="single"/>
        </w:rPr>
        <w:t>Books and Journals</w:t>
      </w:r>
    </w:p>
    <w:p w:rsidR="000A334E" w:rsidRDefault="008349E3">
      <w:pPr>
        <w:pStyle w:val="Standard"/>
        <w:ind w:left="860" w:hanging="860"/>
        <w:rPr>
          <w:szCs w:val="24"/>
        </w:rPr>
      </w:pPr>
      <w:r>
        <w:rPr>
          <w:color w:val="222222"/>
          <w:szCs w:val="24"/>
        </w:rPr>
        <w:t>Li, Y., Huang, S.S. and Song, L., 2020. Opportunity and necessity entrepreneurship in the hospitality sector: Examining the institutional environment influences. </w:t>
      </w:r>
      <w:r>
        <w:rPr>
          <w:i/>
          <w:color w:val="222222"/>
          <w:szCs w:val="24"/>
        </w:rPr>
        <w:t>Tourism Management Perspectives</w:t>
      </w:r>
      <w:r>
        <w:rPr>
          <w:color w:val="222222"/>
          <w:szCs w:val="24"/>
        </w:rPr>
        <w:t>, </w:t>
      </w:r>
      <w:r>
        <w:rPr>
          <w:i/>
          <w:color w:val="222222"/>
          <w:szCs w:val="24"/>
        </w:rPr>
        <w:t>34</w:t>
      </w:r>
      <w:r>
        <w:rPr>
          <w:color w:val="222222"/>
          <w:szCs w:val="24"/>
        </w:rPr>
        <w:t>, p.100665.</w:t>
      </w:r>
    </w:p>
    <w:p w:rsidR="000A334E" w:rsidRDefault="008349E3">
      <w:pPr>
        <w:pStyle w:val="Standard"/>
        <w:ind w:left="860" w:hanging="860"/>
        <w:rPr>
          <w:szCs w:val="24"/>
        </w:rPr>
      </w:pPr>
      <w:proofErr w:type="spellStart"/>
      <w:r>
        <w:rPr>
          <w:color w:val="222222"/>
          <w:szCs w:val="24"/>
        </w:rPr>
        <w:t>Iyer</w:t>
      </w:r>
      <w:proofErr w:type="spellEnd"/>
      <w:r>
        <w:rPr>
          <w:color w:val="222222"/>
          <w:szCs w:val="24"/>
        </w:rPr>
        <w:t xml:space="preserve">, P., </w:t>
      </w:r>
      <w:proofErr w:type="spellStart"/>
      <w:r>
        <w:rPr>
          <w:color w:val="222222"/>
          <w:szCs w:val="24"/>
        </w:rPr>
        <w:t>Davari</w:t>
      </w:r>
      <w:proofErr w:type="spellEnd"/>
      <w:r>
        <w:rPr>
          <w:color w:val="222222"/>
          <w:szCs w:val="24"/>
        </w:rPr>
        <w:t xml:space="preserve">, A., </w:t>
      </w:r>
      <w:proofErr w:type="spellStart"/>
      <w:r>
        <w:rPr>
          <w:color w:val="222222"/>
          <w:szCs w:val="24"/>
        </w:rPr>
        <w:t>Zolfagharian</w:t>
      </w:r>
      <w:proofErr w:type="spellEnd"/>
      <w:r>
        <w:rPr>
          <w:color w:val="222222"/>
          <w:szCs w:val="24"/>
        </w:rPr>
        <w:t xml:space="preserve">, M. and </w:t>
      </w:r>
      <w:proofErr w:type="spellStart"/>
      <w:r>
        <w:rPr>
          <w:color w:val="222222"/>
          <w:szCs w:val="24"/>
        </w:rPr>
        <w:t>Paswan</w:t>
      </w:r>
      <w:proofErr w:type="spellEnd"/>
      <w:r>
        <w:rPr>
          <w:color w:val="222222"/>
          <w:szCs w:val="24"/>
        </w:rPr>
        <w:t>, A., 2019. Market orientation, positioning strategy and brand performance. </w:t>
      </w:r>
      <w:r>
        <w:rPr>
          <w:i/>
          <w:color w:val="222222"/>
          <w:szCs w:val="24"/>
        </w:rPr>
        <w:t>Industrial Marketing Management</w:t>
      </w:r>
      <w:r>
        <w:rPr>
          <w:color w:val="222222"/>
          <w:szCs w:val="24"/>
        </w:rPr>
        <w:t>, </w:t>
      </w:r>
      <w:r>
        <w:rPr>
          <w:i/>
          <w:color w:val="222222"/>
          <w:szCs w:val="24"/>
        </w:rPr>
        <w:t>81</w:t>
      </w:r>
      <w:r>
        <w:rPr>
          <w:color w:val="222222"/>
          <w:szCs w:val="24"/>
        </w:rPr>
        <w:t>, pp.16-29.</w:t>
      </w:r>
    </w:p>
    <w:p w:rsidR="000A334E" w:rsidRDefault="008349E3">
      <w:pPr>
        <w:pStyle w:val="Standard"/>
        <w:ind w:left="860" w:hanging="860"/>
        <w:rPr>
          <w:szCs w:val="24"/>
        </w:rPr>
      </w:pPr>
      <w:proofErr w:type="spellStart"/>
      <w:r>
        <w:rPr>
          <w:color w:val="222222"/>
          <w:szCs w:val="24"/>
        </w:rPr>
        <w:t>Mitra</w:t>
      </w:r>
      <w:proofErr w:type="spellEnd"/>
      <w:r>
        <w:rPr>
          <w:color w:val="222222"/>
          <w:szCs w:val="24"/>
        </w:rPr>
        <w:t>, S.K., 2020. An analysis of asymmetry in dynamic pricing of hospitality industry. </w:t>
      </w:r>
      <w:r>
        <w:rPr>
          <w:i/>
          <w:color w:val="222222"/>
          <w:szCs w:val="24"/>
        </w:rPr>
        <w:t>International Journal of Hospitality Management</w:t>
      </w:r>
      <w:r>
        <w:rPr>
          <w:color w:val="222222"/>
          <w:szCs w:val="24"/>
        </w:rPr>
        <w:t>, </w:t>
      </w:r>
      <w:r>
        <w:rPr>
          <w:i/>
          <w:color w:val="222222"/>
          <w:szCs w:val="24"/>
        </w:rPr>
        <w:t>89</w:t>
      </w:r>
      <w:r>
        <w:rPr>
          <w:color w:val="222222"/>
          <w:szCs w:val="24"/>
        </w:rPr>
        <w:t>, p.102406.</w:t>
      </w:r>
    </w:p>
    <w:p w:rsidR="000A334E" w:rsidRDefault="008349E3">
      <w:pPr>
        <w:pStyle w:val="Standard"/>
        <w:ind w:left="710" w:hanging="694"/>
        <w:jc w:val="left"/>
        <w:rPr>
          <w:szCs w:val="24"/>
        </w:rPr>
      </w:pPr>
      <w:proofErr w:type="spellStart"/>
      <w:r>
        <w:rPr>
          <w:color w:val="222222"/>
          <w:szCs w:val="24"/>
        </w:rPr>
        <w:t>Guzzo</w:t>
      </w:r>
      <w:proofErr w:type="spellEnd"/>
      <w:r>
        <w:rPr>
          <w:color w:val="222222"/>
          <w:szCs w:val="24"/>
        </w:rPr>
        <w:t>, R.F., Abbott, J. and Madera, J.M., 2020. A micro-level view of CSR: A hospitality management systematic literature review. </w:t>
      </w:r>
      <w:r>
        <w:rPr>
          <w:i/>
          <w:color w:val="222222"/>
          <w:szCs w:val="24"/>
        </w:rPr>
        <w:t>Cornell Hospitality Quarterly</w:t>
      </w:r>
      <w:r>
        <w:rPr>
          <w:color w:val="222222"/>
          <w:szCs w:val="24"/>
        </w:rPr>
        <w:t>, </w:t>
      </w:r>
      <w:r>
        <w:rPr>
          <w:i/>
          <w:color w:val="222222"/>
          <w:szCs w:val="24"/>
        </w:rPr>
        <w:t>61</w:t>
      </w:r>
      <w:r>
        <w:rPr>
          <w:color w:val="222222"/>
          <w:szCs w:val="24"/>
        </w:rPr>
        <w:t>(3), pp.332-352.</w:t>
      </w:r>
    </w:p>
    <w:p w:rsidR="000A334E" w:rsidRDefault="008349E3">
      <w:pPr>
        <w:pStyle w:val="Standard"/>
        <w:ind w:left="710" w:hanging="694"/>
        <w:jc w:val="left"/>
        <w:rPr>
          <w:szCs w:val="24"/>
        </w:rPr>
      </w:pPr>
      <w:r>
        <w:rPr>
          <w:color w:val="222222"/>
          <w:szCs w:val="24"/>
        </w:rPr>
        <w:t>Law, R., Sun, S. and Chan, I.C.C., 2020. Hotel technology: A perspective article. </w:t>
      </w:r>
      <w:r>
        <w:rPr>
          <w:i/>
          <w:color w:val="222222"/>
          <w:szCs w:val="24"/>
        </w:rPr>
        <w:t>Tourism Review</w:t>
      </w:r>
      <w:r>
        <w:rPr>
          <w:color w:val="222222"/>
          <w:szCs w:val="24"/>
        </w:rPr>
        <w:t>, </w:t>
      </w:r>
      <w:r>
        <w:rPr>
          <w:i/>
          <w:color w:val="222222"/>
          <w:szCs w:val="24"/>
        </w:rPr>
        <w:t>75</w:t>
      </w:r>
      <w:r>
        <w:rPr>
          <w:color w:val="222222"/>
          <w:szCs w:val="24"/>
        </w:rPr>
        <w:t>(1), pp.286-289.</w:t>
      </w:r>
    </w:p>
    <w:p w:rsidR="000A334E" w:rsidRDefault="008349E3">
      <w:pPr>
        <w:pStyle w:val="Standard"/>
        <w:ind w:left="710" w:hanging="694"/>
        <w:jc w:val="left"/>
        <w:rPr>
          <w:szCs w:val="24"/>
        </w:rPr>
      </w:pPr>
      <w:proofErr w:type="spellStart"/>
      <w:r>
        <w:rPr>
          <w:color w:val="222222"/>
          <w:szCs w:val="24"/>
        </w:rPr>
        <w:t>Sheeran</w:t>
      </w:r>
      <w:proofErr w:type="spellEnd"/>
      <w:r>
        <w:rPr>
          <w:color w:val="222222"/>
          <w:szCs w:val="24"/>
        </w:rPr>
        <w:t>, G., 2023. </w:t>
      </w:r>
      <w:r>
        <w:rPr>
          <w:i/>
          <w:color w:val="222222"/>
          <w:szCs w:val="24"/>
        </w:rPr>
        <w:t>The Golden Age of Yorkshire Resorts 1800-1914</w:t>
      </w:r>
      <w:r>
        <w:rPr>
          <w:color w:val="222222"/>
          <w:szCs w:val="24"/>
        </w:rPr>
        <w:t xml:space="preserve">. </w:t>
      </w:r>
      <w:proofErr w:type="spellStart"/>
      <w:r>
        <w:rPr>
          <w:color w:val="222222"/>
          <w:szCs w:val="24"/>
        </w:rPr>
        <w:t>Amberley</w:t>
      </w:r>
      <w:proofErr w:type="spellEnd"/>
      <w:r>
        <w:rPr>
          <w:color w:val="222222"/>
          <w:szCs w:val="24"/>
        </w:rPr>
        <w:t xml:space="preserve"> Publishing Limited.</w:t>
      </w:r>
    </w:p>
    <w:p w:rsidR="000A334E" w:rsidRDefault="008349E3">
      <w:pPr>
        <w:pStyle w:val="Standard"/>
        <w:ind w:left="710" w:hanging="694"/>
        <w:jc w:val="left"/>
        <w:rPr>
          <w:szCs w:val="24"/>
        </w:rPr>
      </w:pPr>
      <w:proofErr w:type="spellStart"/>
      <w:r>
        <w:rPr>
          <w:color w:val="222222"/>
          <w:szCs w:val="24"/>
        </w:rPr>
        <w:t>Ergashev</w:t>
      </w:r>
      <w:proofErr w:type="spellEnd"/>
      <w:r>
        <w:rPr>
          <w:color w:val="222222"/>
          <w:szCs w:val="24"/>
        </w:rPr>
        <w:t xml:space="preserve">, T.K. and </w:t>
      </w:r>
      <w:proofErr w:type="spellStart"/>
      <w:r>
        <w:rPr>
          <w:color w:val="222222"/>
          <w:szCs w:val="24"/>
        </w:rPr>
        <w:t>Berdiev</w:t>
      </w:r>
      <w:proofErr w:type="spellEnd"/>
      <w:r>
        <w:rPr>
          <w:color w:val="222222"/>
          <w:szCs w:val="24"/>
        </w:rPr>
        <w:t>, J.Q., 2020. THEORETICAL AND PRACTICAL ASPECTS OF USING MODERN MANAGEMENT METHODS IN THE HOTEL INDUSTRY. </w:t>
      </w:r>
      <w:r>
        <w:rPr>
          <w:i/>
          <w:color w:val="222222"/>
          <w:szCs w:val="24"/>
        </w:rPr>
        <w:t>Theoretical &amp; Applied Science</w:t>
      </w:r>
      <w:r>
        <w:rPr>
          <w:color w:val="222222"/>
          <w:szCs w:val="24"/>
        </w:rPr>
        <w:t>, (4), pp.849-859.</w:t>
      </w:r>
    </w:p>
    <w:p w:rsidR="000A334E" w:rsidRDefault="008349E3">
      <w:pPr>
        <w:pStyle w:val="Standard"/>
        <w:ind w:left="710" w:hanging="694"/>
        <w:jc w:val="left"/>
        <w:rPr>
          <w:szCs w:val="24"/>
        </w:rPr>
      </w:pPr>
      <w:r>
        <w:rPr>
          <w:color w:val="222222"/>
          <w:szCs w:val="24"/>
        </w:rPr>
        <w:t>DANURDARA, A.B., 2022. Marketing Innovation and Customer Loyalty: The Role of Customer Satisfaction of SMEs in Hospitality Sector in Indonesia. </w:t>
      </w:r>
      <w:r>
        <w:rPr>
          <w:i/>
          <w:color w:val="222222"/>
          <w:szCs w:val="24"/>
        </w:rPr>
        <w:t>Quality-Access to Success</w:t>
      </w:r>
      <w:r>
        <w:rPr>
          <w:color w:val="222222"/>
          <w:szCs w:val="24"/>
        </w:rPr>
        <w:t>, </w:t>
      </w:r>
      <w:r>
        <w:rPr>
          <w:i/>
          <w:color w:val="222222"/>
          <w:szCs w:val="24"/>
        </w:rPr>
        <w:t>23</w:t>
      </w:r>
      <w:r>
        <w:rPr>
          <w:color w:val="222222"/>
          <w:szCs w:val="24"/>
        </w:rPr>
        <w:t>(188).</w:t>
      </w:r>
    </w:p>
    <w:sectPr w:rsidR="000A334E">
      <w:footerReference w:type="default" r:id="rId11"/>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20BD7" w:rsidRDefault="008349E3">
      <w:pPr>
        <w:spacing w:after="0" w:line="240" w:lineRule="auto"/>
      </w:pPr>
      <w:r>
        <w:separator/>
      </w:r>
    </w:p>
  </w:endnote>
  <w:endnote w:type="continuationSeparator" w:id="0">
    <w:p w:rsidR="00320BD7" w:rsidRDefault="008349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OpenSymbol">
    <w:altName w:val="Calibri"/>
    <w:charset w:val="00"/>
    <w:family w:val="auto"/>
    <w:pitch w:val="default"/>
  </w:font>
  <w:font w:name="Calibri">
    <w:panose1 w:val="020F0502020204030204"/>
    <w:charset w:val="00"/>
    <w:family w:val="swiss"/>
    <w:pitch w:val="variable"/>
    <w:sig w:usb0="E00002FF" w:usb1="4000ACFF" w:usb2="00000001" w:usb3="00000000" w:csb0="0000019F" w:csb1="00000000"/>
  </w:font>
  <w:font w:name="Noto Sans CJK SC">
    <w:charset w:val="00"/>
    <w:family w:val="auto"/>
    <w:pitch w:val="variable"/>
  </w:font>
  <w:font w:name="Times New Roman">
    <w:panose1 w:val="02020603050405020304"/>
    <w:charset w:val="00"/>
    <w:family w:val="roman"/>
    <w:pitch w:val="variable"/>
    <w:sig w:usb0="E0002EFF" w:usb1="C000785B" w:usb2="00000009" w:usb3="00000000" w:csb0="000001FF" w:csb1="00000000"/>
  </w:font>
  <w:font w:name="F">
    <w:charset w:val="00"/>
    <w:family w:val="auto"/>
    <w:pitch w:val="variable"/>
  </w:font>
  <w:font w:name="Arimo">
    <w:charset w:val="00"/>
    <w:family w:val="swiss"/>
    <w:pitch w:val="variable"/>
  </w:font>
  <w:font w:name="DejaVu Sans">
    <w:charset w:val="00"/>
    <w:family w:val="auto"/>
    <w:pitch w:val="variable"/>
  </w:font>
  <w:font w:name="Tinos">
    <w:charset w:val="00"/>
    <w:family w:val="roman"/>
    <w:pitch w:val="variable"/>
  </w:font>
  <w:font w:name="Droid Sans">
    <w:charset w:val="00"/>
    <w:family w:val="auto"/>
    <w:pitch w:val="variable"/>
  </w:font>
  <w:font w:name="DejaVu Sans Mono">
    <w:charset w:val="00"/>
    <w:family w:val="modern"/>
    <w:pitch w:val="fixed"/>
  </w:font>
  <w:font w:name="Calibri Light">
    <w:panose1 w:val="020F0302020204030204"/>
    <w:charset w:val="00"/>
    <w:family w:val="swiss"/>
    <w:pitch w:val="variable"/>
    <w:sig w:usb0="A00002EF" w:usb1="4000207B" w:usb2="00000000" w:usb3="00000000" w:csb0="0000019F" w:csb1="00000000"/>
  </w:font>
  <w:font w:name="open sansregular">
    <w:altName w:val="Segoe UI"/>
    <w:charset w:val="00"/>
    <w:family w:val="modern"/>
    <w:pitch w:val="fixed"/>
  </w:font>
  <w:font w:name="Times">
    <w:altName w:val="Times New Roman"/>
    <w:charset w:val="00"/>
    <w:family w:val="auto"/>
    <w:pitch w:val="variable"/>
  </w:font>
  <w:font w:name="Arial">
    <w:panose1 w:val="020B0604020202020204"/>
    <w:charset w:val="00"/>
    <w:family w:val="swiss"/>
    <w:pitch w:val="variable"/>
    <w:sig w:usb0="E0002EFF" w:usb1="C0007843"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57C7D" w:rsidRDefault="008349E3">
    <w:pPr>
      <w:pStyle w:val="Footer"/>
    </w:pPr>
    <w:r>
      <w:fldChar w:fldCharType="begin"/>
    </w:r>
    <w:r>
      <w:instrText xml:space="preserve"> PAGE </w:instrText>
    </w:r>
    <w:r>
      <w:fldChar w:fldCharType="separate"/>
    </w:r>
    <w:r>
      <w:t>11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20BD7" w:rsidRDefault="008349E3">
      <w:pPr>
        <w:spacing w:after="0" w:line="240" w:lineRule="auto"/>
      </w:pPr>
      <w:r>
        <w:rPr>
          <w:color w:val="000000"/>
        </w:rPr>
        <w:separator/>
      </w:r>
    </w:p>
  </w:footnote>
  <w:footnote w:type="continuationSeparator" w:id="0">
    <w:p w:rsidR="00320BD7" w:rsidRDefault="008349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5931A5"/>
    <w:multiLevelType w:val="multilevel"/>
    <w:tmpl w:val="875C38B2"/>
    <w:styleLink w:val="WWNum1"/>
    <w:lvl w:ilvl="0">
      <w:start w:val="1"/>
      <w:numFmt w:val="none"/>
      <w:lvlText w:val="%1"/>
      <w:lvlJc w:val="left"/>
      <w:pPr>
        <w:ind w:left="432" w:hanging="432"/>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1" w15:restartNumberingAfterBreak="0">
    <w:nsid w:val="282B24D0"/>
    <w:multiLevelType w:val="multilevel"/>
    <w:tmpl w:val="10444A26"/>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num w:numId="1" w16cid:durableId="953441858">
    <w:abstractNumId w:val="0"/>
  </w:num>
  <w:num w:numId="2" w16cid:durableId="3694271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defaultTabStop w:val="720"/>
  <w:autoHyphenation/>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334E"/>
    <w:rsid w:val="000A334E"/>
    <w:rsid w:val="001137B3"/>
    <w:rsid w:val="00320BD7"/>
    <w:rsid w:val="004F19ED"/>
    <w:rsid w:val="005222D9"/>
    <w:rsid w:val="007463D8"/>
    <w:rsid w:val="00832C69"/>
    <w:rsid w:val="008349E3"/>
    <w:rsid w:val="00875934"/>
    <w:rsid w:val="008D0EA2"/>
    <w:rsid w:val="00B86B9E"/>
    <w:rsid w:val="00BA23FD"/>
    <w:rsid w:val="00CE2B7F"/>
    <w:rsid w:val="00D522D9"/>
    <w:rsid w:val="00F77B7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0FDEA4AA"/>
  <w15:docId w15:val="{908E14DF-20D1-4315-8A32-7C704D759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Noto Sans CJK SC" w:hAnsi="Calibri" w:cs="Calibri"/>
        <w:kern w:val="3"/>
        <w:sz w:val="22"/>
        <w:szCs w:val="22"/>
        <w:lang w:val="en-US" w:eastAsia="en-US" w:bidi="ar-SA"/>
      </w:rPr>
    </w:rPrDefault>
    <w:pPrDefault>
      <w:pPr>
        <w:widowControl w:val="0"/>
        <w:suppressAutoHyphens/>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Standard"/>
    <w:next w:val="Textbody"/>
    <w:uiPriority w:val="9"/>
    <w:qFormat/>
    <w:pPr>
      <w:keepNext/>
      <w:keepLines/>
      <w:spacing w:before="113"/>
      <w:outlineLvl w:val="0"/>
    </w:pPr>
    <w:rPr>
      <w:rFonts w:eastAsia="Times New Roman"/>
      <w:b/>
      <w:bCs/>
      <w:sz w:val="28"/>
      <w:szCs w:val="28"/>
    </w:rPr>
  </w:style>
  <w:style w:type="paragraph" w:styleId="Heading2">
    <w:name w:val="heading 2"/>
    <w:basedOn w:val="Standard"/>
    <w:next w:val="Textbody"/>
    <w:uiPriority w:val="9"/>
    <w:semiHidden/>
    <w:unhideWhenUsed/>
    <w:qFormat/>
    <w:pPr>
      <w:keepNext/>
      <w:keepLines/>
      <w:outlineLvl w:val="1"/>
    </w:pPr>
    <w:rPr>
      <w:rFonts w:cs="F"/>
      <w:color w:val="2F5496"/>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widowControl/>
      <w:spacing w:after="0" w:line="360" w:lineRule="auto"/>
      <w:jc w:val="both"/>
    </w:pPr>
    <w:rPr>
      <w:rFonts w:ascii="Times New Roman" w:eastAsia="Calibri" w:hAnsi="Times New Roman" w:cs="Times New Roman"/>
      <w:color w:val="000000"/>
      <w:sz w:val="24"/>
      <w:lang w:val="en-GB" w:eastAsia="ar-SA"/>
    </w:rPr>
  </w:style>
  <w:style w:type="paragraph" w:customStyle="1" w:styleId="Heading">
    <w:name w:val="Heading"/>
    <w:basedOn w:val="Standard"/>
    <w:next w:val="Textbody"/>
    <w:pPr>
      <w:keepNext/>
      <w:spacing w:before="240" w:after="120"/>
    </w:pPr>
    <w:rPr>
      <w:rFonts w:ascii="Arimo" w:eastAsia="Noto Sans CJK SC" w:hAnsi="Arimo" w:cs="DejaVu Sans"/>
      <w:sz w:val="28"/>
      <w:szCs w:val="28"/>
    </w:rPr>
  </w:style>
  <w:style w:type="paragraph" w:customStyle="1" w:styleId="Textbody">
    <w:name w:val="Text body"/>
    <w:basedOn w:val="Standard"/>
    <w:pPr>
      <w:spacing w:after="120"/>
    </w:pPr>
  </w:style>
  <w:style w:type="paragraph" w:styleId="List">
    <w:name w:val="List"/>
    <w:basedOn w:val="Textbody"/>
    <w:rPr>
      <w:rFonts w:cs="DejaVu Sans"/>
    </w:rPr>
  </w:style>
  <w:style w:type="paragraph" w:styleId="Caption">
    <w:name w:val="caption"/>
    <w:basedOn w:val="Standard"/>
    <w:pPr>
      <w:suppressLineNumbers/>
      <w:spacing w:before="120" w:after="120"/>
    </w:pPr>
    <w:rPr>
      <w:rFonts w:cs="DejaVu Sans"/>
      <w:i/>
      <w:iCs/>
      <w:szCs w:val="24"/>
    </w:rPr>
  </w:style>
  <w:style w:type="paragraph" w:customStyle="1" w:styleId="Index">
    <w:name w:val="Index"/>
    <w:basedOn w:val="Standard"/>
    <w:pPr>
      <w:suppressLineNumbers/>
    </w:pPr>
    <w:rPr>
      <w:rFonts w:cs="DejaVu Sans"/>
    </w:rPr>
  </w:style>
  <w:style w:type="paragraph" w:styleId="Footer">
    <w:name w:val="footer"/>
    <w:basedOn w:val="Standard"/>
    <w:pPr>
      <w:suppressLineNumbers/>
      <w:tabs>
        <w:tab w:val="center" w:pos="4680"/>
        <w:tab w:val="right" w:pos="9360"/>
      </w:tabs>
      <w:spacing w:line="240" w:lineRule="auto"/>
    </w:pPr>
  </w:style>
  <w:style w:type="paragraph" w:styleId="NoSpacing">
    <w:name w:val="No Spacing"/>
    <w:pPr>
      <w:widowControl/>
      <w:spacing w:after="0" w:line="100" w:lineRule="atLeast"/>
    </w:pPr>
    <w:rPr>
      <w:rFonts w:ascii="Tinos" w:eastAsia="Droid Sans" w:hAnsi="Tinos" w:cs="DejaVu Sans"/>
      <w:sz w:val="24"/>
      <w:szCs w:val="24"/>
      <w:lang w:val="en-GB" w:eastAsia="hi-IN" w:bidi="hi-IN"/>
    </w:rPr>
  </w:style>
  <w:style w:type="paragraph" w:customStyle="1" w:styleId="PreformattedText">
    <w:name w:val="Preformatted Text"/>
    <w:basedOn w:val="Standard"/>
    <w:rPr>
      <w:rFonts w:ascii="DejaVu Sans Mono" w:eastAsia="DejaVu Sans Mono" w:hAnsi="DejaVu Sans Mono" w:cs="DejaVu Sans Mono"/>
      <w:sz w:val="20"/>
      <w:szCs w:val="20"/>
    </w:rPr>
  </w:style>
  <w:style w:type="paragraph" w:customStyle="1" w:styleId="Contents1">
    <w:name w:val="Contents 1"/>
    <w:basedOn w:val="Standard"/>
    <w:pPr>
      <w:suppressLineNumbers/>
      <w:tabs>
        <w:tab w:val="right" w:leader="dot" w:pos="9360"/>
      </w:tabs>
    </w:pPr>
    <w:rPr>
      <w:rFonts w:cs="DejaVu Sans"/>
    </w:rPr>
  </w:style>
  <w:style w:type="paragraph" w:customStyle="1" w:styleId="ContentsHeading">
    <w:name w:val="Contents Heading"/>
    <w:basedOn w:val="Heading1"/>
    <w:pPr>
      <w:suppressLineNumbers/>
      <w:suppressAutoHyphens w:val="0"/>
      <w:spacing w:before="240" w:line="254" w:lineRule="auto"/>
      <w:jc w:val="left"/>
    </w:pPr>
    <w:rPr>
      <w:rFonts w:ascii="Calibri Light" w:hAnsi="Calibri Light"/>
      <w:b w:val="0"/>
      <w:bCs w:val="0"/>
      <w:color w:val="2E74B5"/>
      <w:sz w:val="32"/>
      <w:szCs w:val="32"/>
      <w:lang w:val="en-US"/>
    </w:rPr>
  </w:style>
  <w:style w:type="character" w:customStyle="1" w:styleId="Heading1Char">
    <w:name w:val="Heading 1 Char"/>
    <w:basedOn w:val="DefaultParagraphFont"/>
    <w:rPr>
      <w:rFonts w:ascii="Times New Roman" w:eastAsia="Times New Roman" w:hAnsi="Times New Roman" w:cs="Times New Roman"/>
      <w:b/>
      <w:bCs/>
      <w:color w:val="000000"/>
      <w:sz w:val="28"/>
      <w:szCs w:val="28"/>
      <w:lang w:val="en-GB" w:eastAsia="ar-SA"/>
    </w:rPr>
  </w:style>
  <w:style w:type="character" w:customStyle="1" w:styleId="FooterChar">
    <w:name w:val="Footer Char"/>
    <w:basedOn w:val="DefaultParagraphFont"/>
    <w:rPr>
      <w:rFonts w:ascii="Times New Roman" w:eastAsia="Calibri" w:hAnsi="Times New Roman" w:cs="Times New Roman"/>
      <w:color w:val="000000"/>
      <w:sz w:val="24"/>
      <w:lang w:val="en-GB" w:eastAsia="ar-SA"/>
    </w:rPr>
  </w:style>
  <w:style w:type="character" w:customStyle="1" w:styleId="IndexLink">
    <w:name w:val="Index Link"/>
  </w:style>
  <w:style w:type="character" w:customStyle="1" w:styleId="Internetlink">
    <w:name w:val="Internet link"/>
    <w:rPr>
      <w:color w:val="000080"/>
      <w:u w:val="single"/>
    </w:rPr>
  </w:style>
  <w:style w:type="character" w:customStyle="1" w:styleId="BulletSymbols">
    <w:name w:val="Bullet Symbols"/>
    <w:rPr>
      <w:rFonts w:ascii="OpenSymbol" w:eastAsia="OpenSymbol" w:hAnsi="OpenSymbol" w:cs="OpenSymbol"/>
    </w:rPr>
  </w:style>
  <w:style w:type="numbering" w:customStyle="1" w:styleId="WWNum1">
    <w:name w:val="WWNum1"/>
    <w:basedOn w:val="NoList"/>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image" Target="media/image1.gif" /><Relationship Id="rId12"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oter" Target="footer1.xml" /><Relationship Id="rId5" Type="http://schemas.openxmlformats.org/officeDocument/2006/relationships/footnotes" Target="footnotes.xml" /><Relationship Id="rId10" Type="http://schemas.openxmlformats.org/officeDocument/2006/relationships/image" Target="media/image4.png" /><Relationship Id="rId4" Type="http://schemas.openxmlformats.org/officeDocument/2006/relationships/webSettings" Target="webSettings.xml" /><Relationship Id="rId9" Type="http://schemas.openxmlformats.org/officeDocument/2006/relationships/image" Target="media/image3.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2195</Words>
  <Characters>12516</Characters>
  <Application>Microsoft Office Word</Application>
  <DocSecurity>0</DocSecurity>
  <Lines>104</Lines>
  <Paragraphs>29</Paragraphs>
  <ScaleCrop>false</ScaleCrop>
  <Company/>
  <LinksUpToDate>false</LinksUpToDate>
  <CharactersWithSpaces>14682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Tahema Begum</cp:lastModifiedBy>
  <cp:revision>2</cp:revision>
  <dcterms:created xsi:type="dcterms:W3CDTF">2023-05-20T16:28:00Z</dcterms:created>
  <dcterms:modified xsi:type="dcterms:W3CDTF">2023-05-20T16:28:00Z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