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0196B3" w14:textId="77777777" w:rsidR="008B668C" w:rsidRPr="008B668C" w:rsidRDefault="008B668C" w:rsidP="008B668C">
      <w:pPr>
        <w:jc w:val="center"/>
        <w:rPr>
          <w:b/>
          <w:bCs/>
          <w:sz w:val="52"/>
          <w:szCs w:val="72"/>
        </w:rPr>
      </w:pPr>
      <w:r w:rsidRPr="008B668C">
        <w:rPr>
          <w:b/>
          <w:bCs/>
          <w:sz w:val="52"/>
          <w:szCs w:val="72"/>
        </w:rPr>
        <w:t xml:space="preserve">THE GLOBAL HARMONY SUMMIT: </w:t>
      </w:r>
    </w:p>
    <w:p w14:paraId="0ADAE2CE" w14:textId="302CBAA8" w:rsidR="008B668C" w:rsidRPr="008B668C" w:rsidRDefault="008B668C" w:rsidP="008B668C">
      <w:pPr>
        <w:jc w:val="center"/>
        <w:rPr>
          <w:b/>
          <w:bCs/>
          <w:sz w:val="36"/>
          <w:szCs w:val="44"/>
        </w:rPr>
      </w:pPr>
      <w:r w:rsidRPr="008B668C">
        <w:rPr>
          <w:b/>
          <w:bCs/>
          <w:sz w:val="36"/>
          <w:szCs w:val="44"/>
        </w:rPr>
        <w:t>CELEBRATING CULTURES, DRIVING INCLUSION</w:t>
      </w:r>
    </w:p>
    <w:p w14:paraId="67593822" w14:textId="77777777" w:rsidR="008B668C" w:rsidRDefault="008B668C" w:rsidP="008B668C"/>
    <w:p w14:paraId="349937C7" w14:textId="78C6B0A1" w:rsidR="008B668C" w:rsidRDefault="008B668C" w:rsidP="008B668C">
      <w:pPr>
        <w:jc w:val="center"/>
      </w:pPr>
      <w:r>
        <w:t>Name:</w:t>
      </w:r>
      <w:r w:rsidR="00DD4687">
        <w:t xml:space="preserve">Krystal Gardner </w:t>
      </w:r>
    </w:p>
    <w:p w14:paraId="04010FF2" w14:textId="19546DAE" w:rsidR="008B668C" w:rsidRDefault="008B668C" w:rsidP="008B668C">
      <w:pPr>
        <w:jc w:val="center"/>
      </w:pPr>
      <w:r>
        <w:t>Student Number:</w:t>
      </w:r>
      <w:r w:rsidR="00DD4687">
        <w:t>2027750</w:t>
      </w:r>
    </w:p>
    <w:p w14:paraId="1C56CAF7" w14:textId="2B86A465" w:rsidR="008B668C" w:rsidRDefault="008B668C" w:rsidP="008B668C">
      <w:pPr>
        <w:jc w:val="center"/>
      </w:pPr>
      <w:r>
        <w:t>Tutor’s Name:</w:t>
      </w:r>
      <w:r w:rsidR="00AD57C2">
        <w:t xml:space="preserve"> Kathryn </w:t>
      </w:r>
      <w:r w:rsidR="00CD561D">
        <w:t>Flynn</w:t>
      </w:r>
    </w:p>
    <w:p w14:paraId="692FB9EC" w14:textId="77777777" w:rsidR="008B668C" w:rsidRDefault="008B668C">
      <w:pPr>
        <w:spacing w:line="276" w:lineRule="auto"/>
        <w:jc w:val="left"/>
      </w:pPr>
      <w:r>
        <w:br w:type="page"/>
      </w:r>
    </w:p>
    <w:p w14:paraId="2CE9DAC6" w14:textId="696C590B" w:rsidR="008B668C" w:rsidRDefault="008B668C" w:rsidP="008B668C">
      <w:pPr>
        <w:pStyle w:val="Heading1"/>
      </w:pPr>
      <w:r>
        <w:lastRenderedPageBreak/>
        <w:t>Slides</w:t>
      </w:r>
    </w:p>
    <w:p w14:paraId="7CA0DC79" w14:textId="388C427D" w:rsidR="008B668C" w:rsidRPr="008B668C" w:rsidRDefault="008B668C" w:rsidP="008B668C">
      <w:pPr>
        <w:pStyle w:val="Heading2"/>
      </w:pPr>
      <w:r w:rsidRPr="008B668C">
        <w:t>Slide 1</w:t>
      </w:r>
    </w:p>
    <w:p w14:paraId="660036E4" w14:textId="5499C886" w:rsidR="008B668C" w:rsidRDefault="008B668C" w:rsidP="008B668C">
      <w:r>
        <w:rPr>
          <w:noProof/>
        </w:rPr>
        <w:drawing>
          <wp:inline distT="0" distB="0" distL="0" distR="0" wp14:anchorId="33F92EDB" wp14:editId="3622314A">
            <wp:extent cx="5715000" cy="32194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AE9AF1" w14:textId="29563B50" w:rsidR="008B668C" w:rsidRDefault="008B668C" w:rsidP="008B668C">
      <w:pPr>
        <w:pStyle w:val="Heading2"/>
      </w:pPr>
      <w:r>
        <w:t>Slide 2</w:t>
      </w:r>
    </w:p>
    <w:p w14:paraId="6C2E3A23" w14:textId="450D8AEC" w:rsidR="008B668C" w:rsidRPr="008B668C" w:rsidRDefault="008B668C" w:rsidP="008B668C">
      <w:r>
        <w:rPr>
          <w:noProof/>
        </w:rPr>
        <w:drawing>
          <wp:inline distT="0" distB="0" distL="0" distR="0" wp14:anchorId="33976856" wp14:editId="461F3432">
            <wp:extent cx="5715000" cy="3219450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7CB044" w14:textId="1704B05C" w:rsidR="008B668C" w:rsidRDefault="008B668C" w:rsidP="008B668C">
      <w:pPr>
        <w:pStyle w:val="Heading2"/>
      </w:pPr>
      <w:r>
        <w:lastRenderedPageBreak/>
        <w:t>Slide 3</w:t>
      </w:r>
    </w:p>
    <w:p w14:paraId="29EE6602" w14:textId="2D77F159" w:rsidR="008B668C" w:rsidRPr="008B668C" w:rsidRDefault="008B668C" w:rsidP="008B668C">
      <w:r>
        <w:rPr>
          <w:noProof/>
        </w:rPr>
        <w:drawing>
          <wp:inline distT="0" distB="0" distL="0" distR="0" wp14:anchorId="6D72BBAC" wp14:editId="58997405">
            <wp:extent cx="5715000" cy="3219450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8BE0C" w14:textId="1204CD05" w:rsidR="008B668C" w:rsidRDefault="008B668C" w:rsidP="008B668C">
      <w:pPr>
        <w:pStyle w:val="Heading2"/>
      </w:pPr>
      <w:r>
        <w:t>Slide 4</w:t>
      </w:r>
    </w:p>
    <w:p w14:paraId="5D39ED31" w14:textId="0CD7CFA4" w:rsidR="008B668C" w:rsidRPr="008B668C" w:rsidRDefault="008B668C" w:rsidP="008B668C">
      <w:r>
        <w:rPr>
          <w:noProof/>
        </w:rPr>
        <w:drawing>
          <wp:inline distT="0" distB="0" distL="0" distR="0" wp14:anchorId="4E456D2A" wp14:editId="1FD7E2AA">
            <wp:extent cx="5715000" cy="321945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6C2A4" w14:textId="381F480F" w:rsidR="008B668C" w:rsidRDefault="008B668C" w:rsidP="008B668C">
      <w:pPr>
        <w:pStyle w:val="Heading2"/>
      </w:pPr>
      <w:r>
        <w:lastRenderedPageBreak/>
        <w:t>Slide 5</w:t>
      </w:r>
    </w:p>
    <w:p w14:paraId="231C390C" w14:textId="1FF17AD4" w:rsidR="008B668C" w:rsidRPr="008B668C" w:rsidRDefault="008B668C" w:rsidP="008B668C">
      <w:r>
        <w:rPr>
          <w:noProof/>
        </w:rPr>
        <w:drawing>
          <wp:inline distT="0" distB="0" distL="0" distR="0" wp14:anchorId="0E01D669" wp14:editId="58863109">
            <wp:extent cx="5715000" cy="3219450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5F0A2" w14:textId="44E9153C" w:rsidR="008B668C" w:rsidRDefault="008B668C" w:rsidP="008B668C">
      <w:pPr>
        <w:pStyle w:val="Heading2"/>
      </w:pPr>
      <w:r>
        <w:t>Slide 6</w:t>
      </w:r>
    </w:p>
    <w:p w14:paraId="3CE081C7" w14:textId="4F8CC878" w:rsidR="008B668C" w:rsidRPr="008B668C" w:rsidRDefault="008B668C" w:rsidP="008B668C">
      <w:r>
        <w:rPr>
          <w:noProof/>
        </w:rPr>
        <w:drawing>
          <wp:inline distT="0" distB="0" distL="0" distR="0" wp14:anchorId="66F38E24" wp14:editId="6E29E6BF">
            <wp:extent cx="5715000" cy="3219450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D6CA4" w14:textId="3810FA9B" w:rsidR="008B668C" w:rsidRDefault="008B668C" w:rsidP="008B668C">
      <w:pPr>
        <w:pStyle w:val="Heading2"/>
      </w:pPr>
      <w:r>
        <w:lastRenderedPageBreak/>
        <w:t>Slide 7</w:t>
      </w:r>
    </w:p>
    <w:p w14:paraId="7E6AE0E6" w14:textId="58717FE8" w:rsidR="008B668C" w:rsidRPr="008B668C" w:rsidRDefault="008B668C" w:rsidP="008B668C">
      <w:r>
        <w:rPr>
          <w:noProof/>
        </w:rPr>
        <w:drawing>
          <wp:inline distT="0" distB="0" distL="0" distR="0" wp14:anchorId="1544BC7A" wp14:editId="4D2060AF">
            <wp:extent cx="5715000" cy="3219450"/>
            <wp:effectExtent l="0" t="0" r="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D97BC" w14:textId="27954921" w:rsidR="008B668C" w:rsidRDefault="008B668C" w:rsidP="008B668C">
      <w:pPr>
        <w:pStyle w:val="Heading2"/>
      </w:pPr>
      <w:r>
        <w:t>Slide 8</w:t>
      </w:r>
    </w:p>
    <w:p w14:paraId="25234E82" w14:textId="12E14A2F" w:rsidR="008B668C" w:rsidRPr="008B668C" w:rsidRDefault="008B668C" w:rsidP="008B668C">
      <w:r>
        <w:rPr>
          <w:noProof/>
        </w:rPr>
        <w:drawing>
          <wp:inline distT="0" distB="0" distL="0" distR="0" wp14:anchorId="67E7A605" wp14:editId="161C0CB6">
            <wp:extent cx="5715000" cy="3219450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2DE11" w14:textId="1A0486C0" w:rsidR="008B668C" w:rsidRDefault="008B668C" w:rsidP="008B668C">
      <w:pPr>
        <w:pStyle w:val="Heading2"/>
      </w:pPr>
      <w:r>
        <w:lastRenderedPageBreak/>
        <w:t>Slide 9</w:t>
      </w:r>
    </w:p>
    <w:p w14:paraId="3AB237B6" w14:textId="0D20E640" w:rsidR="008B668C" w:rsidRPr="008B668C" w:rsidRDefault="008B668C" w:rsidP="008B668C">
      <w:r>
        <w:rPr>
          <w:noProof/>
        </w:rPr>
        <w:drawing>
          <wp:inline distT="0" distB="0" distL="0" distR="0" wp14:anchorId="422DDB6C" wp14:editId="60AE345F">
            <wp:extent cx="5715000" cy="3219450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F0A85" w14:textId="6CD63DC7" w:rsidR="008B668C" w:rsidRDefault="008B668C" w:rsidP="008B668C">
      <w:pPr>
        <w:pStyle w:val="Heading2"/>
      </w:pPr>
      <w:r>
        <w:t>Slide 10</w:t>
      </w:r>
    </w:p>
    <w:p w14:paraId="720CE397" w14:textId="139B9FA2" w:rsidR="008B668C" w:rsidRPr="008B668C" w:rsidRDefault="008B668C" w:rsidP="008B668C">
      <w:r>
        <w:rPr>
          <w:noProof/>
        </w:rPr>
        <w:drawing>
          <wp:inline distT="0" distB="0" distL="0" distR="0" wp14:anchorId="5447C0D9" wp14:editId="381A369F">
            <wp:extent cx="5715000" cy="3219450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41DC5" w14:textId="77777777" w:rsidR="008B668C" w:rsidRPr="008B668C" w:rsidRDefault="008B668C" w:rsidP="008B668C"/>
    <w:p w14:paraId="4CB03779" w14:textId="2B867A24" w:rsidR="008B668C" w:rsidRDefault="008B668C" w:rsidP="008B668C">
      <w:pPr>
        <w:pStyle w:val="Heading1"/>
      </w:pPr>
      <w:r>
        <w:lastRenderedPageBreak/>
        <w:t>References</w:t>
      </w:r>
    </w:p>
    <w:p w14:paraId="3C32986E" w14:textId="07252531" w:rsidR="008B668C" w:rsidRDefault="008B668C" w:rsidP="008B668C">
      <w:r w:rsidRPr="00A86FB0">
        <w:t>Abu, J. (2023). </w:t>
      </w:r>
      <w:r w:rsidRPr="00A86FB0">
        <w:rPr>
          <w:i/>
          <w:iCs/>
        </w:rPr>
        <w:t>Clocktower Advisors</w:t>
      </w:r>
      <w:r w:rsidRPr="00A86FB0">
        <w:t xml:space="preserve">. </w:t>
      </w:r>
      <w:r w:rsidR="00707110">
        <w:t>(</w:t>
      </w:r>
      <w:r w:rsidRPr="00A86FB0">
        <w:t>onlin</w:t>
      </w:r>
      <w:r w:rsidR="00707110">
        <w:t xml:space="preserve">e) </w:t>
      </w:r>
      <w:r w:rsidRPr="00A86FB0">
        <w:t xml:space="preserve">Clocktower Advisors. Available at: https://www.clocktoweradvisors.com/blog/talentpoel-matching-african-talent-worldwide </w:t>
      </w:r>
      <w:r w:rsidR="00BF153A">
        <w:t>(</w:t>
      </w:r>
      <w:r w:rsidRPr="00A86FB0">
        <w:t>Accessed 1 Feb. 2025</w:t>
      </w:r>
      <w:r w:rsidR="00BF153A">
        <w:t>).</w:t>
      </w:r>
    </w:p>
    <w:p w14:paraId="7C0E90CB" w14:textId="168C125A" w:rsidR="008B668C" w:rsidRDefault="008B668C" w:rsidP="008B668C">
      <w:r w:rsidRPr="00914AED">
        <w:t>AES. (2025). </w:t>
      </w:r>
      <w:r w:rsidRPr="00914AED">
        <w:rPr>
          <w:i/>
          <w:iCs/>
        </w:rPr>
        <w:t>2025 AES International Conference on Breaking Barriers in Audio - AES</w:t>
      </w:r>
      <w:r w:rsidRPr="00914AED">
        <w:t xml:space="preserve">. </w:t>
      </w:r>
      <w:r w:rsidR="00225DED">
        <w:t>(</w:t>
      </w:r>
      <w:r w:rsidRPr="00914AED">
        <w:t>onlin</w:t>
      </w:r>
      <w:r w:rsidR="00707110">
        <w:t>e)</w:t>
      </w:r>
      <w:r w:rsidRPr="00914AED">
        <w:t xml:space="preserve"> Available at: https://aes2.org/events-calendar/2025-aes-international-conference-on-breaking-barriers-in-audio/ </w:t>
      </w:r>
      <w:r w:rsidR="00225DED">
        <w:t>(</w:t>
      </w:r>
      <w:r w:rsidRPr="00914AED">
        <w:t>Accessed 1 Feb. 2025</w:t>
      </w:r>
      <w:r w:rsidR="00225DED">
        <w:t>).</w:t>
      </w:r>
    </w:p>
    <w:p w14:paraId="55D5BDF8" w14:textId="070EEBEC" w:rsidR="008B668C" w:rsidRDefault="008B668C" w:rsidP="008B668C">
      <w:r w:rsidRPr="00214863">
        <w:t>AMD (2024). </w:t>
      </w:r>
      <w:r w:rsidRPr="00214863">
        <w:rPr>
          <w:i/>
          <w:iCs/>
        </w:rPr>
        <w:t>Dr. Lisa Su</w:t>
      </w:r>
      <w:r w:rsidRPr="00214863">
        <w:t xml:space="preserve">. </w:t>
      </w:r>
      <w:r w:rsidR="00707110">
        <w:t>(</w:t>
      </w:r>
      <w:r w:rsidRPr="00214863">
        <w:t>online</w:t>
      </w:r>
      <w:r w:rsidR="00707110">
        <w:t>)</w:t>
      </w:r>
      <w:r w:rsidRPr="00214863">
        <w:t xml:space="preserve"> AMD. Available at: </w:t>
      </w:r>
      <w:hyperlink r:id="rId26" w:history="1">
        <w:r w:rsidRPr="00597CC8">
          <w:rPr>
            <w:rStyle w:val="Hyperlink"/>
          </w:rPr>
          <w:t>https://www.amd.com/en/corporate/leadership/lisa-su.html</w:t>
        </w:r>
      </w:hyperlink>
      <w:r w:rsidRPr="00214863">
        <w:t>.</w:t>
      </w:r>
    </w:p>
    <w:p w14:paraId="03E5C79C" w14:textId="77777777" w:rsidR="008B668C" w:rsidRDefault="008B668C" w:rsidP="008B668C">
      <w:r w:rsidRPr="0062049F">
        <w:t>Castillo, M., 2024. Adapting the language of DEI: Communication Frameworks.</w:t>
      </w:r>
    </w:p>
    <w:p w14:paraId="21277075" w14:textId="5FF6BF4C" w:rsidR="008B668C" w:rsidRDefault="008B668C" w:rsidP="008B668C">
      <w:r w:rsidRPr="006E4542">
        <w:t>Darby, J. (2024). </w:t>
      </w:r>
      <w:r w:rsidRPr="006E4542">
        <w:rPr>
          <w:i/>
          <w:iCs/>
        </w:rPr>
        <w:t>The Importance of Cultural Diversity in the Workplace</w:t>
      </w:r>
      <w:r w:rsidRPr="006E4542">
        <w:t>.</w:t>
      </w:r>
      <w:r w:rsidR="00C7603D">
        <w:t xml:space="preserve"> (</w:t>
      </w:r>
      <w:r w:rsidRPr="006E4542">
        <w:t>online</w:t>
      </w:r>
      <w:r w:rsidR="00C7603D">
        <w:t xml:space="preserve">) </w:t>
      </w:r>
      <w:r w:rsidRPr="006E4542">
        <w:t xml:space="preserve">Thomas International. Available at: </w:t>
      </w:r>
      <w:hyperlink r:id="rId27" w:history="1">
        <w:r w:rsidRPr="00597CC8">
          <w:rPr>
            <w:rStyle w:val="Hyperlink"/>
          </w:rPr>
          <w:t>https://www.thomas.co/resources/type/hr-blog/importance-cultural-diversity-workplace</w:t>
        </w:r>
      </w:hyperlink>
      <w:r w:rsidRPr="006E4542">
        <w:t>.</w:t>
      </w:r>
    </w:p>
    <w:p w14:paraId="0112089B" w14:textId="041D281E" w:rsidR="008B668C" w:rsidRDefault="008B668C" w:rsidP="008B668C">
      <w:r>
        <w:t>ExCel London</w:t>
      </w:r>
      <w:r w:rsidRPr="006D5A25">
        <w:t>. (</w:t>
      </w:r>
      <w:r>
        <w:t>2024</w:t>
      </w:r>
      <w:r w:rsidRPr="006D5A25">
        <w:t>). </w:t>
      </w:r>
      <w:proofErr w:type="spellStart"/>
      <w:r w:rsidRPr="006D5A25">
        <w:rPr>
          <w:i/>
          <w:iCs/>
        </w:rPr>
        <w:t>Organising</w:t>
      </w:r>
      <w:proofErr w:type="spellEnd"/>
      <w:r w:rsidRPr="006D5A25">
        <w:rPr>
          <w:i/>
          <w:iCs/>
        </w:rPr>
        <w:t xml:space="preserve"> an event at ExCeL | Welcome to ExCeL London</w:t>
      </w:r>
      <w:r w:rsidRPr="006D5A25">
        <w:t xml:space="preserve">. </w:t>
      </w:r>
      <w:r w:rsidR="00C7603D">
        <w:t>(</w:t>
      </w:r>
      <w:r w:rsidRPr="006D5A25">
        <w:t>online</w:t>
      </w:r>
      <w:r w:rsidR="00C7603D">
        <w:t>)</w:t>
      </w:r>
      <w:r w:rsidRPr="006D5A25">
        <w:t xml:space="preserve"> Available at: </w:t>
      </w:r>
      <w:hyperlink r:id="rId28" w:history="1">
        <w:r w:rsidRPr="00597CC8">
          <w:rPr>
            <w:rStyle w:val="Hyperlink"/>
          </w:rPr>
          <w:t>https://www.excel.london/organiser</w:t>
        </w:r>
      </w:hyperlink>
      <w:r w:rsidRPr="006D5A25">
        <w:t>.</w:t>
      </w:r>
    </w:p>
    <w:p w14:paraId="2BE0DC74" w14:textId="272E2C46" w:rsidR="008B668C" w:rsidRDefault="008B668C" w:rsidP="008B668C">
      <w:r w:rsidRPr="00C77DFE">
        <w:t>Herbert, T. (2024). Council Post: The Importance Of DEI Initiatives In Tech. </w:t>
      </w:r>
      <w:r w:rsidRPr="00C77DFE">
        <w:rPr>
          <w:i/>
          <w:iCs/>
        </w:rPr>
        <w:t>Forbes</w:t>
      </w:r>
      <w:r w:rsidRPr="00C77DFE">
        <w:t xml:space="preserve">. </w:t>
      </w:r>
      <w:r w:rsidR="00587778">
        <w:t>(</w:t>
      </w:r>
      <w:r w:rsidRPr="00C77DFE">
        <w:t>online</w:t>
      </w:r>
      <w:r w:rsidR="00587778">
        <w:t xml:space="preserve">) </w:t>
      </w:r>
      <w:r w:rsidRPr="00C77DFE">
        <w:t xml:space="preserve">12 Aug. Available at: </w:t>
      </w:r>
      <w:hyperlink r:id="rId29" w:history="1">
        <w:r w:rsidRPr="00597CC8">
          <w:rPr>
            <w:rStyle w:val="Hyperlink"/>
          </w:rPr>
          <w:t>https://www.forbes.com/councils/forbesbusinesscouncil/2022/11/15/the-importance-of-dei-initiatives-in-tech/</w:t>
        </w:r>
      </w:hyperlink>
      <w:r w:rsidRPr="00C77DFE">
        <w:t>.</w:t>
      </w:r>
    </w:p>
    <w:p w14:paraId="6C76262E" w14:textId="7F76DEE0" w:rsidR="008B668C" w:rsidRDefault="008B668C" w:rsidP="008B668C">
      <w:r>
        <w:t>LACPA Office</w:t>
      </w:r>
      <w:r w:rsidRPr="00A86FB0">
        <w:t>. (2024). </w:t>
      </w:r>
      <w:r w:rsidRPr="00A86FB0">
        <w:rPr>
          <w:i/>
          <w:iCs/>
        </w:rPr>
        <w:t xml:space="preserve">Celebrating AAPI Heritage Month - A Dr. </w:t>
      </w:r>
      <w:proofErr w:type="spellStart"/>
      <w:r w:rsidRPr="00A86FB0">
        <w:rPr>
          <w:i/>
          <w:iCs/>
        </w:rPr>
        <w:t>Derald</w:t>
      </w:r>
      <w:proofErr w:type="spellEnd"/>
      <w:r w:rsidRPr="00A86FB0">
        <w:rPr>
          <w:i/>
          <w:iCs/>
        </w:rPr>
        <w:t xml:space="preserve"> Wing Sue Highlight</w:t>
      </w:r>
      <w:r w:rsidRPr="00A86FB0">
        <w:t xml:space="preserve">. </w:t>
      </w:r>
      <w:r w:rsidR="00587778">
        <w:t>(</w:t>
      </w:r>
      <w:r w:rsidRPr="00A86FB0">
        <w:t>online</w:t>
      </w:r>
      <w:r w:rsidR="00587778">
        <w:t>)</w:t>
      </w:r>
      <w:r w:rsidRPr="00A86FB0">
        <w:t xml:space="preserve"> Lacpa.org. Available at: https://www.lacpa.org/celebrating-aapi-heritage-month---a-dr--</w:t>
      </w:r>
      <w:proofErr w:type="spellStart"/>
      <w:r w:rsidRPr="00A86FB0">
        <w:t>derald-wing-sue</w:t>
      </w:r>
      <w:proofErr w:type="spellEnd"/>
      <w:r w:rsidRPr="00A86FB0">
        <w:t xml:space="preserve">-highlight </w:t>
      </w:r>
      <w:r w:rsidR="00FD73DB">
        <w:t>(</w:t>
      </w:r>
      <w:r w:rsidRPr="00A86FB0">
        <w:t>Accessed 1 Feb. 2025</w:t>
      </w:r>
      <w:r w:rsidR="00FD73DB">
        <w:t>).</w:t>
      </w:r>
    </w:p>
    <w:p w14:paraId="0BA3A877" w14:textId="77777777" w:rsidR="008B668C" w:rsidRPr="00114CE1" w:rsidRDefault="008B668C" w:rsidP="008B668C">
      <w:r w:rsidRPr="00114CE1">
        <w:t>McKinsey (2023). </w:t>
      </w:r>
      <w:r w:rsidRPr="00114CE1">
        <w:rPr>
          <w:i/>
          <w:iCs/>
        </w:rPr>
        <w:t>Diversity, Equity and Inclusion Lighthouses 2023 | McKinsey</w:t>
      </w:r>
      <w:r w:rsidRPr="00114CE1">
        <w:t>. [online] www.mckinsey.com. Available at: https://www.mckinsey.com/featured-insights/diversity-and-inclusion/diversity-equity-and-inclusion-lighthouses-2023.</w:t>
      </w:r>
    </w:p>
    <w:p w14:paraId="20828EC3" w14:textId="2D4AA678" w:rsidR="008B668C" w:rsidRDefault="008B668C" w:rsidP="008B668C">
      <w:proofErr w:type="spellStart"/>
      <w:r w:rsidRPr="00C77DFE">
        <w:t>Odisho</w:t>
      </w:r>
      <w:proofErr w:type="spellEnd"/>
      <w:r w:rsidRPr="00C77DFE">
        <w:t>, T. (2023). </w:t>
      </w:r>
      <w:r w:rsidRPr="00C77DFE">
        <w:rPr>
          <w:i/>
          <w:iCs/>
        </w:rPr>
        <w:t>8 Steps to Host a DEI Summit - Senior Executive</w:t>
      </w:r>
      <w:r w:rsidRPr="00C77DFE">
        <w:t xml:space="preserve">. </w:t>
      </w:r>
      <w:r w:rsidR="00FD73DB">
        <w:t>(</w:t>
      </w:r>
      <w:r w:rsidRPr="00C77DFE">
        <w:t>online</w:t>
      </w:r>
      <w:r w:rsidR="00FD73DB">
        <w:t xml:space="preserve">) </w:t>
      </w:r>
      <w:r w:rsidRPr="00C77DFE">
        <w:t xml:space="preserve">Senior Executive. Available at: https://seniorexecutive.com/8-steps-to-host-a-dei-summit/ </w:t>
      </w:r>
      <w:r w:rsidR="00FD73DB">
        <w:t>(</w:t>
      </w:r>
      <w:r w:rsidRPr="00C77DFE">
        <w:t>Accessed 1 Feb. 2025</w:t>
      </w:r>
      <w:r w:rsidR="00FD73DB">
        <w:t>).</w:t>
      </w:r>
    </w:p>
    <w:p w14:paraId="4BAB84CA" w14:textId="65F26F33" w:rsidR="008B668C" w:rsidRDefault="008B668C" w:rsidP="008B668C">
      <w:r w:rsidRPr="00114CE1">
        <w:lastRenderedPageBreak/>
        <w:t>Powell, A., Francis-Devine, B. and Foley, N. (2020). Unemployment by ethnic background. </w:t>
      </w:r>
      <w:r w:rsidRPr="00114CE1">
        <w:rPr>
          <w:i/>
          <w:iCs/>
        </w:rPr>
        <w:t>commonslibrary.parliament.uk</w:t>
      </w:r>
      <w:r w:rsidRPr="00114CE1">
        <w:t xml:space="preserve">. </w:t>
      </w:r>
      <w:r w:rsidR="00FD73DB">
        <w:t>(</w:t>
      </w:r>
      <w:r w:rsidRPr="00114CE1">
        <w:t>online</w:t>
      </w:r>
      <w:r w:rsidR="00FD73DB">
        <w:t>)</w:t>
      </w:r>
      <w:r w:rsidRPr="00114CE1">
        <w:t xml:space="preserve"> Available at: </w:t>
      </w:r>
      <w:hyperlink r:id="rId30" w:history="1">
        <w:r w:rsidRPr="00597CC8">
          <w:rPr>
            <w:rStyle w:val="Hyperlink"/>
          </w:rPr>
          <w:t>https://commonslibrary.parliament.uk/research-briefings/sn06385/</w:t>
        </w:r>
      </w:hyperlink>
      <w:r w:rsidRPr="00114CE1">
        <w:t>.</w:t>
      </w:r>
    </w:p>
    <w:p w14:paraId="0E120AD5" w14:textId="77777777" w:rsidR="008B668C" w:rsidRDefault="008B668C" w:rsidP="008B668C">
      <w:r w:rsidRPr="0062049F">
        <w:t>Rogers, T. and Wynn-Moylan, P., 2022. </w:t>
      </w:r>
      <w:r w:rsidRPr="0062049F">
        <w:rPr>
          <w:i/>
          <w:iCs/>
        </w:rPr>
        <w:t>Conferences and conventions: A global industry</w:t>
      </w:r>
      <w:r w:rsidRPr="0062049F">
        <w:t>. Routledge.</w:t>
      </w:r>
    </w:p>
    <w:p w14:paraId="653651DD" w14:textId="5559E450" w:rsidR="008B668C" w:rsidRDefault="008B668C" w:rsidP="008B668C">
      <w:r w:rsidRPr="00A86FB0">
        <w:t>Sagar, K. (20</w:t>
      </w:r>
      <w:r>
        <w:t>24</w:t>
      </w:r>
      <w:r w:rsidRPr="00A86FB0">
        <w:t>). </w:t>
      </w:r>
      <w:r w:rsidRPr="00A86FB0">
        <w:rPr>
          <w:i/>
          <w:iCs/>
        </w:rPr>
        <w:t>20 Most Influential HR Leaders in 2024</w:t>
      </w:r>
      <w:r w:rsidRPr="00A86FB0">
        <w:t xml:space="preserve">. </w:t>
      </w:r>
      <w:r w:rsidR="00F1562A">
        <w:t>(</w:t>
      </w:r>
      <w:r w:rsidRPr="00A86FB0">
        <w:t>online</w:t>
      </w:r>
      <w:r w:rsidR="00F1562A">
        <w:t xml:space="preserve">) </w:t>
      </w:r>
      <w:r w:rsidRPr="00A86FB0">
        <w:t xml:space="preserve">SoftwareSuggest Blog. Available at: </w:t>
      </w:r>
      <w:hyperlink r:id="rId31" w:history="1">
        <w:r w:rsidRPr="00597CC8">
          <w:rPr>
            <w:rStyle w:val="Hyperlink"/>
          </w:rPr>
          <w:t>https://www.softwaresuggest.com/blog/top-hr-managers/</w:t>
        </w:r>
      </w:hyperlink>
      <w:r w:rsidRPr="00A86FB0">
        <w:t>.</w:t>
      </w:r>
    </w:p>
    <w:p w14:paraId="6FEF65DF" w14:textId="4DBE3942" w:rsidR="008B668C" w:rsidRDefault="008B668C" w:rsidP="008B668C">
      <w:r w:rsidRPr="00730187">
        <w:t>SBI Association Management (2024). </w:t>
      </w:r>
      <w:r w:rsidRPr="00730187">
        <w:rPr>
          <w:i/>
          <w:iCs/>
        </w:rPr>
        <w:t>Diversity, Equity, and Inclusion in Conference Planning: A Comprehensive Checklist - SBI Association Management</w:t>
      </w:r>
      <w:r w:rsidRPr="00730187">
        <w:t xml:space="preserve">. [online] SBI Association Management. Available at: https://sbims.com/diversity-equity-and-inclusion-in-conference-planning-a-comprehensive-checklist/ </w:t>
      </w:r>
      <w:r w:rsidR="00F1562A">
        <w:t>(</w:t>
      </w:r>
      <w:r w:rsidRPr="00730187">
        <w:t>Accessed 1 Feb. 2025</w:t>
      </w:r>
      <w:r w:rsidR="00F1562A">
        <w:t>).</w:t>
      </w:r>
    </w:p>
    <w:p w14:paraId="4E240D01" w14:textId="660F936E" w:rsidR="008B668C" w:rsidRDefault="008B668C" w:rsidP="008B668C">
      <w:proofErr w:type="spellStart"/>
      <w:r w:rsidRPr="00730187">
        <w:t>Seigle</w:t>
      </w:r>
      <w:proofErr w:type="spellEnd"/>
      <w:r w:rsidRPr="00730187">
        <w:t>, S. (2024). </w:t>
      </w:r>
      <w:r w:rsidRPr="00730187">
        <w:rPr>
          <w:i/>
          <w:iCs/>
        </w:rPr>
        <w:t>5 KPIs to help events meet DEI targets</w:t>
      </w:r>
      <w:r w:rsidRPr="00730187">
        <w:t xml:space="preserve">. </w:t>
      </w:r>
      <w:r w:rsidR="004E43F7">
        <w:t>(</w:t>
      </w:r>
      <w:r w:rsidRPr="00730187">
        <w:t>online</w:t>
      </w:r>
      <w:r w:rsidR="004E43F7">
        <w:t xml:space="preserve">) </w:t>
      </w:r>
      <w:r w:rsidRPr="00730187">
        <w:t xml:space="preserve">Reed &amp; Mackay. Available at: https://reedmackay.com/5-kpis-to-help-events-meet-dei-targets </w:t>
      </w:r>
      <w:r w:rsidR="004E43F7">
        <w:t>(</w:t>
      </w:r>
      <w:r w:rsidRPr="00730187">
        <w:t>Accessed 1 Feb. 2025</w:t>
      </w:r>
      <w:r w:rsidR="004E43F7">
        <w:t>).</w:t>
      </w:r>
    </w:p>
    <w:p w14:paraId="5813B5E8" w14:textId="65F25BE0" w:rsidR="008B668C" w:rsidRDefault="008B668C" w:rsidP="008B668C">
      <w:r>
        <w:t>SHRM</w:t>
      </w:r>
      <w:r w:rsidRPr="00914AED">
        <w:t>. (</w:t>
      </w:r>
      <w:r>
        <w:t>2025</w:t>
      </w:r>
      <w:r w:rsidRPr="00914AED">
        <w:t>). </w:t>
      </w:r>
      <w:r w:rsidRPr="00914AED">
        <w:rPr>
          <w:i/>
          <w:iCs/>
        </w:rPr>
        <w:t>INCLUSION 202</w:t>
      </w:r>
      <w:r>
        <w:rPr>
          <w:i/>
          <w:iCs/>
        </w:rPr>
        <w:t>5</w:t>
      </w:r>
      <w:r w:rsidRPr="00914AED">
        <w:rPr>
          <w:i/>
          <w:iCs/>
        </w:rPr>
        <w:t xml:space="preserve"> | Conferences</w:t>
      </w:r>
      <w:r w:rsidRPr="00914AED">
        <w:t xml:space="preserve">. </w:t>
      </w:r>
      <w:r w:rsidR="004E43F7">
        <w:t>(</w:t>
      </w:r>
      <w:r w:rsidRPr="00914AED">
        <w:t>online</w:t>
      </w:r>
      <w:r w:rsidR="004E43F7">
        <w:t xml:space="preserve">) </w:t>
      </w:r>
      <w:r w:rsidRPr="00914AED">
        <w:t xml:space="preserve">Available at: </w:t>
      </w:r>
      <w:hyperlink r:id="rId32" w:history="1">
        <w:r w:rsidRPr="00597CC8">
          <w:rPr>
            <w:rStyle w:val="Hyperlink"/>
          </w:rPr>
          <w:t>https://conferences.shrm.org/inclusion</w:t>
        </w:r>
      </w:hyperlink>
      <w:r w:rsidRPr="00914AED">
        <w:t>.</w:t>
      </w:r>
    </w:p>
    <w:p w14:paraId="07365742" w14:textId="08AD6F7F" w:rsidR="008B668C" w:rsidRDefault="008B668C" w:rsidP="008B668C">
      <w:proofErr w:type="spellStart"/>
      <w:r>
        <w:t>S</w:t>
      </w:r>
      <w:r w:rsidRPr="00114CE1">
        <w:t>terndorff</w:t>
      </w:r>
      <w:proofErr w:type="spellEnd"/>
      <w:r w:rsidRPr="00114CE1">
        <w:t xml:space="preserve">, </w:t>
      </w:r>
      <w:r>
        <w:t>M.</w:t>
      </w:r>
      <w:r w:rsidRPr="00114CE1">
        <w:t xml:space="preserve"> (2024). </w:t>
      </w:r>
      <w:r w:rsidRPr="00114CE1">
        <w:rPr>
          <w:i/>
          <w:iCs/>
        </w:rPr>
        <w:t>The DEI Business Case: How DEI Drive Business Success</w:t>
      </w:r>
      <w:r w:rsidRPr="00114CE1">
        <w:t xml:space="preserve">. </w:t>
      </w:r>
      <w:r w:rsidR="00F02337">
        <w:t>(</w:t>
      </w:r>
      <w:r w:rsidRPr="00114CE1">
        <w:t>online</w:t>
      </w:r>
      <w:r w:rsidR="00F02337">
        <w:t xml:space="preserve">) </w:t>
      </w:r>
      <w:r w:rsidRPr="00114CE1">
        <w:t xml:space="preserve">Living Institute. Available at: </w:t>
      </w:r>
      <w:hyperlink r:id="rId33" w:history="1">
        <w:r w:rsidRPr="00597CC8">
          <w:rPr>
            <w:rStyle w:val="Hyperlink"/>
          </w:rPr>
          <w:t>https://livinginstitute.com/news/resources/dei-business-case/</w:t>
        </w:r>
      </w:hyperlink>
      <w:r w:rsidRPr="00114CE1">
        <w:t>.</w:t>
      </w:r>
    </w:p>
    <w:p w14:paraId="4ABE2783" w14:textId="0F8682AD" w:rsidR="008B668C" w:rsidRDefault="008B668C" w:rsidP="008B668C">
      <w:r w:rsidRPr="00A86FB0">
        <w:t>UN Women. (2019). </w:t>
      </w:r>
      <w:r w:rsidRPr="00A86FB0">
        <w:rPr>
          <w:i/>
          <w:iCs/>
        </w:rPr>
        <w:t>About Us: Directorate: Executive Director</w:t>
      </w:r>
      <w:r w:rsidRPr="00A86FB0">
        <w:t xml:space="preserve">. </w:t>
      </w:r>
      <w:r w:rsidR="00F02337">
        <w:t>(</w:t>
      </w:r>
      <w:r w:rsidRPr="00A86FB0">
        <w:t>online</w:t>
      </w:r>
      <w:r w:rsidR="00F02337">
        <w:t>)</w:t>
      </w:r>
      <w:r w:rsidRPr="00A86FB0">
        <w:t xml:space="preserve"> Available at: </w:t>
      </w:r>
      <w:hyperlink r:id="rId34" w:history="1">
        <w:r w:rsidRPr="00597CC8">
          <w:rPr>
            <w:rStyle w:val="Hyperlink"/>
          </w:rPr>
          <w:t>https://www.unwomen.org/en/about-us/directorate/executive-director</w:t>
        </w:r>
      </w:hyperlink>
      <w:r w:rsidRPr="00A86FB0">
        <w:t>.</w:t>
      </w:r>
    </w:p>
    <w:p w14:paraId="7BFEB0B1" w14:textId="68FAAABE" w:rsidR="008B668C" w:rsidRDefault="008B668C" w:rsidP="008B668C">
      <w:r>
        <w:t>University of Michigan.</w:t>
      </w:r>
      <w:r w:rsidRPr="0062049F">
        <w:t xml:space="preserve"> (</w:t>
      </w:r>
      <w:r>
        <w:t>2024</w:t>
      </w:r>
      <w:r w:rsidRPr="0062049F">
        <w:t>). </w:t>
      </w:r>
      <w:r w:rsidRPr="0062049F">
        <w:rPr>
          <w:i/>
          <w:iCs/>
        </w:rPr>
        <w:t>Marketing and Communications | Diversity, Equity &amp; Inclusion | University of Michigan</w:t>
      </w:r>
      <w:r w:rsidRPr="0062049F">
        <w:t xml:space="preserve">. </w:t>
      </w:r>
      <w:r w:rsidR="00F02337">
        <w:t>(</w:t>
      </w:r>
      <w:r w:rsidRPr="0062049F">
        <w:t>online</w:t>
      </w:r>
      <w:r w:rsidR="00F02337">
        <w:t>)</w:t>
      </w:r>
      <w:r w:rsidRPr="0062049F">
        <w:t xml:space="preserve"> Available at: </w:t>
      </w:r>
      <w:hyperlink r:id="rId35" w:history="1">
        <w:r w:rsidRPr="00597CC8">
          <w:rPr>
            <w:rStyle w:val="Hyperlink"/>
          </w:rPr>
          <w:t>https://diversity.umich.edu/dei-strategic-plan/building-an-institutional-plan/foundational-components/marketing-and-communications/</w:t>
        </w:r>
      </w:hyperlink>
      <w:r w:rsidRPr="0062049F">
        <w:t>.</w:t>
      </w:r>
    </w:p>
    <w:p w14:paraId="74CD69EA" w14:textId="665B1337" w:rsidR="008B668C" w:rsidRDefault="008B668C" w:rsidP="008B668C">
      <w:r>
        <w:t>Visiting London</w:t>
      </w:r>
      <w:r w:rsidRPr="006D5A25">
        <w:t>. (2024). </w:t>
      </w:r>
      <w:r w:rsidRPr="006D5A25">
        <w:rPr>
          <w:i/>
          <w:iCs/>
        </w:rPr>
        <w:t>Excel London</w:t>
      </w:r>
      <w:r w:rsidRPr="006D5A25">
        <w:t xml:space="preserve">. </w:t>
      </w:r>
      <w:r w:rsidR="00D92A68">
        <w:t>(</w:t>
      </w:r>
      <w:r w:rsidRPr="006D5A25">
        <w:t>online</w:t>
      </w:r>
      <w:r w:rsidR="00D92A68">
        <w:t>)</w:t>
      </w:r>
      <w:r w:rsidRPr="006D5A25">
        <w:t xml:space="preserve"> Available at: https://www.visitlondon.com/things-to-do/place/178413-excel-london?_gl=1 </w:t>
      </w:r>
      <w:r w:rsidR="00D92A68">
        <w:t>(</w:t>
      </w:r>
      <w:r w:rsidRPr="006D5A25">
        <w:t>Accessed 1 Feb. 2025</w:t>
      </w:r>
      <w:r w:rsidR="00D92A68">
        <w:t>).</w:t>
      </w:r>
    </w:p>
    <w:p w14:paraId="791088A3" w14:textId="77777777" w:rsidR="006D5A25" w:rsidRPr="00DD0B98" w:rsidRDefault="006D5A25" w:rsidP="008B668C"/>
    <w:sectPr w:rsidR="006D5A25" w:rsidRPr="00DD0B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6A2D69" w14:textId="77777777" w:rsidR="00E22A34" w:rsidRDefault="00E22A34" w:rsidP="008B668C">
      <w:pPr>
        <w:spacing w:after="0" w:line="240" w:lineRule="auto"/>
      </w:pPr>
      <w:r>
        <w:separator/>
      </w:r>
    </w:p>
  </w:endnote>
  <w:endnote w:type="continuationSeparator" w:id="0">
    <w:p w14:paraId="5F5153CF" w14:textId="77777777" w:rsidR="00E22A34" w:rsidRDefault="00E22A34" w:rsidP="008B66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8295E0" w14:textId="77777777" w:rsidR="00E22A34" w:rsidRDefault="00E22A34" w:rsidP="008B668C">
      <w:pPr>
        <w:spacing w:after="0" w:line="240" w:lineRule="auto"/>
      </w:pPr>
      <w:r>
        <w:separator/>
      </w:r>
    </w:p>
  </w:footnote>
  <w:footnote w:type="continuationSeparator" w:id="0">
    <w:p w14:paraId="714AD7F0" w14:textId="77777777" w:rsidR="00E22A34" w:rsidRDefault="00E22A34" w:rsidP="008B66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MLKwNDYxNbU0MrWwMDVS0lEKTi0uzszPAykwrAUAyyuxJCwAAAA="/>
  </w:docVars>
  <w:rsids>
    <w:rsidRoot w:val="00DD0B98"/>
    <w:rsid w:val="00114CE1"/>
    <w:rsid w:val="00214863"/>
    <w:rsid w:val="00225DED"/>
    <w:rsid w:val="004E43F7"/>
    <w:rsid w:val="004F3166"/>
    <w:rsid w:val="00587778"/>
    <w:rsid w:val="0062049F"/>
    <w:rsid w:val="006D5A25"/>
    <w:rsid w:val="006E4542"/>
    <w:rsid w:val="00707110"/>
    <w:rsid w:val="00730187"/>
    <w:rsid w:val="007B633F"/>
    <w:rsid w:val="007D171F"/>
    <w:rsid w:val="008B668C"/>
    <w:rsid w:val="00914AED"/>
    <w:rsid w:val="009B66A8"/>
    <w:rsid w:val="00A86FB0"/>
    <w:rsid w:val="00AD57C2"/>
    <w:rsid w:val="00B13F8B"/>
    <w:rsid w:val="00BD4E99"/>
    <w:rsid w:val="00BF153A"/>
    <w:rsid w:val="00C7603D"/>
    <w:rsid w:val="00C77DFE"/>
    <w:rsid w:val="00CD561D"/>
    <w:rsid w:val="00D92A68"/>
    <w:rsid w:val="00DD0B98"/>
    <w:rsid w:val="00DD4687"/>
    <w:rsid w:val="00E22A34"/>
    <w:rsid w:val="00F02337"/>
    <w:rsid w:val="00F1562A"/>
    <w:rsid w:val="00FD73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C7C4D"/>
  <w15:chartTrackingRefBased/>
  <w15:docId w15:val="{016F64E8-3CAB-4CCF-AA82-4F3F30AB4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BD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668C"/>
    <w:pPr>
      <w:spacing w:line="360" w:lineRule="auto"/>
      <w:jc w:val="both"/>
    </w:pPr>
    <w:rPr>
      <w:rFonts w:ascii="Times New Roman" w:hAnsi="Times New Roman" w:cs="Times New Roman"/>
      <w:sz w:val="24"/>
      <w:szCs w:val="32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668C"/>
    <w:pPr>
      <w:keepNext/>
      <w:keepLines/>
      <w:spacing w:before="240" w:after="0"/>
      <w:outlineLvl w:val="0"/>
    </w:pPr>
    <w:rPr>
      <w:rFonts w:eastAsiaTheme="majorEastAsia"/>
      <w:b/>
      <w:bCs/>
      <w:color w:val="000000" w:themeColor="text1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668C"/>
    <w:pPr>
      <w:keepNext/>
      <w:keepLines/>
      <w:spacing w:before="40" w:after="0"/>
      <w:outlineLvl w:val="1"/>
    </w:pPr>
    <w:rPr>
      <w:rFonts w:eastAsiaTheme="majorEastAsia"/>
      <w:i/>
      <w:iCs/>
      <w:color w:val="000000" w:themeColor="text1"/>
      <w:sz w:val="26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7D171F"/>
    <w:pPr>
      <w:spacing w:line="240" w:lineRule="auto"/>
    </w:pPr>
    <w:rPr>
      <w:i/>
      <w:iCs/>
      <w:color w:val="1F497D" w:themeColor="text2"/>
      <w:sz w:val="18"/>
      <w:szCs w:val="18"/>
      <w:lang w:bidi="ar-SA"/>
    </w:rPr>
  </w:style>
  <w:style w:type="character" w:styleId="CommentReference">
    <w:name w:val="annotation reference"/>
    <w:basedOn w:val="DefaultParagraphFont"/>
    <w:uiPriority w:val="99"/>
    <w:semiHidden/>
    <w:unhideWhenUsed/>
    <w:rsid w:val="007D171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D171F"/>
    <w:pPr>
      <w:spacing w:before="120" w:after="120" w:line="240" w:lineRule="auto"/>
    </w:pPr>
    <w:rPr>
      <w:sz w:val="20"/>
      <w:szCs w:val="20"/>
      <w:lang w:bidi="ar-SA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D171F"/>
    <w:rPr>
      <w:rFonts w:ascii="Times New Roman" w:hAnsi="Times New Roman"/>
      <w:sz w:val="20"/>
      <w:szCs w:val="20"/>
      <w:lang w:bidi="ar-SA"/>
    </w:rPr>
  </w:style>
  <w:style w:type="character" w:customStyle="1" w:styleId="Heading1Char">
    <w:name w:val="Heading 1 Char"/>
    <w:basedOn w:val="DefaultParagraphFont"/>
    <w:link w:val="Heading1"/>
    <w:uiPriority w:val="9"/>
    <w:rsid w:val="008B668C"/>
    <w:rPr>
      <w:rFonts w:ascii="Times New Roman" w:eastAsiaTheme="majorEastAsia" w:hAnsi="Times New Roman" w:cs="Times New Roman"/>
      <w:b/>
      <w:bCs/>
      <w:color w:val="000000" w:themeColor="text1"/>
      <w:sz w:val="32"/>
      <w:szCs w:val="40"/>
    </w:rPr>
  </w:style>
  <w:style w:type="character" w:styleId="Hyperlink">
    <w:name w:val="Hyperlink"/>
    <w:basedOn w:val="DefaultParagraphFont"/>
    <w:uiPriority w:val="99"/>
    <w:unhideWhenUsed/>
    <w:rsid w:val="00C77DF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7DF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4CE1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14CE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B66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668C"/>
    <w:rPr>
      <w:rFonts w:ascii="Times New Roman" w:hAnsi="Times New Roman" w:cs="Times New Roman"/>
      <w:sz w:val="24"/>
      <w:szCs w:val="32"/>
    </w:rPr>
  </w:style>
  <w:style w:type="paragraph" w:styleId="Footer">
    <w:name w:val="footer"/>
    <w:basedOn w:val="Normal"/>
    <w:link w:val="FooterChar"/>
    <w:uiPriority w:val="99"/>
    <w:unhideWhenUsed/>
    <w:rsid w:val="008B66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668C"/>
    <w:rPr>
      <w:rFonts w:ascii="Times New Roman" w:hAnsi="Times New Roman" w:cs="Times New Roman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B668C"/>
    <w:rPr>
      <w:rFonts w:ascii="Times New Roman" w:eastAsiaTheme="majorEastAsia" w:hAnsi="Times New Roman" w:cs="Times New Roman"/>
      <w:i/>
      <w:iCs/>
      <w:color w:val="000000" w:themeColor="text1"/>
      <w:sz w:val="26"/>
      <w:szCs w:val="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44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13038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09157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20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42521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07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87431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65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hyperlink" Target="https://www.amd.com/en/corporate/leadership/lisa-su.html" TargetMode="External"/><Relationship Id="rId21" Type="http://schemas.openxmlformats.org/officeDocument/2006/relationships/image" Target="media/image16.svg"/><Relationship Id="rId34" Type="http://schemas.openxmlformats.org/officeDocument/2006/relationships/hyperlink" Target="https://www.unwomen.org/en/about-us/directorate/executive-director" TargetMode="Externa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33" Type="http://schemas.openxmlformats.org/officeDocument/2006/relationships/hyperlink" Target="https://livinginstitute.com/news/resources/dei-business-case/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hyperlink" Target="https://www.forbes.com/councils/forbesbusinesscouncil/2022/11/15/the-importance-of-dei-initiatives-in-tech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32" Type="http://schemas.openxmlformats.org/officeDocument/2006/relationships/hyperlink" Target="https://conferences.shrm.org/inclusion" TargetMode="Externa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hyperlink" Target="https://www.excel.london/organiser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31" Type="http://schemas.openxmlformats.org/officeDocument/2006/relationships/hyperlink" Target="https://www.softwaresuggest.com/blog/top-hr-managers/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hyperlink" Target="https://www.thomas.co/resources/type/hr-blog/importance-cultural-diversity-workplace" TargetMode="External"/><Relationship Id="rId30" Type="http://schemas.openxmlformats.org/officeDocument/2006/relationships/hyperlink" Target="https://commonslibrary.parliament.uk/research-briefings/sn06385/" TargetMode="External"/><Relationship Id="rId35" Type="http://schemas.openxmlformats.org/officeDocument/2006/relationships/hyperlink" Target="https://diversity.umich.edu/dei-strategic-plan/building-an-institutional-plan/foundational-components/marketing-and-communications/" TargetMode="External"/><Relationship Id="rId8" Type="http://schemas.openxmlformats.org/officeDocument/2006/relationships/image" Target="media/image3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715</Words>
  <Characters>4079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Towsif Ur Rahman</dc:creator>
  <cp:keywords/>
  <dc:description/>
  <cp:lastModifiedBy>Krystal Gardner (2027750)</cp:lastModifiedBy>
  <cp:revision>15</cp:revision>
  <dcterms:created xsi:type="dcterms:W3CDTF">2025-02-03T14:10:00Z</dcterms:created>
  <dcterms:modified xsi:type="dcterms:W3CDTF">2025-02-03T14:19:00Z</dcterms:modified>
</cp:coreProperties>
</file>