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F9EB70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81689">
              <w:rPr>
                <w:rFonts w:ascii="Times New Roman" w:hAnsi="Times New Roman" w:cs="Times New Roman"/>
                <w:b/>
                <w:color w:val="auto"/>
                <w:sz w:val="48"/>
              </w:rPr>
              <w:t>Joanne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49DE8A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81689">
              <w:rPr>
                <w:rFonts w:ascii="Times New Roman" w:hAnsi="Times New Roman" w:cs="Times New Roman"/>
                <w:b/>
                <w:color w:val="auto"/>
                <w:sz w:val="48"/>
              </w:rPr>
              <w:t xml:space="preserve"> J.williams18@npt.gov.uk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8754319"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59BC4C4" w14:textId="394387A6" w:rsidR="00A81689" w:rsidRPr="005D3F07" w:rsidRDefault="00A8168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2317663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138A4325"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3A3E910C" w14:textId="7ADB16AE" w:rsidR="000539ED" w:rsidRDefault="000539ED" w:rsidP="00FF7EBB">
            <w:pPr>
              <w:jc w:val="both"/>
              <w:rPr>
                <w:sz w:val="24"/>
                <w:szCs w:val="24"/>
              </w:rPr>
            </w:pPr>
          </w:p>
          <w:p w14:paraId="2872E1E4" w14:textId="0834B8A2" w:rsidR="000539ED" w:rsidRPr="00BE23B6" w:rsidRDefault="000539ED" w:rsidP="000539ED">
            <w:pPr>
              <w:spacing w:after="240" w:line="276" w:lineRule="auto"/>
              <w:rPr>
                <w:rFonts w:ascii="Times New Roman" w:hAnsi="Times New Roman" w:cs="Times New Roman"/>
                <w:sz w:val="24"/>
                <w:szCs w:val="24"/>
              </w:rPr>
            </w:pPr>
            <w:r w:rsidRPr="00BE23B6">
              <w:rPr>
                <w:rFonts w:ascii="Times New Roman" w:hAnsi="Times New Roman" w:cs="Times New Roman"/>
                <w:sz w:val="24"/>
                <w:szCs w:val="24"/>
              </w:rPr>
              <w:t>An essential component of social work is protection and safeguarding. Promoting the wellbeing of people who could be at significant risk of harm, including adults and children, is rarely easy and is frequently complicated (</w:t>
            </w:r>
            <w:proofErr w:type="spellStart"/>
            <w:r w:rsidRPr="00BE23B6">
              <w:rPr>
                <w:rFonts w:ascii="Times New Roman" w:hAnsi="Times New Roman" w:cs="Times New Roman"/>
                <w:sz w:val="24"/>
                <w:szCs w:val="24"/>
              </w:rPr>
              <w:t>Chisnell</w:t>
            </w:r>
            <w:proofErr w:type="spellEnd"/>
            <w:r w:rsidRPr="00BE23B6">
              <w:rPr>
                <w:rFonts w:ascii="Times New Roman" w:hAnsi="Times New Roman" w:cs="Times New Roman"/>
                <w:sz w:val="24"/>
                <w:szCs w:val="24"/>
              </w:rPr>
              <w:t xml:space="preserve"> &amp; </w:t>
            </w:r>
            <w:r w:rsidR="00FD01B8" w:rsidRPr="00BE23B6">
              <w:rPr>
                <w:rFonts w:ascii="Times New Roman" w:hAnsi="Times New Roman" w:cs="Times New Roman"/>
                <w:sz w:val="24"/>
                <w:szCs w:val="24"/>
              </w:rPr>
              <w:t xml:space="preserve">Kelly 2016).  </w:t>
            </w:r>
            <w:r w:rsidRPr="00BE23B6">
              <w:rPr>
                <w:rFonts w:ascii="Times New Roman" w:hAnsi="Times New Roman" w:cs="Times New Roman"/>
                <w:sz w:val="24"/>
                <w:szCs w:val="24"/>
              </w:rPr>
              <w:t xml:space="preserve">There was no </w:t>
            </w:r>
            <w:r w:rsidR="006B7697" w:rsidRPr="00BE23B6">
              <w:rPr>
                <w:rFonts w:ascii="Times New Roman" w:hAnsi="Times New Roman" w:cs="Times New Roman"/>
                <w:sz w:val="24"/>
                <w:szCs w:val="24"/>
              </w:rPr>
              <w:t xml:space="preserve">clear and coherent </w:t>
            </w:r>
            <w:r w:rsidRPr="00BE23B6">
              <w:rPr>
                <w:rFonts w:ascii="Times New Roman" w:hAnsi="Times New Roman" w:cs="Times New Roman"/>
                <w:sz w:val="24"/>
                <w:szCs w:val="24"/>
              </w:rPr>
              <w:t>legal framework in place for the protection of vulnerable adults prior to the adoption of the Social Services and Well-Being (Wa</w:t>
            </w:r>
            <w:r w:rsidR="00FD01B8" w:rsidRPr="00BE23B6">
              <w:rPr>
                <w:rFonts w:ascii="Times New Roman" w:hAnsi="Times New Roman" w:cs="Times New Roman"/>
                <w:sz w:val="24"/>
                <w:szCs w:val="24"/>
              </w:rPr>
              <w:t>les) Act (SSWBA) 2014 and it appeared</w:t>
            </w:r>
            <w:r w:rsidRPr="00BE23B6">
              <w:rPr>
                <w:rFonts w:ascii="Times New Roman" w:hAnsi="Times New Roman" w:cs="Times New Roman"/>
                <w:sz w:val="24"/>
                <w:szCs w:val="24"/>
              </w:rPr>
              <w:t xml:space="preserve"> that adult and child safeguarding wa</w:t>
            </w:r>
            <w:r w:rsidR="00FD01B8" w:rsidRPr="00BE23B6">
              <w:rPr>
                <w:rFonts w:ascii="Times New Roman" w:hAnsi="Times New Roman" w:cs="Times New Roman"/>
                <w:sz w:val="24"/>
                <w:szCs w:val="24"/>
              </w:rPr>
              <w:t xml:space="preserve">s separate from one another.  </w:t>
            </w:r>
            <w:r w:rsidR="00617A55" w:rsidRPr="00BE23B6">
              <w:rPr>
                <w:rFonts w:ascii="Times New Roman" w:hAnsi="Times New Roman" w:cs="Times New Roman"/>
                <w:sz w:val="24"/>
                <w:szCs w:val="24"/>
              </w:rPr>
              <w:t>T</w:t>
            </w:r>
            <w:r w:rsidRPr="00BE23B6">
              <w:rPr>
                <w:rFonts w:ascii="Times New Roman" w:hAnsi="Times New Roman" w:cs="Times New Roman"/>
                <w:sz w:val="24"/>
                <w:szCs w:val="24"/>
              </w:rPr>
              <w:t xml:space="preserve">he Act offers a legislative framework for protecting "people" as a whole, making everyone accountable for protecting others. According to </w:t>
            </w:r>
            <w:proofErr w:type="spellStart"/>
            <w:r w:rsidRPr="00BE23B6">
              <w:rPr>
                <w:rFonts w:ascii="Times New Roman" w:hAnsi="Times New Roman" w:cs="Times New Roman"/>
                <w:sz w:val="24"/>
                <w:szCs w:val="24"/>
              </w:rPr>
              <w:t>Chisnell</w:t>
            </w:r>
            <w:proofErr w:type="spellEnd"/>
            <w:r w:rsidRPr="00BE23B6">
              <w:rPr>
                <w:rFonts w:ascii="Times New Roman" w:hAnsi="Times New Roman" w:cs="Times New Roman"/>
                <w:sz w:val="24"/>
                <w:szCs w:val="24"/>
              </w:rPr>
              <w:t xml:space="preserve"> and Kelly (2016), the law permits the correct investigation of potential </w:t>
            </w:r>
            <w:r w:rsidR="00FD01B8" w:rsidRPr="00BE23B6">
              <w:rPr>
                <w:rFonts w:ascii="Times New Roman" w:hAnsi="Times New Roman" w:cs="Times New Roman"/>
                <w:sz w:val="24"/>
                <w:szCs w:val="24"/>
              </w:rPr>
              <w:t xml:space="preserve">risk of abuse </w:t>
            </w:r>
            <w:r w:rsidRPr="00BE23B6">
              <w:rPr>
                <w:rFonts w:ascii="Times New Roman" w:hAnsi="Times New Roman" w:cs="Times New Roman"/>
                <w:sz w:val="24"/>
                <w:szCs w:val="24"/>
              </w:rPr>
              <w:t>against adults</w:t>
            </w:r>
            <w:r w:rsidR="00FD01B8" w:rsidRPr="00BE23B6">
              <w:rPr>
                <w:rFonts w:ascii="Times New Roman" w:hAnsi="Times New Roman" w:cs="Times New Roman"/>
                <w:sz w:val="24"/>
                <w:szCs w:val="24"/>
              </w:rPr>
              <w:t>.</w:t>
            </w:r>
            <w:r w:rsidRPr="00BE23B6">
              <w:rPr>
                <w:rFonts w:ascii="Times New Roman" w:hAnsi="Times New Roman" w:cs="Times New Roman"/>
                <w:sz w:val="24"/>
                <w:szCs w:val="24"/>
              </w:rPr>
              <w:t xml:space="preserve"> </w:t>
            </w:r>
          </w:p>
          <w:p w14:paraId="64486FA4" w14:textId="0077B1CA" w:rsidR="000539ED" w:rsidRDefault="000539ED" w:rsidP="000539ED">
            <w:pPr>
              <w:spacing w:line="276" w:lineRule="auto"/>
              <w:rPr>
                <w:rFonts w:ascii="Times New Roman" w:hAnsi="Times New Roman" w:cs="Times New Roman"/>
                <w:sz w:val="24"/>
                <w:szCs w:val="24"/>
              </w:rPr>
            </w:pPr>
            <w:r w:rsidRPr="00BE23B6">
              <w:rPr>
                <w:rFonts w:ascii="Times New Roman" w:hAnsi="Times New Roman" w:cs="Times New Roman"/>
                <w:sz w:val="24"/>
                <w:szCs w:val="24"/>
              </w:rPr>
              <w:t>Multi-agency policies and procedures are necessary to help and safeguard vulnerable persons from abuse, as stated in the Welsh Government's 2002 publication "In Safe Hands." As a result, guidelines for the protection of vulnerable individuals were provided in The Wales Interim Policy and Procedures for the Prevention of Vulnerable individuals (2013) which were later incorporated into the SSWBA (2014</w:t>
            </w:r>
            <w:r w:rsidR="00617A55" w:rsidRPr="00BE23B6">
              <w:rPr>
                <w:rFonts w:ascii="Times New Roman" w:hAnsi="Times New Roman" w:cs="Times New Roman"/>
                <w:sz w:val="24"/>
                <w:szCs w:val="24"/>
              </w:rPr>
              <w:t xml:space="preserve">) and the Wales </w:t>
            </w:r>
            <w:r w:rsidR="007B43D7">
              <w:rPr>
                <w:rFonts w:ascii="Times New Roman" w:hAnsi="Times New Roman" w:cs="Times New Roman"/>
                <w:sz w:val="24"/>
                <w:szCs w:val="24"/>
              </w:rPr>
              <w:t>Safeguarding</w:t>
            </w:r>
            <w:r w:rsidR="00617A55" w:rsidRPr="00BE23B6">
              <w:rPr>
                <w:rFonts w:ascii="Times New Roman" w:hAnsi="Times New Roman" w:cs="Times New Roman"/>
                <w:sz w:val="24"/>
                <w:szCs w:val="24"/>
              </w:rPr>
              <w:t xml:space="preserve"> Procedures, 2019.</w:t>
            </w:r>
            <w:r w:rsidRPr="00BE23B6">
              <w:rPr>
                <w:rFonts w:ascii="Times New Roman" w:hAnsi="Times New Roman" w:cs="Times New Roman"/>
                <w:sz w:val="24"/>
                <w:szCs w:val="24"/>
              </w:rPr>
              <w:t xml:space="preserve">  </w:t>
            </w:r>
            <w:r w:rsidR="00FD01B8" w:rsidRPr="00BE23B6">
              <w:rPr>
                <w:rFonts w:ascii="Times New Roman" w:hAnsi="Times New Roman" w:cs="Times New Roman"/>
                <w:sz w:val="24"/>
                <w:szCs w:val="24"/>
              </w:rPr>
              <w:t>These place a</w:t>
            </w:r>
            <w:r w:rsidRPr="00BE23B6">
              <w:rPr>
                <w:rFonts w:ascii="Times New Roman" w:hAnsi="Times New Roman" w:cs="Times New Roman"/>
                <w:sz w:val="24"/>
                <w:szCs w:val="24"/>
              </w:rPr>
              <w:t xml:space="preserve"> duty of Local Authorities and their safeguarding boards to collaborate with independent, statutory, and voluntary organisations and to organise the steps required to recognise, intervene, and address the abuse of individuals who are vulnerable. </w:t>
            </w:r>
          </w:p>
          <w:p w14:paraId="1C333127" w14:textId="532941E8" w:rsidR="00157AFB" w:rsidRDefault="00157AFB" w:rsidP="000539ED">
            <w:pPr>
              <w:spacing w:line="276" w:lineRule="auto"/>
              <w:rPr>
                <w:rFonts w:ascii="Times New Roman" w:hAnsi="Times New Roman" w:cs="Times New Roman"/>
                <w:sz w:val="24"/>
                <w:szCs w:val="24"/>
              </w:rPr>
            </w:pPr>
          </w:p>
          <w:p w14:paraId="70D23DD1" w14:textId="325B9F7F" w:rsidR="00157AFB" w:rsidRPr="00BE23B6" w:rsidRDefault="00157AFB" w:rsidP="000539ED">
            <w:pPr>
              <w:spacing w:line="276" w:lineRule="auto"/>
              <w:rPr>
                <w:rFonts w:ascii="Times New Roman" w:hAnsi="Times New Roman" w:cs="Times New Roman"/>
                <w:sz w:val="24"/>
                <w:szCs w:val="24"/>
              </w:rPr>
            </w:pPr>
            <w:r>
              <w:rPr>
                <w:rFonts w:ascii="Times New Roman" w:hAnsi="Times New Roman" w:cs="Times New Roman"/>
                <w:sz w:val="24"/>
                <w:szCs w:val="24"/>
              </w:rPr>
              <w:t>The Mental Capacity Act</w:t>
            </w:r>
            <w:r w:rsidRPr="00BE23B6">
              <w:rPr>
                <w:rFonts w:ascii="Times New Roman" w:hAnsi="Times New Roman" w:cs="Times New Roman"/>
                <w:sz w:val="24"/>
                <w:szCs w:val="24"/>
              </w:rPr>
              <w:t xml:space="preserve"> 2005, provides a framework for best interest decision-making in assisting people with ability and their freedom to make unwise decisions, makes a clear distinction between </w:t>
            </w:r>
            <w:r>
              <w:rPr>
                <w:rFonts w:ascii="Times New Roman" w:hAnsi="Times New Roman" w:cs="Times New Roman"/>
                <w:sz w:val="24"/>
                <w:szCs w:val="24"/>
              </w:rPr>
              <w:t>minors and adults</w:t>
            </w:r>
            <w:r w:rsidRPr="00BE23B6">
              <w:rPr>
                <w:rFonts w:ascii="Times New Roman" w:hAnsi="Times New Roman" w:cs="Times New Roman"/>
                <w:sz w:val="24"/>
                <w:szCs w:val="24"/>
              </w:rPr>
              <w:t>.</w:t>
            </w:r>
          </w:p>
          <w:p w14:paraId="30F1729D" w14:textId="77777777" w:rsidR="00FD01B8" w:rsidRPr="00BE23B6" w:rsidRDefault="00FD01B8" w:rsidP="000539ED">
            <w:pPr>
              <w:spacing w:line="276" w:lineRule="auto"/>
              <w:rPr>
                <w:rFonts w:ascii="Times New Roman" w:hAnsi="Times New Roman" w:cs="Times New Roman"/>
                <w:sz w:val="24"/>
                <w:szCs w:val="24"/>
              </w:rPr>
            </w:pPr>
          </w:p>
          <w:p w14:paraId="16873D92" w14:textId="54C1841D" w:rsidR="00FD01B8" w:rsidRPr="00BE23B6" w:rsidRDefault="006B7697" w:rsidP="000539ED">
            <w:pPr>
              <w:spacing w:line="276" w:lineRule="auto"/>
              <w:rPr>
                <w:rFonts w:ascii="Times New Roman" w:hAnsi="Times New Roman" w:cs="Times New Roman"/>
                <w:color w:val="000000" w:themeColor="text1"/>
                <w:sz w:val="24"/>
                <w:szCs w:val="24"/>
              </w:rPr>
            </w:pPr>
            <w:r w:rsidRPr="00BE23B6">
              <w:rPr>
                <w:rFonts w:ascii="Times New Roman" w:hAnsi="Times New Roman" w:cs="Times New Roman"/>
                <w:sz w:val="24"/>
                <w:szCs w:val="24"/>
              </w:rPr>
              <w:lastRenderedPageBreak/>
              <w:t xml:space="preserve">Under the Mental Capacity Act 2005, it is presumed that adults have capacity unless it is assessed that they do not, so it may be more difficult to establish if an adult has experienced abuse or is in danger of suffering from abuse.  </w:t>
            </w:r>
            <w:r w:rsidR="000539ED" w:rsidRPr="00BE23B6">
              <w:rPr>
                <w:rFonts w:ascii="Times New Roman" w:hAnsi="Times New Roman" w:cs="Times New Roman"/>
                <w:sz w:val="24"/>
                <w:szCs w:val="24"/>
              </w:rPr>
              <w:t>Physical abuse includes pushing, hitting, hard handling, and experiencing injuries or falls that seem inexplicable (</w:t>
            </w:r>
            <w:proofErr w:type="spellStart"/>
            <w:r w:rsidR="000539ED" w:rsidRPr="00BE23B6">
              <w:rPr>
                <w:rFonts w:ascii="Times New Roman" w:hAnsi="Times New Roman" w:cs="Times New Roman"/>
                <w:sz w:val="24"/>
                <w:szCs w:val="24"/>
              </w:rPr>
              <w:t>Mantell</w:t>
            </w:r>
            <w:proofErr w:type="spellEnd"/>
            <w:r w:rsidR="000539ED" w:rsidRPr="00BE23B6">
              <w:rPr>
                <w:rFonts w:ascii="Times New Roman" w:hAnsi="Times New Roman" w:cs="Times New Roman"/>
                <w:sz w:val="24"/>
                <w:szCs w:val="24"/>
              </w:rPr>
              <w:t xml:space="preserve"> &amp; Scragg, 2011).  According to </w:t>
            </w:r>
            <w:proofErr w:type="spellStart"/>
            <w:r w:rsidR="000539ED" w:rsidRPr="00BE23B6">
              <w:rPr>
                <w:rFonts w:ascii="Times New Roman" w:hAnsi="Times New Roman" w:cs="Times New Roman"/>
                <w:sz w:val="24"/>
                <w:szCs w:val="24"/>
              </w:rPr>
              <w:t>Mantell</w:t>
            </w:r>
            <w:proofErr w:type="spellEnd"/>
            <w:r w:rsidR="000539ED" w:rsidRPr="00BE23B6">
              <w:rPr>
                <w:rFonts w:ascii="Times New Roman" w:hAnsi="Times New Roman" w:cs="Times New Roman"/>
                <w:sz w:val="24"/>
                <w:szCs w:val="24"/>
              </w:rPr>
              <w:t xml:space="preserve"> and Scragg (2011), sexual abuse includes coercion to watch pornographic material, sexual conduct without consent, and attempted rape.</w:t>
            </w:r>
            <w:r w:rsidR="00FD01B8" w:rsidRPr="00BE23B6">
              <w:rPr>
                <w:rFonts w:ascii="Times New Roman" w:hAnsi="Times New Roman" w:cs="Times New Roman"/>
                <w:sz w:val="24"/>
                <w:szCs w:val="24"/>
              </w:rPr>
              <w:t xml:space="preserve">  </w:t>
            </w:r>
            <w:r w:rsidR="00FD01B8" w:rsidRPr="00BE23B6">
              <w:rPr>
                <w:rFonts w:ascii="Times New Roman" w:hAnsi="Times New Roman" w:cs="Times New Roman"/>
                <w:color w:val="000000" w:themeColor="text1"/>
                <w:sz w:val="24"/>
                <w:szCs w:val="24"/>
              </w:rPr>
              <w:t>The </w:t>
            </w:r>
            <w:hyperlink r:id="rId11" w:history="1">
              <w:r w:rsidR="00FD01B8" w:rsidRPr="00BE23B6">
                <w:rPr>
                  <w:rStyle w:val="Hyperlink"/>
                  <w:rFonts w:ascii="Times New Roman" w:hAnsi="Times New Roman" w:cs="Times New Roman"/>
                  <w:color w:val="000000" w:themeColor="text1"/>
                  <w:sz w:val="24"/>
                  <w:szCs w:val="24"/>
                  <w:u w:val="none"/>
                </w:rPr>
                <w:t>Violence against Women, Domestic Abuse and Sexual Violence (Wales) Act, 2015</w:t>
              </w:r>
            </w:hyperlink>
            <w:r w:rsidR="00FD01B8" w:rsidRPr="00BE23B6">
              <w:rPr>
                <w:rFonts w:ascii="Times New Roman" w:hAnsi="Times New Roman" w:cs="Times New Roman"/>
                <w:color w:val="000000" w:themeColor="text1"/>
                <w:sz w:val="24"/>
                <w:szCs w:val="24"/>
              </w:rPr>
              <w:t xml:space="preserve"> was implemented to identify and protect women from such harm.</w:t>
            </w:r>
          </w:p>
          <w:p w14:paraId="420426BB" w14:textId="77777777" w:rsidR="00FD01B8" w:rsidRPr="00BE23B6" w:rsidRDefault="00FD01B8" w:rsidP="000539ED">
            <w:pPr>
              <w:spacing w:line="276" w:lineRule="auto"/>
              <w:rPr>
                <w:rFonts w:ascii="Times New Roman" w:hAnsi="Times New Roman" w:cs="Times New Roman"/>
                <w:color w:val="000000" w:themeColor="text1"/>
                <w:sz w:val="24"/>
                <w:szCs w:val="24"/>
              </w:rPr>
            </w:pPr>
          </w:p>
          <w:p w14:paraId="7182794F" w14:textId="77777777" w:rsidR="009656F1" w:rsidRPr="00BE23B6" w:rsidRDefault="000539ED" w:rsidP="000539ED">
            <w:pPr>
              <w:spacing w:line="276" w:lineRule="auto"/>
              <w:rPr>
                <w:rFonts w:ascii="Times New Roman" w:hAnsi="Times New Roman" w:cs="Times New Roman"/>
                <w:sz w:val="24"/>
                <w:szCs w:val="24"/>
              </w:rPr>
            </w:pPr>
            <w:r w:rsidRPr="00BE23B6">
              <w:rPr>
                <w:rFonts w:ascii="Times New Roman" w:hAnsi="Times New Roman" w:cs="Times New Roman"/>
                <w:sz w:val="24"/>
                <w:szCs w:val="24"/>
              </w:rPr>
              <w:t>Theft and fraud, as well as the improper use of assets and property, are</w:t>
            </w:r>
            <w:r w:rsidR="009656F1" w:rsidRPr="00BE23B6">
              <w:rPr>
                <w:rFonts w:ascii="Times New Roman" w:hAnsi="Times New Roman" w:cs="Times New Roman"/>
                <w:sz w:val="24"/>
                <w:szCs w:val="24"/>
              </w:rPr>
              <w:t xml:space="preserve"> examples of financial abuse </w:t>
            </w:r>
            <w:r w:rsidRPr="00BE23B6">
              <w:rPr>
                <w:rFonts w:ascii="Times New Roman" w:hAnsi="Times New Roman" w:cs="Times New Roman"/>
                <w:sz w:val="24"/>
                <w:szCs w:val="24"/>
              </w:rPr>
              <w:t>(Brown, 2007).  The act of dehumanising, mocking, and slandering a person is known as emotional abuse. Additionally, it may take the shape of service</w:t>
            </w:r>
            <w:r w:rsidR="009656F1" w:rsidRPr="00BE23B6">
              <w:rPr>
                <w:rFonts w:ascii="Times New Roman" w:hAnsi="Times New Roman" w:cs="Times New Roman"/>
                <w:sz w:val="24"/>
                <w:szCs w:val="24"/>
              </w:rPr>
              <w:t>s</w:t>
            </w:r>
            <w:r w:rsidRPr="00BE23B6">
              <w:rPr>
                <w:rFonts w:ascii="Times New Roman" w:hAnsi="Times New Roman" w:cs="Times New Roman"/>
                <w:sz w:val="24"/>
                <w:szCs w:val="24"/>
              </w:rPr>
              <w:t xml:space="preserve"> termination or threats of punishment (Greenfields, 2011).  According to Mantel and Scragg (2011), neglect is defined as the inability to provide necessary medical care, medication, or other necessities, as well as careless living arrangements. </w:t>
            </w:r>
          </w:p>
          <w:p w14:paraId="57503E39" w14:textId="77777777" w:rsidR="009656F1" w:rsidRPr="00BE23B6" w:rsidRDefault="009656F1" w:rsidP="000539ED">
            <w:pPr>
              <w:spacing w:line="276" w:lineRule="auto"/>
              <w:rPr>
                <w:rFonts w:ascii="Times New Roman" w:hAnsi="Times New Roman" w:cs="Times New Roman"/>
                <w:sz w:val="24"/>
                <w:szCs w:val="24"/>
              </w:rPr>
            </w:pPr>
          </w:p>
          <w:p w14:paraId="0F480871" w14:textId="2A93B2E0" w:rsidR="000539ED" w:rsidRPr="00BE23B6" w:rsidRDefault="006B7697" w:rsidP="000539ED">
            <w:pPr>
              <w:spacing w:line="276" w:lineRule="auto"/>
              <w:rPr>
                <w:rFonts w:ascii="Times New Roman" w:hAnsi="Times New Roman" w:cs="Times New Roman"/>
                <w:sz w:val="24"/>
                <w:szCs w:val="24"/>
              </w:rPr>
            </w:pPr>
            <w:r w:rsidRPr="00BE23B6">
              <w:rPr>
                <w:rFonts w:ascii="Times New Roman" w:hAnsi="Times New Roman" w:cs="Times New Roman"/>
                <w:sz w:val="24"/>
                <w:szCs w:val="24"/>
              </w:rPr>
              <w:t xml:space="preserve">In Wales there it is a statutory duty to report safeguarding concerns to the local authority by all professionals </w:t>
            </w:r>
            <w:r w:rsidR="004B21B6">
              <w:rPr>
                <w:rFonts w:ascii="Times New Roman" w:hAnsi="Times New Roman" w:cs="Times New Roman"/>
                <w:sz w:val="24"/>
                <w:szCs w:val="24"/>
              </w:rPr>
              <w:t xml:space="preserve">and relevant partners </w:t>
            </w:r>
            <w:r w:rsidRPr="00BE23B6">
              <w:rPr>
                <w:rFonts w:ascii="Times New Roman" w:hAnsi="Times New Roman" w:cs="Times New Roman"/>
                <w:sz w:val="24"/>
                <w:szCs w:val="24"/>
              </w:rPr>
              <w:t xml:space="preserve">under </w:t>
            </w:r>
            <w:r w:rsidR="004B21B6">
              <w:rPr>
                <w:rFonts w:ascii="Times New Roman" w:hAnsi="Times New Roman" w:cs="Times New Roman"/>
                <w:sz w:val="24"/>
                <w:szCs w:val="24"/>
              </w:rPr>
              <w:t>section 128 of the</w:t>
            </w:r>
            <w:r w:rsidRPr="00BE23B6">
              <w:rPr>
                <w:rFonts w:ascii="Times New Roman" w:hAnsi="Times New Roman" w:cs="Times New Roman"/>
                <w:sz w:val="24"/>
                <w:szCs w:val="24"/>
              </w:rPr>
              <w:t xml:space="preserve"> SSWBA (2014). </w:t>
            </w:r>
            <w:r w:rsidR="000539ED" w:rsidRPr="00BE23B6">
              <w:rPr>
                <w:rFonts w:ascii="Times New Roman" w:hAnsi="Times New Roman" w:cs="Times New Roman"/>
                <w:sz w:val="24"/>
                <w:szCs w:val="24"/>
              </w:rPr>
              <w:t xml:space="preserve"> </w:t>
            </w:r>
            <w:r w:rsidRPr="00BE23B6">
              <w:rPr>
                <w:rFonts w:ascii="Times New Roman" w:hAnsi="Times New Roman" w:cs="Times New Roman"/>
                <w:sz w:val="24"/>
                <w:szCs w:val="24"/>
              </w:rPr>
              <w:t>Once concerns are reported, t</w:t>
            </w:r>
            <w:r w:rsidR="000539ED" w:rsidRPr="00BE23B6">
              <w:rPr>
                <w:rFonts w:ascii="Times New Roman" w:hAnsi="Times New Roman" w:cs="Times New Roman"/>
                <w:sz w:val="24"/>
                <w:szCs w:val="24"/>
              </w:rPr>
              <w:t>he next step is to decide whether to move further with a strategy meeting or discussion</w:t>
            </w:r>
            <w:r w:rsidR="009F6272">
              <w:rPr>
                <w:rFonts w:ascii="Times New Roman" w:hAnsi="Times New Roman" w:cs="Times New Roman"/>
                <w:sz w:val="24"/>
                <w:szCs w:val="24"/>
              </w:rPr>
              <w:t xml:space="preserve"> to discuss if safeguarding measures need to be implemented.  However, b</w:t>
            </w:r>
            <w:r w:rsidR="007B43D7">
              <w:rPr>
                <w:rFonts w:ascii="Times New Roman" w:hAnsi="Times New Roman" w:cs="Times New Roman"/>
                <w:sz w:val="24"/>
                <w:szCs w:val="24"/>
              </w:rPr>
              <w:t xml:space="preserve">efore any further actions can take place, the adult must be asked for their consent if they wish for further actions to take place.  An adult is well within their right to refuse any further actions, and </w:t>
            </w:r>
            <w:r w:rsidR="009F6272">
              <w:rPr>
                <w:rFonts w:ascii="Times New Roman" w:hAnsi="Times New Roman" w:cs="Times New Roman"/>
                <w:sz w:val="24"/>
                <w:szCs w:val="24"/>
              </w:rPr>
              <w:t>if they do refuse,</w:t>
            </w:r>
            <w:r w:rsidR="007B43D7">
              <w:rPr>
                <w:rFonts w:ascii="Times New Roman" w:hAnsi="Times New Roman" w:cs="Times New Roman"/>
                <w:sz w:val="24"/>
                <w:szCs w:val="24"/>
              </w:rPr>
              <w:t xml:space="preserve"> </w:t>
            </w:r>
            <w:r w:rsidR="009F6272">
              <w:rPr>
                <w:rFonts w:ascii="Times New Roman" w:hAnsi="Times New Roman" w:cs="Times New Roman"/>
                <w:sz w:val="24"/>
                <w:szCs w:val="24"/>
              </w:rPr>
              <w:t xml:space="preserve">the case will be closed to safeguarding and care and support would be considered. </w:t>
            </w:r>
          </w:p>
          <w:p w14:paraId="59788894" w14:textId="77777777" w:rsidR="000539ED" w:rsidRPr="00BE23B6" w:rsidRDefault="000539ED" w:rsidP="000539ED">
            <w:pPr>
              <w:spacing w:line="276" w:lineRule="auto"/>
              <w:rPr>
                <w:rFonts w:ascii="Times New Roman" w:hAnsi="Times New Roman" w:cs="Times New Roman"/>
                <w:sz w:val="24"/>
                <w:szCs w:val="24"/>
              </w:rPr>
            </w:pPr>
          </w:p>
          <w:p w14:paraId="001C7215" w14:textId="7A1EB806" w:rsidR="000539ED" w:rsidRPr="000479E7" w:rsidRDefault="00BE23B6" w:rsidP="000539ED">
            <w:pPr>
              <w:rPr>
                <w:rFonts w:ascii="Times New Roman" w:hAnsi="Times New Roman" w:cs="Times New Roman"/>
                <w:b/>
                <w:sz w:val="28"/>
                <w:szCs w:val="28"/>
              </w:rPr>
            </w:pPr>
            <w:r>
              <w:rPr>
                <w:rFonts w:ascii="Times New Roman" w:hAnsi="Times New Roman" w:cs="Times New Roman"/>
                <w:b/>
                <w:sz w:val="28"/>
                <w:szCs w:val="28"/>
              </w:rPr>
              <w:t>Word count - 5</w:t>
            </w:r>
            <w:r w:rsidR="008D7FA3">
              <w:rPr>
                <w:rFonts w:ascii="Times New Roman" w:hAnsi="Times New Roman" w:cs="Times New Roman"/>
                <w:b/>
                <w:sz w:val="28"/>
                <w:szCs w:val="28"/>
              </w:rPr>
              <w:t>4</w:t>
            </w:r>
            <w:r w:rsidR="00157AFB">
              <w:rPr>
                <w:rFonts w:ascii="Times New Roman" w:hAnsi="Times New Roman" w:cs="Times New Roman"/>
                <w:b/>
                <w:sz w:val="28"/>
                <w:szCs w:val="28"/>
              </w:rPr>
              <w:t>7</w:t>
            </w:r>
          </w:p>
          <w:p w14:paraId="4201FC5C" w14:textId="77777777" w:rsidR="000539ED" w:rsidRDefault="000539ED"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BA3DD84" w14:textId="3A324464"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35769063" w14:textId="36F33B20" w:rsidR="00A34FE1" w:rsidRDefault="00A34FE1" w:rsidP="00FC0334">
            <w:pPr>
              <w:jc w:val="both"/>
              <w:rPr>
                <w:i/>
                <w:sz w:val="24"/>
                <w:szCs w:val="24"/>
              </w:rPr>
            </w:pPr>
          </w:p>
          <w:p w14:paraId="79E626D4" w14:textId="77777777" w:rsidR="00737543" w:rsidRPr="009F6272" w:rsidRDefault="00737543" w:rsidP="00737543">
            <w:pPr>
              <w:spacing w:line="276" w:lineRule="auto"/>
              <w:rPr>
                <w:rFonts w:ascii="Times New Roman" w:hAnsi="Times New Roman" w:cs="Times New Roman"/>
                <w:sz w:val="24"/>
                <w:szCs w:val="24"/>
              </w:rPr>
            </w:pPr>
            <w:r w:rsidRPr="009F6272">
              <w:rPr>
                <w:rFonts w:ascii="Times New Roman" w:hAnsi="Times New Roman" w:cs="Times New Roman"/>
                <w:sz w:val="24"/>
                <w:szCs w:val="24"/>
              </w:rPr>
              <w:t xml:space="preserve">Legal frameworks for protecting adults and children differ significantly from one another. According to </w:t>
            </w:r>
            <w:proofErr w:type="spellStart"/>
            <w:r w:rsidRPr="009F6272">
              <w:rPr>
                <w:rFonts w:ascii="Times New Roman" w:hAnsi="Times New Roman" w:cs="Times New Roman"/>
                <w:sz w:val="24"/>
                <w:szCs w:val="24"/>
              </w:rPr>
              <w:t>Chisnell</w:t>
            </w:r>
            <w:proofErr w:type="spellEnd"/>
            <w:r w:rsidRPr="009F6272">
              <w:rPr>
                <w:rFonts w:ascii="Times New Roman" w:hAnsi="Times New Roman" w:cs="Times New Roman"/>
                <w:sz w:val="24"/>
                <w:szCs w:val="24"/>
              </w:rPr>
              <w:t xml:space="preserve"> and Kelly (2016), one of the main differences is that adult safeguarding was not officially addressed by any laws prior to the SSWBA 2014, and practice was centred upon policy guidelines only.</w:t>
            </w:r>
          </w:p>
          <w:p w14:paraId="00FFD891" w14:textId="77777777" w:rsidR="00FD049F" w:rsidRDefault="00FD049F" w:rsidP="00737543">
            <w:pPr>
              <w:spacing w:line="276" w:lineRule="auto"/>
              <w:rPr>
                <w:rFonts w:ascii="Times New Roman" w:hAnsi="Times New Roman" w:cs="Times New Roman"/>
                <w:sz w:val="24"/>
                <w:szCs w:val="24"/>
              </w:rPr>
            </w:pPr>
          </w:p>
          <w:p w14:paraId="17D1AEAE" w14:textId="42975B6A" w:rsidR="00737543" w:rsidRDefault="00737543" w:rsidP="00737543">
            <w:pPr>
              <w:spacing w:line="276" w:lineRule="auto"/>
              <w:rPr>
                <w:rFonts w:ascii="Times New Roman" w:hAnsi="Times New Roman" w:cs="Times New Roman"/>
                <w:sz w:val="24"/>
                <w:szCs w:val="24"/>
              </w:rPr>
            </w:pPr>
            <w:r w:rsidRPr="004462DC">
              <w:rPr>
                <w:rFonts w:ascii="Times New Roman" w:hAnsi="Times New Roman" w:cs="Times New Roman"/>
                <w:sz w:val="24"/>
                <w:szCs w:val="24"/>
              </w:rPr>
              <w:t xml:space="preserve">After several investigations into child fatalities and the shortcomings of social services, as well as the necessity to establish a legislative declaration emphasising the value of children's rights, the Children </w:t>
            </w:r>
            <w:r w:rsidRPr="004462DC">
              <w:rPr>
                <w:rFonts w:ascii="Times New Roman" w:hAnsi="Times New Roman" w:cs="Times New Roman"/>
                <w:sz w:val="24"/>
                <w:szCs w:val="24"/>
              </w:rPr>
              <w:lastRenderedPageBreak/>
              <w:t>Act 1989 was enacted (</w:t>
            </w:r>
            <w:proofErr w:type="spellStart"/>
            <w:r w:rsidRPr="004462DC">
              <w:rPr>
                <w:rFonts w:ascii="Times New Roman" w:hAnsi="Times New Roman" w:cs="Times New Roman"/>
                <w:sz w:val="24"/>
                <w:szCs w:val="24"/>
              </w:rPr>
              <w:t>Brayne</w:t>
            </w:r>
            <w:proofErr w:type="spellEnd"/>
            <w:r w:rsidRPr="004462DC">
              <w:rPr>
                <w:rFonts w:ascii="Times New Roman" w:hAnsi="Times New Roman" w:cs="Times New Roman"/>
                <w:sz w:val="24"/>
                <w:szCs w:val="24"/>
              </w:rPr>
              <w:t xml:space="preserve"> &amp; Carr 2013). In contrast to the absence of a comparable Act for the protection of adults, the Act clearly defined child protection within the law. </w:t>
            </w:r>
          </w:p>
          <w:p w14:paraId="62271A95" w14:textId="77777777" w:rsidR="00737543" w:rsidRDefault="00737543" w:rsidP="00737543">
            <w:pPr>
              <w:spacing w:line="276" w:lineRule="auto"/>
              <w:rPr>
                <w:rFonts w:ascii="Times New Roman" w:hAnsi="Times New Roman" w:cs="Times New Roman"/>
                <w:sz w:val="24"/>
                <w:szCs w:val="24"/>
              </w:rPr>
            </w:pPr>
          </w:p>
          <w:p w14:paraId="1133AA03" w14:textId="461E79D6" w:rsidR="00737543" w:rsidRDefault="00737543" w:rsidP="00737543">
            <w:pPr>
              <w:spacing w:line="276" w:lineRule="auto"/>
              <w:rPr>
                <w:rFonts w:ascii="Times New Roman" w:hAnsi="Times New Roman" w:cs="Times New Roman"/>
                <w:sz w:val="24"/>
                <w:szCs w:val="24"/>
              </w:rPr>
            </w:pPr>
            <w:r w:rsidRPr="00263C43">
              <w:rPr>
                <w:rFonts w:ascii="Times New Roman" w:hAnsi="Times New Roman" w:cs="Times New Roman"/>
                <w:sz w:val="24"/>
                <w:szCs w:val="24"/>
              </w:rPr>
              <w:t>While the Children Act (1989) provided statutory direction for investigating child abuse complaints, adult abuse concerns were not covered by any statute until 2014, when the SSWBA</w:t>
            </w:r>
            <w:r>
              <w:rPr>
                <w:rFonts w:ascii="Times New Roman" w:hAnsi="Times New Roman" w:cs="Times New Roman"/>
                <w:sz w:val="24"/>
                <w:szCs w:val="24"/>
              </w:rPr>
              <w:t>,</w:t>
            </w:r>
            <w:r w:rsidRPr="00263C43">
              <w:rPr>
                <w:rFonts w:ascii="Times New Roman" w:hAnsi="Times New Roman" w:cs="Times New Roman"/>
                <w:sz w:val="24"/>
                <w:szCs w:val="24"/>
              </w:rPr>
              <w:t xml:space="preserve"> 2014 was introduced. As a result, Local Authorities were required by law to </w:t>
            </w:r>
            <w:r w:rsidR="00FD049F" w:rsidRPr="00263C43">
              <w:rPr>
                <w:rFonts w:ascii="Times New Roman" w:hAnsi="Times New Roman" w:cs="Times New Roman"/>
                <w:sz w:val="24"/>
                <w:szCs w:val="24"/>
              </w:rPr>
              <w:t>investigate</w:t>
            </w:r>
            <w:r w:rsidRPr="00263C43">
              <w:rPr>
                <w:rFonts w:ascii="Times New Roman" w:hAnsi="Times New Roman" w:cs="Times New Roman"/>
                <w:sz w:val="24"/>
                <w:szCs w:val="24"/>
              </w:rPr>
              <w:t xml:space="preserve"> issues regarding the protection of adults, creating a single piece of legislation that made everyone accountable for the safety of </w:t>
            </w:r>
            <w:r>
              <w:rPr>
                <w:rFonts w:ascii="Times New Roman" w:hAnsi="Times New Roman" w:cs="Times New Roman"/>
                <w:sz w:val="24"/>
                <w:szCs w:val="24"/>
              </w:rPr>
              <w:t xml:space="preserve">both </w:t>
            </w:r>
            <w:r w:rsidRPr="00263C43">
              <w:rPr>
                <w:rFonts w:ascii="Times New Roman" w:hAnsi="Times New Roman" w:cs="Times New Roman"/>
                <w:sz w:val="24"/>
                <w:szCs w:val="24"/>
              </w:rPr>
              <w:t>children and adults.</w:t>
            </w:r>
          </w:p>
          <w:p w14:paraId="370222DA" w14:textId="77777777" w:rsidR="00F95B79" w:rsidRDefault="00F95B79" w:rsidP="00737543">
            <w:pPr>
              <w:spacing w:line="276" w:lineRule="auto"/>
              <w:rPr>
                <w:rFonts w:ascii="Times New Roman" w:hAnsi="Times New Roman" w:cs="Times New Roman"/>
                <w:sz w:val="24"/>
                <w:szCs w:val="24"/>
              </w:rPr>
            </w:pPr>
          </w:p>
          <w:p w14:paraId="08D3E1BA" w14:textId="537747B2" w:rsidR="00F95B79" w:rsidRPr="00D67030" w:rsidRDefault="00F95B79" w:rsidP="00F95B79">
            <w:pPr>
              <w:spacing w:line="276" w:lineRule="auto"/>
              <w:rPr>
                <w:rFonts w:ascii="Times New Roman" w:hAnsi="Times New Roman" w:cs="Times New Roman"/>
                <w:sz w:val="24"/>
                <w:szCs w:val="24"/>
              </w:rPr>
            </w:pPr>
            <w:r>
              <w:rPr>
                <w:rFonts w:ascii="Times New Roman" w:hAnsi="Times New Roman" w:cs="Times New Roman"/>
                <w:sz w:val="24"/>
                <w:szCs w:val="24"/>
              </w:rPr>
              <w:t xml:space="preserve">Children and adult safeguarding differ in some categories such as financial abuse </w:t>
            </w:r>
            <w:r w:rsidRPr="00D67030">
              <w:rPr>
                <w:rFonts w:ascii="Times New Roman" w:hAnsi="Times New Roman" w:cs="Times New Roman"/>
                <w:sz w:val="24"/>
                <w:szCs w:val="24"/>
              </w:rPr>
              <w:t xml:space="preserve">Section 197(1) of the </w:t>
            </w:r>
            <w:r>
              <w:rPr>
                <w:rFonts w:ascii="Times New Roman" w:hAnsi="Times New Roman" w:cs="Times New Roman"/>
                <w:sz w:val="24"/>
                <w:szCs w:val="24"/>
              </w:rPr>
              <w:t xml:space="preserve">SSWBA, 2014 defines </w:t>
            </w:r>
            <w:r w:rsidRPr="00D67030">
              <w:rPr>
                <w:rFonts w:ascii="Times New Roman" w:hAnsi="Times New Roman" w:cs="Times New Roman"/>
                <w:sz w:val="24"/>
                <w:szCs w:val="24"/>
              </w:rPr>
              <w:t>financial abuse</w:t>
            </w:r>
            <w:r>
              <w:rPr>
                <w:rFonts w:ascii="Times New Roman" w:hAnsi="Times New Roman" w:cs="Times New Roman"/>
                <w:sz w:val="24"/>
                <w:szCs w:val="24"/>
              </w:rPr>
              <w:t xml:space="preserve"> as </w:t>
            </w:r>
            <w:r w:rsidR="0078264D">
              <w:rPr>
                <w:rFonts w:ascii="Times New Roman" w:hAnsi="Times New Roman" w:cs="Times New Roman"/>
                <w:sz w:val="24"/>
                <w:szCs w:val="24"/>
              </w:rPr>
              <w:t>“</w:t>
            </w:r>
            <w:r>
              <w:rPr>
                <w:rFonts w:ascii="Times New Roman" w:hAnsi="Times New Roman" w:cs="Times New Roman"/>
                <w:sz w:val="24"/>
                <w:szCs w:val="24"/>
              </w:rPr>
              <w:t xml:space="preserve">being defrauded, having money or other property stolen or misused, and </w:t>
            </w:r>
            <w:r w:rsidRPr="00D67030">
              <w:rPr>
                <w:rFonts w:ascii="Times New Roman" w:hAnsi="Times New Roman" w:cs="Times New Roman"/>
                <w:sz w:val="24"/>
                <w:szCs w:val="24"/>
              </w:rPr>
              <w:t>being put under pressure in relation to money or other property</w:t>
            </w:r>
            <w:r w:rsidR="0078264D">
              <w:rPr>
                <w:rFonts w:ascii="Times New Roman" w:hAnsi="Times New Roman" w:cs="Times New Roman"/>
                <w:sz w:val="24"/>
                <w:szCs w:val="24"/>
              </w:rPr>
              <w:t>”</w:t>
            </w:r>
            <w:r>
              <w:rPr>
                <w:rFonts w:ascii="Times New Roman" w:hAnsi="Times New Roman" w:cs="Times New Roman"/>
                <w:sz w:val="24"/>
                <w:szCs w:val="24"/>
              </w:rPr>
              <w:t xml:space="preserve">.  Financial abuse is considered as a significant issue in adult safeguarding whilst it is not that significant in children’s safeguarding </w:t>
            </w:r>
            <w:r w:rsidR="00355FC0">
              <w:rPr>
                <w:rFonts w:ascii="Times New Roman" w:hAnsi="Times New Roman" w:cs="Times New Roman"/>
                <w:sz w:val="24"/>
                <w:szCs w:val="24"/>
              </w:rPr>
              <w:t>(</w:t>
            </w:r>
            <w:r w:rsidR="00355FC0" w:rsidRPr="00355FC0">
              <w:rPr>
                <w:rFonts w:ascii="Times New Roman" w:hAnsi="Times New Roman" w:cs="Times New Roman"/>
                <w:sz w:val="24"/>
                <w:szCs w:val="24"/>
              </w:rPr>
              <w:t>McNamara</w:t>
            </w:r>
            <w:r w:rsidR="00355FC0">
              <w:rPr>
                <w:rFonts w:ascii="Times New Roman" w:hAnsi="Times New Roman" w:cs="Times New Roman"/>
                <w:sz w:val="24"/>
                <w:szCs w:val="24"/>
              </w:rPr>
              <w:t xml:space="preserve">, </w:t>
            </w:r>
            <w:r w:rsidR="00355FC0" w:rsidRPr="00355FC0">
              <w:rPr>
                <w:rFonts w:ascii="Times New Roman" w:hAnsi="Times New Roman" w:cs="Times New Roman"/>
                <w:sz w:val="24"/>
                <w:szCs w:val="24"/>
              </w:rPr>
              <w:t>2020</w:t>
            </w:r>
            <w:r w:rsidR="00355FC0">
              <w:rPr>
                <w:rFonts w:ascii="Times New Roman" w:hAnsi="Times New Roman" w:cs="Times New Roman"/>
                <w:sz w:val="24"/>
                <w:szCs w:val="24"/>
              </w:rPr>
              <w:t>).</w:t>
            </w:r>
          </w:p>
          <w:p w14:paraId="5BE8C74A" w14:textId="77777777" w:rsidR="00F95B79" w:rsidRDefault="00F95B79" w:rsidP="00737543">
            <w:pPr>
              <w:spacing w:line="276" w:lineRule="auto"/>
              <w:rPr>
                <w:rFonts w:ascii="Times New Roman" w:hAnsi="Times New Roman" w:cs="Times New Roman"/>
                <w:sz w:val="24"/>
                <w:szCs w:val="24"/>
              </w:rPr>
            </w:pPr>
          </w:p>
          <w:p w14:paraId="38EC57FD" w14:textId="505FF5A6" w:rsidR="008D7FA3" w:rsidRPr="002941F8" w:rsidRDefault="00737543" w:rsidP="008D7FA3">
            <w:pPr>
              <w:spacing w:line="276" w:lineRule="auto"/>
              <w:rPr>
                <w:rFonts w:ascii="Times New Roman" w:hAnsi="Times New Roman" w:cs="Times New Roman"/>
                <w:sz w:val="24"/>
                <w:szCs w:val="24"/>
              </w:rPr>
            </w:pPr>
            <w:r w:rsidRPr="00263C43">
              <w:rPr>
                <w:rFonts w:ascii="Times New Roman" w:hAnsi="Times New Roman" w:cs="Times New Roman"/>
                <w:sz w:val="24"/>
                <w:szCs w:val="24"/>
              </w:rPr>
              <w:t xml:space="preserve">The </w:t>
            </w:r>
            <w:r>
              <w:rPr>
                <w:rFonts w:ascii="Times New Roman" w:hAnsi="Times New Roman" w:cs="Times New Roman"/>
                <w:sz w:val="24"/>
                <w:szCs w:val="24"/>
              </w:rPr>
              <w:t xml:space="preserve">SSWBA, 2014 </w:t>
            </w:r>
            <w:r w:rsidRPr="00263C43">
              <w:rPr>
                <w:rFonts w:ascii="Times New Roman" w:hAnsi="Times New Roman" w:cs="Times New Roman"/>
                <w:sz w:val="24"/>
                <w:szCs w:val="24"/>
              </w:rPr>
              <w:t>defines the criterion for protection. Mandatory intervention</w:t>
            </w:r>
            <w:r>
              <w:rPr>
                <w:rFonts w:ascii="Times New Roman" w:hAnsi="Times New Roman" w:cs="Times New Roman"/>
                <w:sz w:val="24"/>
                <w:szCs w:val="24"/>
              </w:rPr>
              <w:t xml:space="preserve"> is required when a child </w:t>
            </w:r>
            <w:r w:rsidR="006D011E" w:rsidRPr="00263C43">
              <w:rPr>
                <w:rFonts w:ascii="Times New Roman" w:hAnsi="Times New Roman" w:cs="Times New Roman"/>
                <w:sz w:val="24"/>
                <w:szCs w:val="24"/>
              </w:rPr>
              <w:t>is</w:t>
            </w:r>
            <w:r w:rsidRPr="00263C43">
              <w:rPr>
                <w:rFonts w:ascii="Times New Roman" w:hAnsi="Times New Roman" w:cs="Times New Roman"/>
                <w:sz w:val="24"/>
                <w:szCs w:val="24"/>
              </w:rPr>
              <w:t xml:space="preserve"> at risk</w:t>
            </w:r>
            <w:r w:rsidR="006D011E">
              <w:rPr>
                <w:rFonts w:ascii="Times New Roman" w:hAnsi="Times New Roman" w:cs="Times New Roman"/>
                <w:sz w:val="24"/>
                <w:szCs w:val="24"/>
              </w:rPr>
              <w:t xml:space="preserve"> of harm</w:t>
            </w:r>
            <w:r w:rsidRPr="00263C43">
              <w:rPr>
                <w:rFonts w:ascii="Times New Roman" w:hAnsi="Times New Roman" w:cs="Times New Roman"/>
                <w:sz w:val="24"/>
                <w:szCs w:val="24"/>
              </w:rPr>
              <w:t xml:space="preserve">, </w:t>
            </w:r>
            <w:proofErr w:type="gramStart"/>
            <w:r w:rsidRPr="00263C43">
              <w:rPr>
                <w:rFonts w:ascii="Times New Roman" w:hAnsi="Times New Roman" w:cs="Times New Roman"/>
                <w:sz w:val="24"/>
                <w:szCs w:val="24"/>
              </w:rPr>
              <w:t>regardle</w:t>
            </w:r>
            <w:r>
              <w:rPr>
                <w:rFonts w:ascii="Times New Roman" w:hAnsi="Times New Roman" w:cs="Times New Roman"/>
                <w:sz w:val="24"/>
                <w:szCs w:val="24"/>
              </w:rPr>
              <w:t>ss</w:t>
            </w:r>
            <w:proofErr w:type="gramEnd"/>
            <w:r>
              <w:rPr>
                <w:rFonts w:ascii="Times New Roman" w:hAnsi="Times New Roman" w:cs="Times New Roman"/>
                <w:sz w:val="24"/>
                <w:szCs w:val="24"/>
              </w:rPr>
              <w:t xml:space="preserve"> whether consent is given.  </w:t>
            </w:r>
            <w:r w:rsidR="006D011E">
              <w:rPr>
                <w:rFonts w:ascii="Times New Roman" w:hAnsi="Times New Roman" w:cs="Times New Roman"/>
                <w:sz w:val="24"/>
                <w:szCs w:val="24"/>
              </w:rPr>
              <w:t xml:space="preserve"> P</w:t>
            </w:r>
            <w:r w:rsidR="006D011E" w:rsidRPr="00A45EF6">
              <w:rPr>
                <w:rFonts w:ascii="Times New Roman" w:hAnsi="Times New Roman" w:cs="Times New Roman"/>
                <w:sz w:val="24"/>
                <w:szCs w:val="24"/>
              </w:rPr>
              <w:t xml:space="preserve">rotecting adults can </w:t>
            </w:r>
            <w:r w:rsidR="006D011E">
              <w:rPr>
                <w:rFonts w:ascii="Times New Roman" w:hAnsi="Times New Roman" w:cs="Times New Roman"/>
                <w:sz w:val="24"/>
                <w:szCs w:val="24"/>
              </w:rPr>
              <w:t>be a</w:t>
            </w:r>
            <w:r w:rsidR="006D011E" w:rsidRPr="00A45EF6">
              <w:rPr>
                <w:rFonts w:ascii="Times New Roman" w:hAnsi="Times New Roman" w:cs="Times New Roman"/>
                <w:sz w:val="24"/>
                <w:szCs w:val="24"/>
              </w:rPr>
              <w:t xml:space="preserve"> greater challenge than protecting children</w:t>
            </w:r>
            <w:r w:rsidR="006D011E">
              <w:rPr>
                <w:rFonts w:ascii="Times New Roman" w:hAnsi="Times New Roman" w:cs="Times New Roman"/>
                <w:sz w:val="24"/>
                <w:szCs w:val="24"/>
              </w:rPr>
              <w:t xml:space="preserve"> </w:t>
            </w:r>
            <w:r>
              <w:rPr>
                <w:rFonts w:ascii="Times New Roman" w:hAnsi="Times New Roman" w:cs="Times New Roman"/>
                <w:sz w:val="24"/>
                <w:szCs w:val="24"/>
              </w:rPr>
              <w:t xml:space="preserve">because </w:t>
            </w:r>
            <w:r w:rsidRPr="00263C43">
              <w:rPr>
                <w:rFonts w:ascii="Times New Roman" w:hAnsi="Times New Roman" w:cs="Times New Roman"/>
                <w:sz w:val="24"/>
                <w:szCs w:val="24"/>
              </w:rPr>
              <w:t>w</w:t>
            </w:r>
            <w:r>
              <w:rPr>
                <w:rFonts w:ascii="Times New Roman" w:hAnsi="Times New Roman" w:cs="Times New Roman"/>
                <w:sz w:val="24"/>
                <w:szCs w:val="24"/>
              </w:rPr>
              <w:t xml:space="preserve">hen threshold for safeguarding </w:t>
            </w:r>
            <w:r w:rsidR="006D011E">
              <w:rPr>
                <w:rFonts w:ascii="Times New Roman" w:hAnsi="Times New Roman" w:cs="Times New Roman"/>
                <w:sz w:val="24"/>
                <w:szCs w:val="24"/>
              </w:rPr>
              <w:t xml:space="preserve">an adult </w:t>
            </w:r>
            <w:r>
              <w:rPr>
                <w:rFonts w:ascii="Times New Roman" w:hAnsi="Times New Roman" w:cs="Times New Roman"/>
                <w:sz w:val="24"/>
                <w:szCs w:val="24"/>
              </w:rPr>
              <w:t xml:space="preserve">is met, </w:t>
            </w:r>
            <w:r w:rsidRPr="00263C43">
              <w:rPr>
                <w:rFonts w:ascii="Times New Roman" w:hAnsi="Times New Roman" w:cs="Times New Roman"/>
                <w:sz w:val="24"/>
                <w:szCs w:val="24"/>
              </w:rPr>
              <w:t xml:space="preserve">if </w:t>
            </w:r>
            <w:r w:rsidR="006D011E">
              <w:rPr>
                <w:rFonts w:ascii="Times New Roman" w:hAnsi="Times New Roman" w:cs="Times New Roman"/>
                <w:sz w:val="24"/>
                <w:szCs w:val="24"/>
              </w:rPr>
              <w:t>the</w:t>
            </w:r>
            <w:r w:rsidRPr="00263C43">
              <w:rPr>
                <w:rFonts w:ascii="Times New Roman" w:hAnsi="Times New Roman" w:cs="Times New Roman"/>
                <w:sz w:val="24"/>
                <w:szCs w:val="24"/>
              </w:rPr>
              <w:t xml:space="preserve"> adult is found to have ability, they </w:t>
            </w:r>
            <w:r w:rsidR="00361939" w:rsidRPr="00263C43">
              <w:rPr>
                <w:rFonts w:ascii="Times New Roman" w:hAnsi="Times New Roman" w:cs="Times New Roman"/>
                <w:sz w:val="24"/>
                <w:szCs w:val="24"/>
              </w:rPr>
              <w:t>can choose</w:t>
            </w:r>
            <w:r w:rsidRPr="00263C43">
              <w:rPr>
                <w:rFonts w:ascii="Times New Roman" w:hAnsi="Times New Roman" w:cs="Times New Roman"/>
                <w:sz w:val="24"/>
                <w:szCs w:val="24"/>
              </w:rPr>
              <w:t xml:space="preserve"> </w:t>
            </w:r>
            <w:r w:rsidR="00361939" w:rsidRPr="00263C43">
              <w:rPr>
                <w:rFonts w:ascii="Times New Roman" w:hAnsi="Times New Roman" w:cs="Times New Roman"/>
                <w:sz w:val="24"/>
                <w:szCs w:val="24"/>
              </w:rPr>
              <w:t>whether</w:t>
            </w:r>
            <w:r w:rsidRPr="00263C43">
              <w:rPr>
                <w:rFonts w:ascii="Times New Roman" w:hAnsi="Times New Roman" w:cs="Times New Roman"/>
                <w:sz w:val="24"/>
                <w:szCs w:val="24"/>
              </w:rPr>
              <w:t xml:space="preserve"> to particip</w:t>
            </w:r>
            <w:r w:rsidR="00337454">
              <w:rPr>
                <w:rFonts w:ascii="Times New Roman" w:hAnsi="Times New Roman" w:cs="Times New Roman"/>
                <w:sz w:val="24"/>
                <w:szCs w:val="24"/>
              </w:rPr>
              <w:t xml:space="preserve">ate. The Mental Capacity Act </w:t>
            </w:r>
            <w:r w:rsidRPr="00263C43">
              <w:rPr>
                <w:rFonts w:ascii="Times New Roman" w:hAnsi="Times New Roman" w:cs="Times New Roman"/>
                <w:sz w:val="24"/>
                <w:szCs w:val="24"/>
              </w:rPr>
              <w:t>2005</w:t>
            </w:r>
            <w:r w:rsidR="00337454">
              <w:rPr>
                <w:rFonts w:ascii="Times New Roman" w:hAnsi="Times New Roman" w:cs="Times New Roman"/>
                <w:sz w:val="24"/>
                <w:szCs w:val="24"/>
              </w:rPr>
              <w:t>,</w:t>
            </w:r>
            <w:r w:rsidRPr="00263C43">
              <w:rPr>
                <w:rFonts w:ascii="Times New Roman" w:hAnsi="Times New Roman" w:cs="Times New Roman"/>
                <w:sz w:val="24"/>
                <w:szCs w:val="24"/>
              </w:rPr>
              <w:t xml:space="preserve"> acknowledges that people with the capacity to make poor judgements have a legitimate right to autonomy and choice, and it supports those individuals in doing so.</w:t>
            </w:r>
            <w:r>
              <w:rPr>
                <w:rFonts w:ascii="Times New Roman" w:hAnsi="Times New Roman" w:cs="Times New Roman"/>
                <w:sz w:val="24"/>
                <w:szCs w:val="24"/>
              </w:rPr>
              <w:t xml:space="preserve">  This right can be overridden if</w:t>
            </w:r>
            <w:r w:rsidRPr="00A45EF6">
              <w:rPr>
                <w:rFonts w:ascii="Times New Roman" w:hAnsi="Times New Roman" w:cs="Times New Roman"/>
                <w:sz w:val="24"/>
                <w:szCs w:val="24"/>
              </w:rPr>
              <w:t xml:space="preserve"> an adult is determined to be incapable of making</w:t>
            </w:r>
            <w:r>
              <w:rPr>
                <w:rFonts w:ascii="Times New Roman" w:hAnsi="Times New Roman" w:cs="Times New Roman"/>
                <w:sz w:val="24"/>
                <w:szCs w:val="24"/>
              </w:rPr>
              <w:t xml:space="preserve"> their own decisions or is believed to be at risk of harm to themselves or others</w:t>
            </w:r>
            <w:r w:rsidR="008D7FA3">
              <w:rPr>
                <w:rFonts w:ascii="Times New Roman" w:hAnsi="Times New Roman" w:cs="Times New Roman"/>
                <w:sz w:val="24"/>
                <w:szCs w:val="24"/>
              </w:rPr>
              <w:t xml:space="preserve">.  </w:t>
            </w:r>
            <w:r w:rsidR="008D7FA3" w:rsidRPr="008D7FA3">
              <w:rPr>
                <w:rFonts w:ascii="Times New Roman" w:hAnsi="Times New Roman" w:cs="Times New Roman"/>
                <w:sz w:val="24"/>
                <w:szCs w:val="24"/>
              </w:rPr>
              <w:t xml:space="preserve">Valid consent is just as important when </w:t>
            </w:r>
            <w:r w:rsidR="008D7FA3">
              <w:rPr>
                <w:rFonts w:ascii="Times New Roman" w:hAnsi="Times New Roman" w:cs="Times New Roman"/>
                <w:sz w:val="24"/>
                <w:szCs w:val="24"/>
              </w:rPr>
              <w:t>working</w:t>
            </w:r>
            <w:r w:rsidR="008D7FA3" w:rsidRPr="008D7FA3">
              <w:rPr>
                <w:rFonts w:ascii="Times New Roman" w:hAnsi="Times New Roman" w:cs="Times New Roman"/>
                <w:sz w:val="24"/>
                <w:szCs w:val="24"/>
              </w:rPr>
              <w:t xml:space="preserve"> </w:t>
            </w:r>
            <w:r w:rsidR="000C5CA2">
              <w:rPr>
                <w:rFonts w:ascii="Times New Roman" w:hAnsi="Times New Roman" w:cs="Times New Roman"/>
                <w:sz w:val="24"/>
                <w:szCs w:val="24"/>
              </w:rPr>
              <w:t xml:space="preserve">with </w:t>
            </w:r>
            <w:r w:rsidR="008D7FA3" w:rsidRPr="008D7FA3">
              <w:rPr>
                <w:rFonts w:ascii="Times New Roman" w:hAnsi="Times New Roman" w:cs="Times New Roman"/>
                <w:sz w:val="24"/>
                <w:szCs w:val="24"/>
              </w:rPr>
              <w:t>children and young people as it is with adults</w:t>
            </w:r>
            <w:r w:rsidR="0078264D">
              <w:rPr>
                <w:rFonts w:ascii="Times New Roman" w:hAnsi="Times New Roman" w:cs="Times New Roman"/>
                <w:sz w:val="24"/>
                <w:szCs w:val="24"/>
              </w:rPr>
              <w:t xml:space="preserve">. </w:t>
            </w:r>
            <w:r w:rsidR="002941F8" w:rsidRPr="002941F8">
              <w:rPr>
                <w:rFonts w:ascii="Times New Roman" w:hAnsi="Times New Roman" w:cs="Times New Roman"/>
                <w:sz w:val="24"/>
                <w:szCs w:val="24"/>
              </w:rPr>
              <w:t>Gillick v West Norfolk and Wisbech Aha (1986)</w:t>
            </w:r>
            <w:r w:rsidR="002941F8">
              <w:rPr>
                <w:rFonts w:ascii="Times New Roman" w:hAnsi="Times New Roman" w:cs="Times New Roman"/>
                <w:sz w:val="24"/>
                <w:szCs w:val="24"/>
              </w:rPr>
              <w:t xml:space="preserve"> identified that c</w:t>
            </w:r>
            <w:r w:rsidR="008D7FA3" w:rsidRPr="002941F8">
              <w:rPr>
                <w:rFonts w:ascii="Times New Roman" w:hAnsi="Times New Roman" w:cs="Times New Roman"/>
                <w:sz w:val="24"/>
                <w:szCs w:val="24"/>
              </w:rPr>
              <w:t xml:space="preserve">hildren under 16 can </w:t>
            </w:r>
            <w:r w:rsidR="002941F8">
              <w:rPr>
                <w:rFonts w:ascii="Times New Roman" w:hAnsi="Times New Roman" w:cs="Times New Roman"/>
                <w:sz w:val="24"/>
                <w:szCs w:val="24"/>
              </w:rPr>
              <w:t>“</w:t>
            </w:r>
            <w:r w:rsidR="008D7FA3" w:rsidRPr="002941F8">
              <w:rPr>
                <w:rFonts w:ascii="Times New Roman" w:hAnsi="Times New Roman" w:cs="Times New Roman"/>
                <w:sz w:val="24"/>
                <w:szCs w:val="24"/>
              </w:rPr>
              <w:t xml:space="preserve">consent to things such as medical treatment </w:t>
            </w:r>
            <w:r w:rsidR="000C5CA2" w:rsidRPr="002941F8">
              <w:rPr>
                <w:rFonts w:ascii="Times New Roman" w:hAnsi="Times New Roman" w:cs="Times New Roman"/>
                <w:sz w:val="24"/>
                <w:szCs w:val="24"/>
              </w:rPr>
              <w:t xml:space="preserve">and other life decisions </w:t>
            </w:r>
            <w:r w:rsidR="008D7FA3" w:rsidRPr="002941F8">
              <w:rPr>
                <w:rFonts w:ascii="Times New Roman" w:hAnsi="Times New Roman" w:cs="Times New Roman"/>
                <w:sz w:val="24"/>
                <w:szCs w:val="24"/>
              </w:rPr>
              <w:t>if they understand what is being proposed</w:t>
            </w:r>
            <w:r w:rsidR="002941F8">
              <w:rPr>
                <w:rFonts w:ascii="Times New Roman" w:hAnsi="Times New Roman" w:cs="Times New Roman"/>
                <w:sz w:val="24"/>
                <w:szCs w:val="24"/>
              </w:rPr>
              <w:t>”</w:t>
            </w:r>
            <w:r w:rsidR="000C5CA2" w:rsidRPr="002941F8">
              <w:rPr>
                <w:rFonts w:ascii="Times New Roman" w:hAnsi="Times New Roman" w:cs="Times New Roman"/>
                <w:sz w:val="24"/>
                <w:szCs w:val="24"/>
              </w:rPr>
              <w:t xml:space="preserve">.  </w:t>
            </w:r>
            <w:r w:rsidR="008D7FA3" w:rsidRPr="002941F8">
              <w:rPr>
                <w:rFonts w:ascii="Times New Roman" w:hAnsi="Times New Roman" w:cs="Times New Roman"/>
                <w:sz w:val="24"/>
                <w:szCs w:val="24"/>
              </w:rPr>
              <w:t xml:space="preserve">A child who has such understanding is considered Gillick competent and the parents cannot overrule the child’s </w:t>
            </w:r>
            <w:r w:rsidR="000C5CA2" w:rsidRPr="002941F8">
              <w:rPr>
                <w:rFonts w:ascii="Times New Roman" w:hAnsi="Times New Roman" w:cs="Times New Roman"/>
                <w:sz w:val="24"/>
                <w:szCs w:val="24"/>
              </w:rPr>
              <w:t xml:space="preserve">decision if the child has given </w:t>
            </w:r>
            <w:r w:rsidR="008D7FA3" w:rsidRPr="002941F8">
              <w:rPr>
                <w:rFonts w:ascii="Times New Roman" w:hAnsi="Times New Roman" w:cs="Times New Roman"/>
                <w:sz w:val="24"/>
                <w:szCs w:val="24"/>
              </w:rPr>
              <w:t xml:space="preserve">consent </w:t>
            </w:r>
            <w:r w:rsidR="000C5CA2" w:rsidRPr="002941F8">
              <w:rPr>
                <w:rFonts w:ascii="Times New Roman" w:hAnsi="Times New Roman" w:cs="Times New Roman"/>
                <w:sz w:val="24"/>
                <w:szCs w:val="24"/>
              </w:rPr>
              <w:t>and is considered to have</w:t>
            </w:r>
            <w:r w:rsidR="008D7FA3" w:rsidRPr="002941F8">
              <w:rPr>
                <w:rFonts w:ascii="Times New Roman" w:hAnsi="Times New Roman" w:cs="Times New Roman"/>
                <w:sz w:val="24"/>
                <w:szCs w:val="24"/>
              </w:rPr>
              <w:t xml:space="preserve"> Gillick competent.</w:t>
            </w:r>
          </w:p>
          <w:p w14:paraId="0FD4A666" w14:textId="77777777" w:rsidR="00426F86" w:rsidRDefault="00426F86" w:rsidP="008D7FA3">
            <w:pPr>
              <w:spacing w:line="276" w:lineRule="auto"/>
              <w:rPr>
                <w:rFonts w:ascii="Times New Roman" w:hAnsi="Times New Roman" w:cs="Times New Roman"/>
                <w:sz w:val="24"/>
                <w:szCs w:val="24"/>
              </w:rPr>
            </w:pPr>
          </w:p>
          <w:p w14:paraId="5F5AABF1" w14:textId="5DF854DB" w:rsidR="00737543" w:rsidRDefault="00737543" w:rsidP="00737543">
            <w:pPr>
              <w:spacing w:line="276" w:lineRule="auto"/>
              <w:rPr>
                <w:rFonts w:ascii="Times New Roman" w:hAnsi="Times New Roman" w:cs="Times New Roman"/>
                <w:sz w:val="24"/>
                <w:szCs w:val="24"/>
              </w:rPr>
            </w:pPr>
          </w:p>
          <w:p w14:paraId="4BB83310" w14:textId="5AB7A30B" w:rsidR="00737543" w:rsidRPr="006E0BB0" w:rsidRDefault="00737543" w:rsidP="00737543">
            <w:pPr>
              <w:rPr>
                <w:rFonts w:ascii="Times New Roman" w:hAnsi="Times New Roman" w:cs="Times New Roman"/>
                <w:b/>
                <w:sz w:val="28"/>
                <w:szCs w:val="28"/>
              </w:rPr>
            </w:pPr>
            <w:r w:rsidRPr="006E0BB0">
              <w:rPr>
                <w:rFonts w:ascii="Times New Roman" w:hAnsi="Times New Roman" w:cs="Times New Roman"/>
                <w:b/>
                <w:sz w:val="28"/>
                <w:szCs w:val="28"/>
              </w:rPr>
              <w:t>Word Count - 4</w:t>
            </w:r>
            <w:r w:rsidR="002941F8">
              <w:rPr>
                <w:rFonts w:ascii="Times New Roman" w:hAnsi="Times New Roman" w:cs="Times New Roman"/>
                <w:b/>
                <w:sz w:val="28"/>
                <w:szCs w:val="28"/>
              </w:rPr>
              <w:t>40</w:t>
            </w:r>
          </w:p>
          <w:p w14:paraId="2336E78A" w14:textId="3D1A4ABC" w:rsidR="000539ED" w:rsidRDefault="000539ED" w:rsidP="00FC0334">
            <w:pPr>
              <w:jc w:val="both"/>
              <w:rPr>
                <w:i/>
                <w:sz w:val="24"/>
                <w:szCs w:val="24"/>
              </w:rPr>
            </w:pPr>
          </w:p>
          <w:p w14:paraId="34B1D854" w14:textId="77777777" w:rsidR="000539ED" w:rsidRPr="000539ED" w:rsidRDefault="000539ED" w:rsidP="000539ED">
            <w:pPr>
              <w:spacing w:line="276" w:lineRule="auto"/>
              <w:jc w:val="both"/>
              <w:rPr>
                <w:rFonts w:ascii="Times New Roman" w:hAnsi="Times New Roman" w:cs="Times New Roman"/>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887EF" w14:textId="77777777" w:rsidR="008E1A74" w:rsidRDefault="008E1A74">
      <w:r>
        <w:separator/>
      </w:r>
    </w:p>
  </w:endnote>
  <w:endnote w:type="continuationSeparator" w:id="0">
    <w:p w14:paraId="5258A8C5" w14:textId="77777777" w:rsidR="008E1A74" w:rsidRDefault="008E1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7E995EB" w:rsidR="00A5656A" w:rsidRDefault="00A5656A">
    <w:pPr>
      <w:pStyle w:val="Footer"/>
      <w:jc w:val="right"/>
    </w:pPr>
    <w:r>
      <w:fldChar w:fldCharType="begin"/>
    </w:r>
    <w:r>
      <w:instrText xml:space="preserve"> PAGE   \* MERGEFORMAT </w:instrText>
    </w:r>
    <w:r>
      <w:fldChar w:fldCharType="separate"/>
    </w:r>
    <w:r w:rsidR="0038668E">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4608F" w14:textId="77777777" w:rsidR="008E1A74" w:rsidRDefault="008E1A74">
      <w:r>
        <w:separator/>
      </w:r>
    </w:p>
  </w:footnote>
  <w:footnote w:type="continuationSeparator" w:id="0">
    <w:p w14:paraId="708A1A83" w14:textId="77777777" w:rsidR="008E1A74" w:rsidRDefault="008E1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E4721A"/>
    <w:multiLevelType w:val="multilevel"/>
    <w:tmpl w:val="397007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10687108">
    <w:abstractNumId w:val="1"/>
    <w:lvlOverride w:ilvl="0">
      <w:lvl w:ilvl="0">
        <w:start w:val="1"/>
        <w:numFmt w:val="bullet"/>
        <w:lvlText w:val=""/>
        <w:lvlJc w:val="left"/>
        <w:pPr>
          <w:ind w:left="720" w:hanging="360"/>
        </w:pPr>
        <w:rPr>
          <w:rFonts w:ascii="Symbol" w:hAnsi="Symbol" w:hint="default"/>
        </w:rPr>
      </w:lvl>
    </w:lvlOverride>
  </w:num>
  <w:num w:numId="2" w16cid:durableId="1441680286">
    <w:abstractNumId w:val="23"/>
  </w:num>
  <w:num w:numId="3" w16cid:durableId="1120758254">
    <w:abstractNumId w:val="46"/>
  </w:num>
  <w:num w:numId="4" w16cid:durableId="890464271">
    <w:abstractNumId w:val="48"/>
  </w:num>
  <w:num w:numId="5" w16cid:durableId="2080127256">
    <w:abstractNumId w:val="35"/>
  </w:num>
  <w:num w:numId="6" w16cid:durableId="1489400093">
    <w:abstractNumId w:val="33"/>
  </w:num>
  <w:num w:numId="7" w16cid:durableId="913317523">
    <w:abstractNumId w:val="30"/>
  </w:num>
  <w:num w:numId="8" w16cid:durableId="1708798334">
    <w:abstractNumId w:val="31"/>
  </w:num>
  <w:num w:numId="9" w16cid:durableId="759641543">
    <w:abstractNumId w:val="10"/>
  </w:num>
  <w:num w:numId="10" w16cid:durableId="1809276348">
    <w:abstractNumId w:val="34"/>
  </w:num>
  <w:num w:numId="11" w16cid:durableId="200171330">
    <w:abstractNumId w:val="18"/>
  </w:num>
  <w:num w:numId="12" w16cid:durableId="513112649">
    <w:abstractNumId w:val="17"/>
  </w:num>
  <w:num w:numId="13" w16cid:durableId="877207597">
    <w:abstractNumId w:val="28"/>
  </w:num>
  <w:num w:numId="14" w16cid:durableId="244728069">
    <w:abstractNumId w:val="8"/>
  </w:num>
  <w:num w:numId="15" w16cid:durableId="888959456">
    <w:abstractNumId w:val="27"/>
  </w:num>
  <w:num w:numId="16" w16cid:durableId="1590696214">
    <w:abstractNumId w:val="16"/>
  </w:num>
  <w:num w:numId="17" w16cid:durableId="210506677">
    <w:abstractNumId w:val="13"/>
  </w:num>
  <w:num w:numId="18" w16cid:durableId="11537048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19483328">
    <w:abstractNumId w:val="24"/>
  </w:num>
  <w:num w:numId="20" w16cid:durableId="1174800369">
    <w:abstractNumId w:val="19"/>
  </w:num>
  <w:num w:numId="21" w16cid:durableId="1768385057">
    <w:abstractNumId w:val="14"/>
  </w:num>
  <w:num w:numId="22" w16cid:durableId="1982073464">
    <w:abstractNumId w:val="11"/>
  </w:num>
  <w:num w:numId="23" w16cid:durableId="1114398783">
    <w:abstractNumId w:val="29"/>
  </w:num>
  <w:num w:numId="24" w16cid:durableId="1291207056">
    <w:abstractNumId w:val="20"/>
  </w:num>
  <w:num w:numId="25" w16cid:durableId="2059741663">
    <w:abstractNumId w:val="42"/>
  </w:num>
  <w:num w:numId="26" w16cid:durableId="1482193029">
    <w:abstractNumId w:val="36"/>
  </w:num>
  <w:num w:numId="27" w16cid:durableId="1013648031">
    <w:abstractNumId w:val="41"/>
  </w:num>
  <w:num w:numId="28" w16cid:durableId="1987783114">
    <w:abstractNumId w:val="21"/>
  </w:num>
  <w:num w:numId="29" w16cid:durableId="1273129995">
    <w:abstractNumId w:val="44"/>
  </w:num>
  <w:num w:numId="30" w16cid:durableId="234047228">
    <w:abstractNumId w:val="32"/>
  </w:num>
  <w:num w:numId="31" w16cid:durableId="542714714">
    <w:abstractNumId w:val="12"/>
  </w:num>
  <w:num w:numId="32" w16cid:durableId="872613942">
    <w:abstractNumId w:val="45"/>
  </w:num>
  <w:num w:numId="33" w16cid:durableId="2058166389">
    <w:abstractNumId w:val="40"/>
  </w:num>
  <w:num w:numId="34" w16cid:durableId="227110910">
    <w:abstractNumId w:val="5"/>
  </w:num>
  <w:num w:numId="35" w16cid:durableId="8337812">
    <w:abstractNumId w:val="47"/>
  </w:num>
  <w:num w:numId="36" w16cid:durableId="1385328609">
    <w:abstractNumId w:val="43"/>
  </w:num>
  <w:num w:numId="37" w16cid:durableId="1657105493">
    <w:abstractNumId w:val="37"/>
  </w:num>
  <w:num w:numId="38" w16cid:durableId="1329750781">
    <w:abstractNumId w:val="38"/>
  </w:num>
  <w:num w:numId="39" w16cid:durableId="376976381">
    <w:abstractNumId w:val="4"/>
  </w:num>
  <w:num w:numId="40" w16cid:durableId="1960137762">
    <w:abstractNumId w:val="6"/>
  </w:num>
  <w:num w:numId="41" w16cid:durableId="1756168694">
    <w:abstractNumId w:val="26"/>
  </w:num>
  <w:num w:numId="42" w16cid:durableId="1423527060">
    <w:abstractNumId w:val="7"/>
  </w:num>
  <w:num w:numId="43" w16cid:durableId="1982614854">
    <w:abstractNumId w:val="3"/>
  </w:num>
  <w:num w:numId="44" w16cid:durableId="925385278">
    <w:abstractNumId w:val="39"/>
  </w:num>
  <w:num w:numId="45" w16cid:durableId="703363753">
    <w:abstractNumId w:val="0"/>
  </w:num>
  <w:num w:numId="46" w16cid:durableId="1818452394">
    <w:abstractNumId w:val="14"/>
  </w:num>
  <w:num w:numId="47" w16cid:durableId="1601646629">
    <w:abstractNumId w:val="49"/>
  </w:num>
  <w:num w:numId="48" w16cid:durableId="3598217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215880">
    <w:abstractNumId w:val="11"/>
  </w:num>
  <w:num w:numId="50" w16cid:durableId="1106274289">
    <w:abstractNumId w:val="29"/>
  </w:num>
  <w:num w:numId="51" w16cid:durableId="1487867166">
    <w:abstractNumId w:val="25"/>
  </w:num>
  <w:num w:numId="52" w16cid:durableId="1796562017">
    <w:abstractNumId w:val="22"/>
  </w:num>
  <w:num w:numId="53" w16cid:durableId="1835996981">
    <w:abstractNumId w:val="2"/>
  </w:num>
  <w:num w:numId="54" w16cid:durableId="807094963">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39ED"/>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5CA2"/>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3F8E"/>
    <w:rsid w:val="00130119"/>
    <w:rsid w:val="00132812"/>
    <w:rsid w:val="001347F8"/>
    <w:rsid w:val="001359EE"/>
    <w:rsid w:val="00137BB5"/>
    <w:rsid w:val="00137E05"/>
    <w:rsid w:val="001447F6"/>
    <w:rsid w:val="00147DE3"/>
    <w:rsid w:val="00150794"/>
    <w:rsid w:val="00151DA6"/>
    <w:rsid w:val="00157AFB"/>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41F8"/>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454"/>
    <w:rsid w:val="0033771E"/>
    <w:rsid w:val="00337FEF"/>
    <w:rsid w:val="00354B6D"/>
    <w:rsid w:val="00355210"/>
    <w:rsid w:val="00355CFD"/>
    <w:rsid w:val="00355FC0"/>
    <w:rsid w:val="00361939"/>
    <w:rsid w:val="00365DF9"/>
    <w:rsid w:val="0037066E"/>
    <w:rsid w:val="00372DB4"/>
    <w:rsid w:val="00373A36"/>
    <w:rsid w:val="0037419E"/>
    <w:rsid w:val="00375AF5"/>
    <w:rsid w:val="003761BD"/>
    <w:rsid w:val="00377448"/>
    <w:rsid w:val="00377884"/>
    <w:rsid w:val="003826BD"/>
    <w:rsid w:val="00385414"/>
    <w:rsid w:val="0038668E"/>
    <w:rsid w:val="00390074"/>
    <w:rsid w:val="00392F73"/>
    <w:rsid w:val="00393600"/>
    <w:rsid w:val="0039762B"/>
    <w:rsid w:val="003A0C37"/>
    <w:rsid w:val="003A1B6B"/>
    <w:rsid w:val="003A46C0"/>
    <w:rsid w:val="003A600E"/>
    <w:rsid w:val="003A6513"/>
    <w:rsid w:val="003B16C7"/>
    <w:rsid w:val="003B3115"/>
    <w:rsid w:val="003C0000"/>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3F14"/>
    <w:rsid w:val="00425160"/>
    <w:rsid w:val="00426F86"/>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21B6"/>
    <w:rsid w:val="004B5533"/>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48D"/>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2646"/>
    <w:rsid w:val="005F64AA"/>
    <w:rsid w:val="005F7851"/>
    <w:rsid w:val="00606E27"/>
    <w:rsid w:val="006108C9"/>
    <w:rsid w:val="00614DF7"/>
    <w:rsid w:val="006179BB"/>
    <w:rsid w:val="00617A55"/>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7697"/>
    <w:rsid w:val="006C2EB5"/>
    <w:rsid w:val="006D011E"/>
    <w:rsid w:val="006D18A3"/>
    <w:rsid w:val="006D5970"/>
    <w:rsid w:val="006E481E"/>
    <w:rsid w:val="006E4A1C"/>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37543"/>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264D"/>
    <w:rsid w:val="007872F2"/>
    <w:rsid w:val="007873F9"/>
    <w:rsid w:val="007908E0"/>
    <w:rsid w:val="00793EB3"/>
    <w:rsid w:val="00794205"/>
    <w:rsid w:val="0079422A"/>
    <w:rsid w:val="007A1F6A"/>
    <w:rsid w:val="007A628F"/>
    <w:rsid w:val="007B0DE3"/>
    <w:rsid w:val="007B1BFD"/>
    <w:rsid w:val="007B43D7"/>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FD2"/>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30D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D7FA3"/>
    <w:rsid w:val="008E1A74"/>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56F1"/>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2F5D"/>
    <w:rsid w:val="009E4D2C"/>
    <w:rsid w:val="009F0978"/>
    <w:rsid w:val="009F3AEC"/>
    <w:rsid w:val="009F6272"/>
    <w:rsid w:val="009F6801"/>
    <w:rsid w:val="00A00081"/>
    <w:rsid w:val="00A06422"/>
    <w:rsid w:val="00A10D56"/>
    <w:rsid w:val="00A12AAE"/>
    <w:rsid w:val="00A12F22"/>
    <w:rsid w:val="00A16DD1"/>
    <w:rsid w:val="00A22441"/>
    <w:rsid w:val="00A23F3B"/>
    <w:rsid w:val="00A24406"/>
    <w:rsid w:val="00A25F64"/>
    <w:rsid w:val="00A275F6"/>
    <w:rsid w:val="00A303B9"/>
    <w:rsid w:val="00A34FE1"/>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1689"/>
    <w:rsid w:val="00A829C1"/>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23B6"/>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6F8"/>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67030"/>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324"/>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B79"/>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01B8"/>
    <w:rsid w:val="00FD049F"/>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D67030"/>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D67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7695">
      <w:bodyDiv w:val="1"/>
      <w:marLeft w:val="0"/>
      <w:marRight w:val="0"/>
      <w:marTop w:val="0"/>
      <w:marBottom w:val="0"/>
      <w:divBdr>
        <w:top w:val="none" w:sz="0" w:space="0" w:color="auto"/>
        <w:left w:val="none" w:sz="0" w:space="0" w:color="auto"/>
        <w:bottom w:val="none" w:sz="0" w:space="0" w:color="auto"/>
        <w:right w:val="none" w:sz="0" w:space="0" w:color="auto"/>
      </w:divBdr>
    </w:div>
    <w:div w:id="81325198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2589443">
      <w:bodyDiv w:val="1"/>
      <w:marLeft w:val="0"/>
      <w:marRight w:val="0"/>
      <w:marTop w:val="0"/>
      <w:marBottom w:val="0"/>
      <w:divBdr>
        <w:top w:val="none" w:sz="0" w:space="0" w:color="auto"/>
        <w:left w:val="none" w:sz="0" w:space="0" w:color="auto"/>
        <w:bottom w:val="none" w:sz="0" w:space="0" w:color="auto"/>
        <w:right w:val="none" w:sz="0" w:space="0" w:color="auto"/>
      </w:divBdr>
    </w:div>
    <w:div w:id="201098150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anaw/2015/3/content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3858C2-8299-4902-B325-034BD7920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1156</Words>
  <Characters>6592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Joanne Williams</cp:lastModifiedBy>
  <cp:revision>4</cp:revision>
  <cp:lastPrinted>2020-02-11T19:20:00Z</cp:lastPrinted>
  <dcterms:created xsi:type="dcterms:W3CDTF">2024-07-22T13:00:00Z</dcterms:created>
  <dcterms:modified xsi:type="dcterms:W3CDTF">2025-02-06T18:59:00Z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