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690958845"/>
        <w:docPartObj>
          <w:docPartGallery w:val="Cover Pages"/>
          <w:docPartUnique/>
        </w:docPartObj>
      </w:sdtPr>
      <w:sdtEndPr>
        <w:rPr>
          <w:rFonts w:eastAsiaTheme="minorHAnsi"/>
          <w:b/>
          <w:sz w:val="22"/>
          <w:lang w:eastAsia="en-US"/>
        </w:rPr>
      </w:sdtEndPr>
      <w:sdtContent>
        <w:p w14:paraId="53676AA7" w14:textId="6118EF0D" w:rsidR="004313B1" w:rsidRDefault="004313B1">
          <w:pPr>
            <w:pStyle w:val="NoSpacing"/>
            <w:rPr>
              <w:sz w:val="2"/>
            </w:rPr>
          </w:pPr>
        </w:p>
        <w:p w14:paraId="41735B50" w14:textId="772A1A56" w:rsidR="004313B1" w:rsidRDefault="004313B1">
          <w:r>
            <w:rPr>
              <w:noProof/>
            </w:rPr>
            <mc:AlternateContent>
              <mc:Choice Requires="wps">
                <w:drawing>
                  <wp:anchor distT="0" distB="0" distL="114300" distR="114300" simplePos="0" relativeHeight="251661312" behindDoc="0" locked="0" layoutInCell="1" allowOverlap="1" wp14:anchorId="0182F351" wp14:editId="17BD297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4887A8" w14:textId="73AFB6C4" w:rsidR="004313B1" w:rsidRPr="00AC4EF6" w:rsidRDefault="004313B1" w:rsidP="00AC4EF6">
                                <w:pPr>
                                  <w:pStyle w:val="NoSpacing"/>
                                  <w:rPr>
                                    <w:rFonts w:ascii="Arial" w:eastAsiaTheme="majorEastAsia" w:hAnsi="Arial" w:cs="Arial"/>
                                    <w:caps/>
                                    <w:color w:val="2C7FCE" w:themeColor="text2" w:themeTint="99"/>
                                    <w:sz w:val="68"/>
                                    <w:szCs w:val="68"/>
                                  </w:rPr>
                                </w:pPr>
                                <w:sdt>
                                  <w:sdtPr>
                                    <w:rPr>
                                      <w:rFonts w:ascii="Arial" w:eastAsiaTheme="majorEastAsia" w:hAnsi="Arial" w:cs="Arial"/>
                                      <w:caps/>
                                      <w:color w:val="2C7FCE"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Pr="004313B1">
                                      <w:rPr>
                                        <w:rFonts w:ascii="Arial" w:eastAsiaTheme="majorEastAsia" w:hAnsi="Arial" w:cs="Arial"/>
                                        <w:caps/>
                                        <w:color w:val="2C7FCE" w:themeColor="text2" w:themeTint="99"/>
                                        <w:sz w:val="48"/>
                                        <w:szCs w:val="48"/>
                                      </w:rPr>
                                      <w:t>Organisational culture and the delivery of good work at sofidel uk: a strategic analysis</w:t>
                                    </w:r>
                                  </w:sdtContent>
                                </w:sdt>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182F351"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514887A8" w14:textId="73AFB6C4" w:rsidR="004313B1" w:rsidRPr="00AC4EF6" w:rsidRDefault="004313B1" w:rsidP="00AC4EF6">
                          <w:pPr>
                            <w:pStyle w:val="NoSpacing"/>
                            <w:rPr>
                              <w:rFonts w:ascii="Arial" w:eastAsiaTheme="majorEastAsia" w:hAnsi="Arial" w:cs="Arial"/>
                              <w:caps/>
                              <w:color w:val="2C7FCE" w:themeColor="text2" w:themeTint="99"/>
                              <w:sz w:val="68"/>
                              <w:szCs w:val="68"/>
                            </w:rPr>
                          </w:pPr>
                          <w:sdt>
                            <w:sdtPr>
                              <w:rPr>
                                <w:rFonts w:ascii="Arial" w:eastAsiaTheme="majorEastAsia" w:hAnsi="Arial" w:cs="Arial"/>
                                <w:caps/>
                                <w:color w:val="2C7FCE"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Pr="004313B1">
                                <w:rPr>
                                  <w:rFonts w:ascii="Arial" w:eastAsiaTheme="majorEastAsia" w:hAnsi="Arial" w:cs="Arial"/>
                                  <w:caps/>
                                  <w:color w:val="2C7FCE" w:themeColor="text2" w:themeTint="99"/>
                                  <w:sz w:val="48"/>
                                  <w:szCs w:val="48"/>
                                </w:rPr>
                                <w:t>Organisational culture and the delivery of good work at sofidel uk: a strategic analysis</w:t>
                              </w:r>
                            </w:sdtContent>
                          </w:sdt>
                          <w:r>
                            <w:t xml:space="preserve"> </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EEBA4AD" wp14:editId="411950E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DA7C1A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CEFF443" w14:textId="77777777" w:rsidR="00AC4EF6" w:rsidRDefault="004313B1">
          <w:r>
            <w:rPr>
              <w:noProof/>
            </w:rPr>
            <mc:AlternateContent>
              <mc:Choice Requires="wps">
                <w:drawing>
                  <wp:anchor distT="0" distB="0" distL="114300" distR="114300" simplePos="0" relativeHeight="251659264" behindDoc="0" locked="0" layoutInCell="1" allowOverlap="1" wp14:anchorId="0341C487" wp14:editId="5F019511">
                    <wp:simplePos x="0" y="0"/>
                    <wp:positionH relativeFrom="page">
                      <wp:posOffset>577850</wp:posOffset>
                    </wp:positionH>
                    <wp:positionV relativeFrom="margin">
                      <wp:posOffset>8528050</wp:posOffset>
                    </wp:positionV>
                    <wp:extent cx="6737350" cy="374904"/>
                    <wp:effectExtent l="0" t="0" r="6350" b="12700"/>
                    <wp:wrapNone/>
                    <wp:docPr id="69" name="Text Box 73"/>
                    <wp:cNvGraphicFramePr/>
                    <a:graphic xmlns:a="http://schemas.openxmlformats.org/drawingml/2006/main">
                      <a:graphicData uri="http://schemas.microsoft.com/office/word/2010/wordprocessingShape">
                        <wps:wsp>
                          <wps:cNvSpPr txBox="1"/>
                          <wps:spPr>
                            <a:xfrm>
                              <a:off x="0" y="0"/>
                              <a:ext cx="673735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AD3C24" w14:textId="77777777" w:rsidR="004313B1"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Name:</w:t>
                                </w:r>
                                <w:r w:rsidRPr="00AC4EF6">
                                  <w:rPr>
                                    <w:rFonts w:ascii="Arial" w:hAnsi="Arial" w:cs="Arial"/>
                                    <w:color w:val="000000" w:themeColor="text1"/>
                                    <w:sz w:val="24"/>
                                    <w:szCs w:val="24"/>
                                  </w:rPr>
                                  <w:t xml:space="preserve"> Olivia Jenkins</w:t>
                                </w:r>
                              </w:p>
                              <w:p w14:paraId="0FE8F1E5" w14:textId="5AC08F68" w:rsidR="004313B1"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Student Number:</w:t>
                                </w:r>
                                <w:r w:rsidR="00AC4EF6" w:rsidRPr="00AC4EF6">
                                  <w:rPr>
                                    <w:rFonts w:ascii="Arial" w:hAnsi="Arial" w:cs="Arial"/>
                                    <w:b/>
                                    <w:bCs/>
                                    <w:color w:val="000000" w:themeColor="text1"/>
                                    <w:sz w:val="24"/>
                                    <w:szCs w:val="24"/>
                                  </w:rPr>
                                  <w:t xml:space="preserve"> </w:t>
                                </w:r>
                                <w:r w:rsidRPr="00AC4EF6">
                                  <w:rPr>
                                    <w:rFonts w:ascii="Arial" w:hAnsi="Arial" w:cs="Arial"/>
                                    <w:color w:val="000000" w:themeColor="text1"/>
                                    <w:sz w:val="24"/>
                                    <w:szCs w:val="24"/>
                                  </w:rPr>
                                  <w:t>2517763</w:t>
                                </w:r>
                              </w:p>
                              <w:p w14:paraId="7CA253D8" w14:textId="3AE5FADE" w:rsidR="004313B1"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Word Count:</w:t>
                                </w:r>
                                <w:r w:rsidRPr="00AC4EF6">
                                  <w:rPr>
                                    <w:rFonts w:ascii="Arial" w:hAnsi="Arial" w:cs="Arial"/>
                                    <w:color w:val="000000" w:themeColor="text1"/>
                                    <w:sz w:val="24"/>
                                    <w:szCs w:val="24"/>
                                  </w:rPr>
                                  <w:t xml:space="preserve"> 38</w:t>
                                </w:r>
                                <w:r w:rsidRPr="00AC4EF6">
                                  <w:rPr>
                                    <w:rFonts w:ascii="Arial" w:hAnsi="Arial" w:cs="Arial"/>
                                    <w:color w:val="000000" w:themeColor="text1"/>
                                    <w:sz w:val="24"/>
                                    <w:szCs w:val="24"/>
                                  </w:rPr>
                                  <w:t>23</w:t>
                                </w:r>
                              </w:p>
                              <w:p w14:paraId="19304A9D" w14:textId="77777777" w:rsidR="00AC4EF6" w:rsidRPr="00AC4EF6" w:rsidRDefault="00AC4EF6" w:rsidP="004313B1">
                                <w:pPr>
                                  <w:pStyle w:val="NoSpacing"/>
                                  <w:rPr>
                                    <w:rFonts w:ascii="Arial" w:hAnsi="Arial" w:cs="Arial"/>
                                    <w:color w:val="000000" w:themeColor="text1"/>
                                    <w:sz w:val="24"/>
                                    <w:szCs w:val="24"/>
                                  </w:rPr>
                                </w:pPr>
                              </w:p>
                              <w:p w14:paraId="6A04B7D4" w14:textId="12EADD8C" w:rsidR="00AC4EF6" w:rsidRPr="00AC4EF6" w:rsidRDefault="00AC4EF6" w:rsidP="004313B1">
                                <w:pPr>
                                  <w:pStyle w:val="NoSpacing"/>
                                  <w:rPr>
                                    <w:rFonts w:ascii="Arial" w:hAnsi="Arial" w:cs="Arial"/>
                                    <w:color w:val="000000" w:themeColor="text1"/>
                                    <w:sz w:val="24"/>
                                    <w:szCs w:val="24"/>
                                  </w:rPr>
                                </w:pPr>
                                <w:r w:rsidRPr="00AC4EF6">
                                  <w:rPr>
                                    <w:rFonts w:ascii="Arial" w:hAnsi="Arial" w:cs="Arial"/>
                                    <w:color w:val="000000" w:themeColor="text1"/>
                                    <w:sz w:val="24"/>
                                    <w:szCs w:val="24"/>
                                  </w:rPr>
                                  <w:t>I confirm that this work is entirely my own and that I have used academic referencing throughout.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341C487" id="Text Box 73" o:spid="_x0000_s1027" type="#_x0000_t202" style="position:absolute;margin-left:45.5pt;margin-top:671.5pt;width:530.5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krVXwIAADQFAAAOAAAAZHJzL2Uyb0RvYy54bWysVN9v2jAQfp+0/8Hy+wiUrt0QoWKtOk1C&#10;bTU69dk4NkRzfN7ZkLC/fmcnAcb20mkvzuXu/N2v7zy9aSrDdgp9CTbno8GQM2UlFKVd5/zb8/27&#10;D5z5IGwhDFiV873y/Gb29s20dhN1ARswhUJGINZPapfzTQhukmVeblQl/ACcsmTUgJUI9IvrrEBR&#10;E3plsovh8CqrAQuHIJX3pL1rjXyW8LVWMjxq7VVgJueUW0gnpnMVz2w2FZM1CrcpZZeG+IcsKlFa&#10;CnqAuhNBsC2Wf0BVpUTwoMNAQpWB1qVUqQaqZjQ8q2a5EU6lWqg53h3a5P8frHzYLd0TstB8goYG&#10;GBtSOz/xpIz1NBqr+KVMGdmphftD21QTmCTl1fX4evyeTJJs4+vLj8PLCJMdbzv04bOCikUh50hj&#10;Sd0Su4UPrWvvEoNZuC+NSaMxltUUIcL/ZiFwY6NGpSF3MMfMkxT2RkUfY78qzcoiFRAViV7q1iDb&#10;CSKGkFLZkGpPuOQdvTQl8ZqLnf8xq9dcbuvoI4MNh8tVaQFT9WdpF9/7lHXrTz0/qTuKoVk1VPjJ&#10;YFdQ7GneCO0qeCfvSxrKQvjwJJC4T3OkfQ6PdGgD1HzoJM42gD//po/+REmyclbTLuXc/9gKVJyZ&#10;L5bIGhevF7AXVr1gt9Ut0BRG9FI4mUS6gMH0okaoXmjN5zEKmYSVFCvnq168De1G0zMh1XyenGi9&#10;nAgLu3QyQsehRIo9Ny8CXcfDQAx+gH7LxOSMjq1v4oubbwORMnE19rXtYtdvWs3E9u4Zibt/+p+8&#10;jo/d7BcAAAD//wMAUEsDBBQABgAIAAAAIQCVgZD73wAAAA0BAAAPAAAAZHJzL2Rvd25yZXYueG1s&#10;TI9BT8MwDIXvSPyHyEjcWNp1Y1CaTggJCYkTYwd2yxqvLUucqsmW8u/xTnD7bD89v1etJ2fFGcfQ&#10;e1KQzzIQSI03PbUKtp+vdw8gQtRktPWECn4wwLq+vqp0aXyiDzxvYivYhEKpFXQxDqWUoenQ6TDz&#10;AxLfDn50OvI4ttKMOrG5s3KeZffS6Z74Q6cHfOmwOW5OTgHFQ2G2y4T09f7Wpm+7OqbdqNTtzfT8&#10;BCLiFP/EcInP0aHmTHt/IhOEVfCYc5XI+2JRMF0U+XLOtGdaZEyyruT/FvUvAAAA//8DAFBLAQIt&#10;ABQABgAIAAAAIQC2gziS/gAAAOEBAAATAAAAAAAAAAAAAAAAAAAAAABbQ29udGVudF9UeXBlc10u&#10;eG1sUEsBAi0AFAAGAAgAAAAhADj9If/WAAAAlAEAAAsAAAAAAAAAAAAAAAAALwEAAF9yZWxzLy5y&#10;ZWxzUEsBAi0AFAAGAAgAAAAhAOMOStVfAgAANAUAAA4AAAAAAAAAAAAAAAAALgIAAGRycy9lMm9E&#10;b2MueG1sUEsBAi0AFAAGAAgAAAAhAJWBkPvfAAAADQEAAA8AAAAAAAAAAAAAAAAAuQQAAGRycy9k&#10;b3ducmV2LnhtbFBLBQYAAAAABAAEAPMAAADFBQAAAAA=&#10;" filled="f" stroked="f" strokeweight=".5pt">
                    <v:textbox style="mso-fit-shape-to-text:t" inset="0,0,0,0">
                      <w:txbxContent>
                        <w:p w14:paraId="0BAD3C24" w14:textId="77777777" w:rsidR="004313B1"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Name:</w:t>
                          </w:r>
                          <w:r w:rsidRPr="00AC4EF6">
                            <w:rPr>
                              <w:rFonts w:ascii="Arial" w:hAnsi="Arial" w:cs="Arial"/>
                              <w:color w:val="000000" w:themeColor="text1"/>
                              <w:sz w:val="24"/>
                              <w:szCs w:val="24"/>
                            </w:rPr>
                            <w:t xml:space="preserve"> Olivia Jenkins</w:t>
                          </w:r>
                        </w:p>
                        <w:p w14:paraId="0FE8F1E5" w14:textId="5AC08F68" w:rsidR="004313B1"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Student Number:</w:t>
                          </w:r>
                          <w:r w:rsidR="00AC4EF6" w:rsidRPr="00AC4EF6">
                            <w:rPr>
                              <w:rFonts w:ascii="Arial" w:hAnsi="Arial" w:cs="Arial"/>
                              <w:b/>
                              <w:bCs/>
                              <w:color w:val="000000" w:themeColor="text1"/>
                              <w:sz w:val="24"/>
                              <w:szCs w:val="24"/>
                            </w:rPr>
                            <w:t xml:space="preserve"> </w:t>
                          </w:r>
                          <w:r w:rsidRPr="00AC4EF6">
                            <w:rPr>
                              <w:rFonts w:ascii="Arial" w:hAnsi="Arial" w:cs="Arial"/>
                              <w:color w:val="000000" w:themeColor="text1"/>
                              <w:sz w:val="24"/>
                              <w:szCs w:val="24"/>
                            </w:rPr>
                            <w:t>2517763</w:t>
                          </w:r>
                        </w:p>
                        <w:p w14:paraId="7CA253D8" w14:textId="3AE5FADE" w:rsidR="004313B1"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Word Count:</w:t>
                          </w:r>
                          <w:r w:rsidRPr="00AC4EF6">
                            <w:rPr>
                              <w:rFonts w:ascii="Arial" w:hAnsi="Arial" w:cs="Arial"/>
                              <w:color w:val="000000" w:themeColor="text1"/>
                              <w:sz w:val="24"/>
                              <w:szCs w:val="24"/>
                            </w:rPr>
                            <w:t xml:space="preserve"> 38</w:t>
                          </w:r>
                          <w:r w:rsidRPr="00AC4EF6">
                            <w:rPr>
                              <w:rFonts w:ascii="Arial" w:hAnsi="Arial" w:cs="Arial"/>
                              <w:color w:val="000000" w:themeColor="text1"/>
                              <w:sz w:val="24"/>
                              <w:szCs w:val="24"/>
                            </w:rPr>
                            <w:t>23</w:t>
                          </w:r>
                        </w:p>
                        <w:p w14:paraId="19304A9D" w14:textId="77777777" w:rsidR="00AC4EF6" w:rsidRPr="00AC4EF6" w:rsidRDefault="00AC4EF6" w:rsidP="004313B1">
                          <w:pPr>
                            <w:pStyle w:val="NoSpacing"/>
                            <w:rPr>
                              <w:rFonts w:ascii="Arial" w:hAnsi="Arial" w:cs="Arial"/>
                              <w:color w:val="000000" w:themeColor="text1"/>
                              <w:sz w:val="24"/>
                              <w:szCs w:val="24"/>
                            </w:rPr>
                          </w:pPr>
                        </w:p>
                        <w:p w14:paraId="6A04B7D4" w14:textId="12EADD8C" w:rsidR="00AC4EF6" w:rsidRPr="00AC4EF6" w:rsidRDefault="00AC4EF6" w:rsidP="004313B1">
                          <w:pPr>
                            <w:pStyle w:val="NoSpacing"/>
                            <w:rPr>
                              <w:rFonts w:ascii="Arial" w:hAnsi="Arial" w:cs="Arial"/>
                              <w:color w:val="000000" w:themeColor="text1"/>
                              <w:sz w:val="24"/>
                              <w:szCs w:val="24"/>
                            </w:rPr>
                          </w:pPr>
                          <w:r w:rsidRPr="00AC4EF6">
                            <w:rPr>
                              <w:rFonts w:ascii="Arial" w:hAnsi="Arial" w:cs="Arial"/>
                              <w:color w:val="000000" w:themeColor="text1"/>
                              <w:sz w:val="24"/>
                              <w:szCs w:val="24"/>
                            </w:rPr>
                            <w:t>I confirm that this work is entirely my own and that I have used academic referencing throughout.</w:t>
                          </w:r>
                        </w:p>
                      </w:txbxContent>
                    </v:textbox>
                    <w10:wrap anchorx="page" anchory="margin"/>
                  </v:shape>
                </w:pict>
              </mc:Fallback>
            </mc:AlternateContent>
          </w:r>
          <w:r>
            <w:rPr>
              <w:b/>
            </w:rPr>
            <w:br w:type="page"/>
          </w:r>
        </w:p>
        <w:sdt>
          <w:sdtPr>
            <w:id w:val="-1701153191"/>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C7A74FF" w14:textId="764B9987" w:rsidR="00AC4EF6" w:rsidRPr="00AC4EF6" w:rsidRDefault="00AC4EF6">
              <w:pPr>
                <w:pStyle w:val="TOCHeading"/>
                <w:rPr>
                  <w:color w:val="000000" w:themeColor="text1"/>
                </w:rPr>
              </w:pPr>
              <w:r w:rsidRPr="00AC4EF6">
                <w:rPr>
                  <w:color w:val="000000" w:themeColor="text1"/>
                </w:rPr>
                <w:t>Contents</w:t>
              </w:r>
            </w:p>
            <w:p w14:paraId="4AC66D8D" w14:textId="592A1A45" w:rsidR="00AC4EF6" w:rsidRPr="00AC4EF6" w:rsidRDefault="00AC4EF6">
              <w:pPr>
                <w:pStyle w:val="TOC1"/>
                <w:tabs>
                  <w:tab w:val="right" w:leader="dot" w:pos="9016"/>
                </w:tabs>
                <w:rPr>
                  <w:noProof/>
                  <w:color w:val="000000" w:themeColor="text1"/>
                </w:rPr>
              </w:pPr>
              <w:r w:rsidRPr="00AC4EF6">
                <w:rPr>
                  <w:color w:val="000000" w:themeColor="text1"/>
                </w:rPr>
                <w:fldChar w:fldCharType="begin"/>
              </w:r>
              <w:r w:rsidRPr="00AC4EF6">
                <w:rPr>
                  <w:color w:val="000000" w:themeColor="text1"/>
                </w:rPr>
                <w:instrText xml:space="preserve"> TOC \o "1-3" \h \z \u </w:instrText>
              </w:r>
              <w:r w:rsidRPr="00AC4EF6">
                <w:rPr>
                  <w:color w:val="000000" w:themeColor="text1"/>
                </w:rPr>
                <w:fldChar w:fldCharType="separate"/>
              </w:r>
              <w:hyperlink w:anchor="_Toc222163251" w:history="1">
                <w:r w:rsidRPr="00AC4EF6">
                  <w:rPr>
                    <w:rStyle w:val="Hyperlink"/>
                    <w:bCs/>
                    <w:noProof/>
                    <w:color w:val="000000" w:themeColor="text1"/>
                  </w:rPr>
                  <w:t>Executive Summary</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_Toc222163251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2</w:t>
                </w:r>
                <w:r w:rsidRPr="00AC4EF6">
                  <w:rPr>
                    <w:noProof/>
                    <w:webHidden/>
                    <w:color w:val="000000" w:themeColor="text1"/>
                  </w:rPr>
                  <w:fldChar w:fldCharType="end"/>
                </w:r>
              </w:hyperlink>
            </w:p>
            <w:p w14:paraId="396586A6" w14:textId="639D11B0" w:rsidR="00AC4EF6" w:rsidRPr="00AC4EF6" w:rsidRDefault="00AC4EF6">
              <w:pPr>
                <w:pStyle w:val="TOC1"/>
                <w:tabs>
                  <w:tab w:val="right" w:leader="dot" w:pos="9016"/>
                </w:tabs>
                <w:rPr>
                  <w:noProof/>
                  <w:color w:val="000000" w:themeColor="text1"/>
                </w:rPr>
              </w:pPr>
              <w:hyperlink w:anchor="_Toc222163252" w:history="1">
                <w:r w:rsidRPr="00AC4EF6">
                  <w:rPr>
                    <w:rStyle w:val="Hyperlink"/>
                    <w:noProof/>
                    <w:color w:val="000000" w:themeColor="text1"/>
                  </w:rPr>
                  <w:t>Introduction</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_Toc222163252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3</w:t>
                </w:r>
                <w:r w:rsidRPr="00AC4EF6">
                  <w:rPr>
                    <w:noProof/>
                    <w:webHidden/>
                    <w:color w:val="000000" w:themeColor="text1"/>
                  </w:rPr>
                  <w:fldChar w:fldCharType="end"/>
                </w:r>
              </w:hyperlink>
            </w:p>
            <w:p w14:paraId="06EB72A3" w14:textId="2AA4F995" w:rsidR="00AC4EF6" w:rsidRPr="00AC4EF6" w:rsidRDefault="00AC4EF6">
              <w:pPr>
                <w:pStyle w:val="TOC1"/>
                <w:tabs>
                  <w:tab w:val="right" w:leader="dot" w:pos="9016"/>
                </w:tabs>
                <w:rPr>
                  <w:noProof/>
                  <w:color w:val="000000" w:themeColor="text1"/>
                </w:rPr>
              </w:pPr>
              <w:hyperlink w:anchor="_Toc222163253" w:history="1">
                <w:r w:rsidRPr="00AC4EF6">
                  <w:rPr>
                    <w:rStyle w:val="Hyperlink"/>
                    <w:noProof/>
                    <w:color w:val="000000" w:themeColor="text1"/>
                  </w:rPr>
                  <w:t>Main Findings</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_Toc222163253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3</w:t>
                </w:r>
                <w:r w:rsidRPr="00AC4EF6">
                  <w:rPr>
                    <w:noProof/>
                    <w:webHidden/>
                    <w:color w:val="000000" w:themeColor="text1"/>
                  </w:rPr>
                  <w:fldChar w:fldCharType="end"/>
                </w:r>
              </w:hyperlink>
            </w:p>
            <w:p w14:paraId="11999303" w14:textId="39244DE5" w:rsidR="00AC4EF6" w:rsidRPr="00AC4EF6" w:rsidRDefault="00AC4EF6">
              <w:pPr>
                <w:pStyle w:val="TOC1"/>
                <w:tabs>
                  <w:tab w:val="right" w:leader="dot" w:pos="9016"/>
                </w:tabs>
                <w:rPr>
                  <w:noProof/>
                  <w:color w:val="000000" w:themeColor="text1"/>
                </w:rPr>
              </w:pPr>
              <w:hyperlink w:anchor="_Toc222163254" w:history="1">
                <w:r w:rsidRPr="00AC4EF6">
                  <w:rPr>
                    <w:rStyle w:val="Hyperlink"/>
                    <w:noProof/>
                    <w:color w:val="000000" w:themeColor="text1"/>
                  </w:rPr>
                  <w:t>Artefacts</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_Toc222163254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4</w:t>
                </w:r>
                <w:r w:rsidRPr="00AC4EF6">
                  <w:rPr>
                    <w:noProof/>
                    <w:webHidden/>
                    <w:color w:val="000000" w:themeColor="text1"/>
                  </w:rPr>
                  <w:fldChar w:fldCharType="end"/>
                </w:r>
              </w:hyperlink>
            </w:p>
            <w:p w14:paraId="4BA98B9E" w14:textId="16AD3272" w:rsidR="00AC4EF6" w:rsidRPr="00AC4EF6" w:rsidRDefault="00AC4EF6">
              <w:pPr>
                <w:pStyle w:val="TOC1"/>
                <w:tabs>
                  <w:tab w:val="right" w:leader="dot" w:pos="9016"/>
                </w:tabs>
                <w:rPr>
                  <w:noProof/>
                  <w:color w:val="000000" w:themeColor="text1"/>
                </w:rPr>
              </w:pPr>
              <w:hyperlink w:anchor="_Toc222163255" w:history="1">
                <w:r w:rsidRPr="00AC4EF6">
                  <w:rPr>
                    <w:rStyle w:val="Hyperlink"/>
                    <w:noProof/>
                    <w:color w:val="000000" w:themeColor="text1"/>
                  </w:rPr>
                  <w:t>Espoused Values</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_Toc222163255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5</w:t>
                </w:r>
                <w:r w:rsidRPr="00AC4EF6">
                  <w:rPr>
                    <w:noProof/>
                    <w:webHidden/>
                    <w:color w:val="000000" w:themeColor="text1"/>
                  </w:rPr>
                  <w:fldChar w:fldCharType="end"/>
                </w:r>
              </w:hyperlink>
            </w:p>
            <w:p w14:paraId="425E08B6" w14:textId="5D4E8734" w:rsidR="00AC4EF6" w:rsidRPr="00AC4EF6" w:rsidRDefault="00AC4EF6">
              <w:pPr>
                <w:pStyle w:val="TOC1"/>
                <w:tabs>
                  <w:tab w:val="right" w:leader="dot" w:pos="9016"/>
                </w:tabs>
                <w:rPr>
                  <w:noProof/>
                  <w:color w:val="000000" w:themeColor="text1"/>
                </w:rPr>
              </w:pPr>
              <w:hyperlink w:anchor="_Toc222163256" w:history="1">
                <w:r w:rsidRPr="00AC4EF6">
                  <w:rPr>
                    <w:rStyle w:val="Hyperlink"/>
                    <w:noProof/>
                    <w:color w:val="000000" w:themeColor="text1"/>
                  </w:rPr>
                  <w:t>Basic Assumptions</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_Toc222163256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5</w:t>
                </w:r>
                <w:r w:rsidRPr="00AC4EF6">
                  <w:rPr>
                    <w:noProof/>
                    <w:webHidden/>
                    <w:color w:val="000000" w:themeColor="text1"/>
                  </w:rPr>
                  <w:fldChar w:fldCharType="end"/>
                </w:r>
              </w:hyperlink>
            </w:p>
            <w:p w14:paraId="2C80FF91" w14:textId="7747EB1F" w:rsidR="00AC4EF6" w:rsidRPr="00AC4EF6" w:rsidRDefault="00AC4EF6">
              <w:pPr>
                <w:pStyle w:val="TOC1"/>
                <w:tabs>
                  <w:tab w:val="right" w:leader="dot" w:pos="9016"/>
                </w:tabs>
                <w:rPr>
                  <w:noProof/>
                  <w:color w:val="000000" w:themeColor="text1"/>
                </w:rPr>
              </w:pPr>
              <w:hyperlink w:anchor="_Toc222163257" w:history="1">
                <w:r w:rsidRPr="00AC4EF6">
                  <w:rPr>
                    <w:rStyle w:val="Hyperlink"/>
                    <w:noProof/>
                    <w:color w:val="000000" w:themeColor="text1"/>
                  </w:rPr>
                  <w:t>Health and wellbeing</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_Toc222163257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6</w:t>
                </w:r>
                <w:r w:rsidRPr="00AC4EF6">
                  <w:rPr>
                    <w:noProof/>
                    <w:webHidden/>
                    <w:color w:val="000000" w:themeColor="text1"/>
                  </w:rPr>
                  <w:fldChar w:fldCharType="end"/>
                </w:r>
              </w:hyperlink>
            </w:p>
            <w:p w14:paraId="6BD92228" w14:textId="20A38185" w:rsidR="00AC4EF6" w:rsidRPr="00AC4EF6" w:rsidRDefault="00AC4EF6">
              <w:pPr>
                <w:pStyle w:val="TOC1"/>
                <w:tabs>
                  <w:tab w:val="right" w:leader="dot" w:pos="9016"/>
                </w:tabs>
                <w:rPr>
                  <w:noProof/>
                  <w:color w:val="000000" w:themeColor="text1"/>
                </w:rPr>
              </w:pPr>
              <w:hyperlink w:anchor="_Toc222163258" w:history="1">
                <w:r w:rsidRPr="00AC4EF6">
                  <w:rPr>
                    <w:rStyle w:val="Hyperlink"/>
                    <w:noProof/>
                    <w:color w:val="000000" w:themeColor="text1"/>
                  </w:rPr>
                  <w:t>Employee Voice</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_Toc222163258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7</w:t>
                </w:r>
                <w:r w:rsidRPr="00AC4EF6">
                  <w:rPr>
                    <w:noProof/>
                    <w:webHidden/>
                    <w:color w:val="000000" w:themeColor="text1"/>
                  </w:rPr>
                  <w:fldChar w:fldCharType="end"/>
                </w:r>
              </w:hyperlink>
            </w:p>
            <w:p w14:paraId="0400597D" w14:textId="64945764" w:rsidR="00AC4EF6" w:rsidRPr="00AC4EF6" w:rsidRDefault="00AC4EF6">
              <w:pPr>
                <w:pStyle w:val="TOC1"/>
                <w:tabs>
                  <w:tab w:val="right" w:leader="dot" w:pos="9016"/>
                </w:tabs>
                <w:rPr>
                  <w:noProof/>
                  <w:color w:val="000000" w:themeColor="text1"/>
                </w:rPr>
              </w:pPr>
              <w:hyperlink w:anchor="_Toc222163259" w:history="1">
                <w:r w:rsidRPr="00AC4EF6">
                  <w:rPr>
                    <w:rStyle w:val="Hyperlink"/>
                    <w:noProof/>
                    <w:color w:val="000000" w:themeColor="text1"/>
                  </w:rPr>
                  <w:t>Worklife balance</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_Toc222163259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8</w:t>
                </w:r>
                <w:r w:rsidRPr="00AC4EF6">
                  <w:rPr>
                    <w:noProof/>
                    <w:webHidden/>
                    <w:color w:val="000000" w:themeColor="text1"/>
                  </w:rPr>
                  <w:fldChar w:fldCharType="end"/>
                </w:r>
              </w:hyperlink>
            </w:p>
            <w:p w14:paraId="1C75B4C1" w14:textId="7BA4706B" w:rsidR="00AC4EF6" w:rsidRPr="00AC4EF6" w:rsidRDefault="00AC4EF6">
              <w:pPr>
                <w:pStyle w:val="TOC1"/>
                <w:tabs>
                  <w:tab w:val="right" w:leader="dot" w:pos="9016"/>
                </w:tabs>
                <w:rPr>
                  <w:noProof/>
                  <w:color w:val="000000" w:themeColor="text1"/>
                </w:rPr>
              </w:pPr>
              <w:hyperlink w:anchor="_Toc222163260" w:history="1">
                <w:r w:rsidRPr="00AC4EF6">
                  <w:rPr>
                    <w:rStyle w:val="Hyperlink"/>
                    <w:noProof/>
                    <w:color w:val="000000" w:themeColor="text1"/>
                  </w:rPr>
                  <w:t>Conclusion</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_Toc222163260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9</w:t>
                </w:r>
                <w:r w:rsidRPr="00AC4EF6">
                  <w:rPr>
                    <w:noProof/>
                    <w:webHidden/>
                    <w:color w:val="000000" w:themeColor="text1"/>
                  </w:rPr>
                  <w:fldChar w:fldCharType="end"/>
                </w:r>
              </w:hyperlink>
            </w:p>
            <w:p w14:paraId="6AA40742" w14:textId="4F4AB93D" w:rsidR="00AC4EF6" w:rsidRPr="00AC4EF6" w:rsidRDefault="00AC4EF6">
              <w:pPr>
                <w:pStyle w:val="TOC1"/>
                <w:tabs>
                  <w:tab w:val="right" w:leader="dot" w:pos="9016"/>
                </w:tabs>
                <w:rPr>
                  <w:noProof/>
                  <w:color w:val="000000" w:themeColor="text1"/>
                </w:rPr>
              </w:pPr>
              <w:hyperlink w:anchor="_Toc222163261" w:history="1">
                <w:r w:rsidRPr="00AC4EF6">
                  <w:rPr>
                    <w:rStyle w:val="Hyperlink"/>
                    <w:noProof/>
                    <w:color w:val="000000" w:themeColor="text1"/>
                  </w:rPr>
                  <w:t>Recommendations</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_Toc222163261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10</w:t>
                </w:r>
                <w:r w:rsidRPr="00AC4EF6">
                  <w:rPr>
                    <w:noProof/>
                    <w:webHidden/>
                    <w:color w:val="000000" w:themeColor="text1"/>
                  </w:rPr>
                  <w:fldChar w:fldCharType="end"/>
                </w:r>
              </w:hyperlink>
            </w:p>
            <w:p w14:paraId="31B76331" w14:textId="276BEAC7" w:rsidR="00AC4EF6" w:rsidRPr="00AC4EF6" w:rsidRDefault="00AC4EF6">
              <w:pPr>
                <w:pStyle w:val="TOC1"/>
                <w:tabs>
                  <w:tab w:val="right" w:leader="dot" w:pos="9016"/>
                </w:tabs>
                <w:rPr>
                  <w:noProof/>
                  <w:color w:val="000000" w:themeColor="text1"/>
                </w:rPr>
              </w:pPr>
              <w:hyperlink w:anchor="_Toc222163262" w:history="1">
                <w:r w:rsidRPr="00AC4EF6">
                  <w:rPr>
                    <w:rStyle w:val="Hyperlink"/>
                    <w:noProof/>
                    <w:color w:val="000000" w:themeColor="text1"/>
                  </w:rPr>
                  <w:t>References</w:t>
                </w:r>
                <w:r w:rsidRPr="00AC4EF6">
                  <w:rPr>
                    <w:noProof/>
                    <w:webHidden/>
                    <w:color w:val="000000" w:themeColor="text1"/>
                  </w:rPr>
                  <w:tab/>
                </w:r>
                <w:r w:rsidRPr="00AC4EF6">
                  <w:rPr>
                    <w:noProof/>
                    <w:webHidden/>
                    <w:color w:val="000000" w:themeColor="text1"/>
                  </w:rPr>
                  <w:fldChar w:fldCharType="begin"/>
                </w:r>
                <w:r w:rsidRPr="00AC4EF6">
                  <w:rPr>
                    <w:noProof/>
                    <w:webHidden/>
                    <w:color w:val="000000" w:themeColor="text1"/>
                  </w:rPr>
                  <w:instrText xml:space="preserve"> PAGEREF _Toc222163262 \h </w:instrText>
                </w:r>
                <w:r w:rsidRPr="00AC4EF6">
                  <w:rPr>
                    <w:noProof/>
                    <w:webHidden/>
                    <w:color w:val="000000" w:themeColor="text1"/>
                  </w:rPr>
                </w:r>
                <w:r w:rsidRPr="00AC4EF6">
                  <w:rPr>
                    <w:noProof/>
                    <w:webHidden/>
                    <w:color w:val="000000" w:themeColor="text1"/>
                  </w:rPr>
                  <w:fldChar w:fldCharType="separate"/>
                </w:r>
                <w:r w:rsidR="006036F4">
                  <w:rPr>
                    <w:noProof/>
                    <w:webHidden/>
                    <w:color w:val="000000" w:themeColor="text1"/>
                  </w:rPr>
                  <w:t>12</w:t>
                </w:r>
                <w:r w:rsidRPr="00AC4EF6">
                  <w:rPr>
                    <w:noProof/>
                    <w:webHidden/>
                    <w:color w:val="000000" w:themeColor="text1"/>
                  </w:rPr>
                  <w:fldChar w:fldCharType="end"/>
                </w:r>
              </w:hyperlink>
            </w:p>
            <w:p w14:paraId="60E73F7D" w14:textId="31FA9C51" w:rsidR="00AC4EF6" w:rsidRDefault="00AC4EF6">
              <w:r w:rsidRPr="00AC4EF6">
                <w:rPr>
                  <w:b/>
                  <w:bCs/>
                  <w:color w:val="000000" w:themeColor="text1"/>
                </w:rPr>
                <w:fldChar w:fldCharType="end"/>
              </w:r>
            </w:p>
          </w:sdtContent>
        </w:sdt>
        <w:p w14:paraId="67FAA37A" w14:textId="77777777" w:rsidR="00AC4EF6" w:rsidRDefault="00AC4EF6"/>
        <w:p w14:paraId="642CB669" w14:textId="77777777" w:rsidR="00AC4EF6" w:rsidRDefault="00AC4EF6"/>
        <w:p w14:paraId="2AFCC4BD" w14:textId="77777777" w:rsidR="00AC4EF6" w:rsidRDefault="00AC4EF6"/>
        <w:p w14:paraId="2E3A0683" w14:textId="77777777" w:rsidR="00AC4EF6" w:rsidRDefault="00AC4EF6"/>
        <w:p w14:paraId="5FDBC42A" w14:textId="77777777" w:rsidR="00AC4EF6" w:rsidRDefault="00AC4EF6"/>
        <w:p w14:paraId="08849419" w14:textId="77777777" w:rsidR="00AC4EF6" w:rsidRDefault="00AC4EF6"/>
        <w:p w14:paraId="5BD47B1B" w14:textId="77777777" w:rsidR="00AC4EF6" w:rsidRDefault="00AC4EF6"/>
        <w:p w14:paraId="32AD962A" w14:textId="77777777" w:rsidR="00AC4EF6" w:rsidRDefault="00AC4EF6"/>
        <w:p w14:paraId="2207F03A" w14:textId="77777777" w:rsidR="00AC4EF6" w:rsidRDefault="00AC4EF6"/>
        <w:p w14:paraId="45A5D3F3" w14:textId="77777777" w:rsidR="00AC4EF6" w:rsidRDefault="00AC4EF6"/>
        <w:p w14:paraId="5675BF25" w14:textId="77777777" w:rsidR="00AC4EF6" w:rsidRDefault="00AC4EF6"/>
        <w:p w14:paraId="7F370CEF" w14:textId="77777777" w:rsidR="00AC4EF6" w:rsidRDefault="00AC4EF6"/>
        <w:p w14:paraId="34C1B8D8" w14:textId="77777777" w:rsidR="00AC4EF6" w:rsidRDefault="00AC4EF6"/>
        <w:p w14:paraId="66AE1C10" w14:textId="77777777" w:rsidR="00AC4EF6" w:rsidRDefault="00AC4EF6"/>
        <w:p w14:paraId="4412CD2E" w14:textId="77777777" w:rsidR="00AC4EF6" w:rsidRDefault="00AC4EF6"/>
        <w:p w14:paraId="266FEFF7" w14:textId="77777777" w:rsidR="00AC4EF6" w:rsidRDefault="00AC4EF6"/>
        <w:p w14:paraId="03B4761D" w14:textId="77777777" w:rsidR="00AC4EF6" w:rsidRDefault="00AC4EF6"/>
        <w:p w14:paraId="50DD4C97" w14:textId="60E753CD" w:rsidR="004313B1" w:rsidRDefault="004313B1"/>
      </w:sdtContent>
    </w:sdt>
    <w:p w14:paraId="62B740FF" w14:textId="60E753CD" w:rsidR="004313B1" w:rsidRPr="004313B1" w:rsidRDefault="004313B1" w:rsidP="004313B1">
      <w:pPr>
        <w:pStyle w:val="Heading1"/>
        <w:rPr>
          <w:bCs/>
        </w:rPr>
      </w:pPr>
      <w:bookmarkStart w:id="0" w:name="_Toc222163251"/>
      <w:r w:rsidRPr="004313B1">
        <w:rPr>
          <w:bCs/>
        </w:rPr>
        <w:lastRenderedPageBreak/>
        <w:t>Executive Summary</w:t>
      </w:r>
      <w:bookmarkEnd w:id="0"/>
    </w:p>
    <w:p w14:paraId="496537F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following briefing paper has been put together for Sofidel UK's senior management to consider how organisational culture influences the delivery of 'good work', with the CIPD Good Work Index (2025a) serving as the benchmark for measuring good work. Good work is associated with fair treatment, healthy and sustainable work practices, employee voice and access to development and is now increasingly recognised as a key driver of organisational performance and workforce resilience. For Sofidel Baglan, with its 24/7 production environment and ongoing operational transformation, culture is going to be important in influencing the day-to-day employee experience, consistency in how staff are managed and the organisation's ability to deliver good work across various roles and shifts.</w:t>
      </w:r>
    </w:p>
    <w:p w14:paraId="4B1FEC65"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findings apply Schein's (1990) three-level model of culture in an assessment of Sofidel's artefacts, espoused values and underlying assumptions. Overall, the analysis points out a strong culture of safety, control and operational reliability. Artefacts such as PPE, standard operating processes and performance monitoring support this culture in a visible way. However, while they contribute positively to physical wellbeing and productivity, the findings suggest uneven access to good work elements such as autonomy, flexibility and voice. There are also espoused values around integrity, responsibility and transparency which are clear in corporate messaging and initiatives, but whose credibility depends on consistent translation into a positive employee experience lived by employees.</w:t>
      </w:r>
    </w:p>
    <w:p w14:paraId="22BCC259"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In conclusion, while Sofidel demonstrates an emerging strategic intent to promote good work via its wellbeing policies, employee voice mechanisms and efforts to support work - life balance, it remains the case that these are not yet consistently embedded across the workforce and are partly reliant on managerial discretion. The following recommendations, which aim to strengthen delivery of good work across the workforce, are therefore prioritised:</w:t>
      </w:r>
    </w:p>
    <w:p w14:paraId="3E789A23" w14:textId="3C72B62D" w:rsidR="004313B1" w:rsidRPr="004313B1" w:rsidRDefault="004313B1" w:rsidP="004313B1">
      <w:pPr>
        <w:pStyle w:val="ListParagraph"/>
        <w:numPr>
          <w:ilvl w:val="0"/>
          <w:numId w:val="1"/>
        </w:numPr>
        <w:jc w:val="both"/>
        <w:rPr>
          <w:rFonts w:ascii="Arial" w:hAnsi="Arial" w:cs="Arial"/>
          <w:sz w:val="24"/>
          <w:szCs w:val="24"/>
        </w:rPr>
      </w:pPr>
      <w:r w:rsidRPr="004313B1">
        <w:rPr>
          <w:rFonts w:ascii="Arial" w:hAnsi="Arial" w:cs="Arial"/>
          <w:sz w:val="24"/>
          <w:szCs w:val="24"/>
        </w:rPr>
        <w:t>Leadership Capability</w:t>
      </w:r>
    </w:p>
    <w:p w14:paraId="33BE0755" w14:textId="7E012A0A" w:rsidR="004313B1" w:rsidRPr="004313B1" w:rsidRDefault="004313B1" w:rsidP="004313B1">
      <w:pPr>
        <w:pStyle w:val="ListParagraph"/>
        <w:numPr>
          <w:ilvl w:val="0"/>
          <w:numId w:val="1"/>
        </w:numPr>
        <w:jc w:val="both"/>
        <w:rPr>
          <w:rFonts w:ascii="Arial" w:hAnsi="Arial" w:cs="Arial"/>
          <w:sz w:val="24"/>
          <w:szCs w:val="24"/>
        </w:rPr>
      </w:pPr>
      <w:r w:rsidRPr="004313B1">
        <w:rPr>
          <w:rFonts w:ascii="Arial" w:hAnsi="Arial" w:cs="Arial"/>
          <w:sz w:val="24"/>
          <w:szCs w:val="24"/>
        </w:rPr>
        <w:t>Fairness Framework for Flexible working</w:t>
      </w:r>
    </w:p>
    <w:p w14:paraId="1C2C20D2" w14:textId="028AF74F" w:rsidR="004313B1" w:rsidRPr="004313B1" w:rsidRDefault="004313B1" w:rsidP="004313B1">
      <w:pPr>
        <w:pStyle w:val="ListParagraph"/>
        <w:numPr>
          <w:ilvl w:val="0"/>
          <w:numId w:val="1"/>
        </w:numPr>
        <w:jc w:val="both"/>
        <w:rPr>
          <w:rFonts w:ascii="Arial" w:hAnsi="Arial" w:cs="Arial"/>
          <w:sz w:val="24"/>
          <w:szCs w:val="24"/>
        </w:rPr>
      </w:pPr>
      <w:r w:rsidRPr="004313B1">
        <w:rPr>
          <w:rFonts w:ascii="Arial" w:hAnsi="Arial" w:cs="Arial"/>
          <w:sz w:val="24"/>
          <w:szCs w:val="24"/>
        </w:rPr>
        <w:t>Develop a Strategic Onboarding Framework</w:t>
      </w:r>
    </w:p>
    <w:p w14:paraId="63F3E31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Together, these recommendations aim to improve job quality, strengthen culture consistency and support long-term organisational performance.</w:t>
      </w:r>
    </w:p>
    <w:p w14:paraId="1E5AE7A8" w14:textId="77777777" w:rsidR="004313B1" w:rsidRPr="004313B1" w:rsidRDefault="004313B1" w:rsidP="004313B1">
      <w:pPr>
        <w:jc w:val="both"/>
        <w:rPr>
          <w:rFonts w:ascii="Arial" w:hAnsi="Arial" w:cs="Arial"/>
          <w:sz w:val="24"/>
          <w:szCs w:val="24"/>
        </w:rPr>
      </w:pPr>
    </w:p>
    <w:p w14:paraId="2075E1C3" w14:textId="77777777" w:rsidR="004313B1" w:rsidRPr="004313B1" w:rsidRDefault="004313B1" w:rsidP="004313B1">
      <w:pPr>
        <w:jc w:val="both"/>
        <w:rPr>
          <w:rFonts w:ascii="Arial" w:hAnsi="Arial" w:cs="Arial"/>
          <w:sz w:val="24"/>
          <w:szCs w:val="24"/>
        </w:rPr>
      </w:pPr>
    </w:p>
    <w:p w14:paraId="6562C57D" w14:textId="77777777" w:rsidR="004313B1" w:rsidRPr="004313B1" w:rsidRDefault="004313B1" w:rsidP="004313B1">
      <w:pPr>
        <w:jc w:val="both"/>
        <w:rPr>
          <w:rFonts w:ascii="Arial" w:hAnsi="Arial" w:cs="Arial"/>
          <w:sz w:val="24"/>
          <w:szCs w:val="24"/>
        </w:rPr>
      </w:pPr>
    </w:p>
    <w:p w14:paraId="193F2979" w14:textId="77777777" w:rsidR="004313B1" w:rsidRPr="004313B1" w:rsidRDefault="004313B1" w:rsidP="004313B1">
      <w:pPr>
        <w:jc w:val="both"/>
        <w:rPr>
          <w:rFonts w:ascii="Arial" w:hAnsi="Arial" w:cs="Arial"/>
          <w:sz w:val="24"/>
          <w:szCs w:val="24"/>
        </w:rPr>
      </w:pPr>
    </w:p>
    <w:p w14:paraId="2726D15D" w14:textId="77777777" w:rsidR="004313B1" w:rsidRPr="004313B1" w:rsidRDefault="004313B1" w:rsidP="004313B1">
      <w:pPr>
        <w:jc w:val="both"/>
        <w:rPr>
          <w:rFonts w:ascii="Arial" w:hAnsi="Arial" w:cs="Arial"/>
          <w:sz w:val="24"/>
          <w:szCs w:val="24"/>
        </w:rPr>
      </w:pPr>
    </w:p>
    <w:p w14:paraId="57835AFE" w14:textId="77777777" w:rsidR="004313B1" w:rsidRDefault="004313B1" w:rsidP="004313B1">
      <w:pPr>
        <w:jc w:val="both"/>
        <w:rPr>
          <w:rFonts w:ascii="Arial" w:hAnsi="Arial" w:cs="Arial"/>
          <w:sz w:val="24"/>
          <w:szCs w:val="24"/>
        </w:rPr>
      </w:pPr>
    </w:p>
    <w:p w14:paraId="648E1C59" w14:textId="52E9342C" w:rsidR="004313B1" w:rsidRPr="004313B1" w:rsidRDefault="004313B1" w:rsidP="004313B1">
      <w:pPr>
        <w:pStyle w:val="Heading1"/>
      </w:pPr>
      <w:bookmarkStart w:id="1" w:name="_Toc222163252"/>
      <w:r w:rsidRPr="004313B1">
        <w:lastRenderedPageBreak/>
        <w:t>Introduction</w:t>
      </w:r>
      <w:bookmarkEnd w:id="1"/>
    </w:p>
    <w:p w14:paraId="3AE26C0E"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briefing paper examines the relationship between organisational culture and the delivery of ‘good work’ within Sofidel UK. As a 24/7 manufacturing business, Sofidel must deliver safe and efficient production while maintaining product quality and supporting a stable workforce. The Baglan site is one of four sites operated by Sofidel UK and employs 346 employees (Sofidel UK, 2026a). Due to the nature of continuous production, employee experience can vary across the workforce depending on shift patterns, job roles and leadership behaviours (Schein, 2010).</w:t>
      </w:r>
    </w:p>
    <w:p w14:paraId="1B583A3E"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site is undergoing an operational transformation period, driven by the implementation of technology, the shift to low-carbon energy and evolving customer and market expectations (Sofidel UK, 2024). This pressure makes organisational culture important, as it influences performance outcomes, employees experience, the level of support they receive and whether the company can deliver ‘good work’ consistently across the site (CIPD, 2024b).</w:t>
      </w:r>
    </w:p>
    <w:p w14:paraId="22BF183E"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Organisational culture has been viewed in many ways by researchers, with no one definition that is widely accepted (CIPD, 2024b). Schein (1990) views culture as the shared basic assumptions that a group develops as they learn to solve problems, which then shape how they perceive, think and act. Other researchers focus on norms, values and the informal belief that this is how we do things around here (Deal and Kennedy, 2000, as cited in Armstrong, 2023). Despite the differences in perspective, most researchers agree that culture affects how people interact with each other, how decisions are made and how work is done. This means it also plays an important part in forming aspects of employee experience and behaviour at work including its potential impacts on motivation, levels of engagement, safety and the overall organisational performance (CIPD, 2025a).</w:t>
      </w:r>
    </w:p>
    <w:p w14:paraId="1811D373" w14:textId="03D49C55" w:rsidR="004313B1" w:rsidRPr="004313B1" w:rsidRDefault="004313B1" w:rsidP="004313B1">
      <w:pPr>
        <w:jc w:val="both"/>
        <w:rPr>
          <w:rFonts w:ascii="Arial" w:hAnsi="Arial" w:cs="Arial"/>
          <w:sz w:val="24"/>
          <w:szCs w:val="24"/>
        </w:rPr>
      </w:pPr>
      <w:r w:rsidRPr="004313B1">
        <w:rPr>
          <w:rFonts w:ascii="Arial" w:hAnsi="Arial" w:cs="Arial"/>
          <w:sz w:val="24"/>
          <w:szCs w:val="24"/>
        </w:rPr>
        <w:t>Organisational culture is important in a manufacturing environment such as Baglan as it influences operational consistency, safe working practices and the quality of working relationships across shifts and teams (Schein, 2010). A positive and supportive culture can strengthen engagement and retention, while reducing risks associated with absence, conflict and safety incidents (CIPD, 2025a).</w:t>
      </w:r>
    </w:p>
    <w:p w14:paraId="7EE99CD8" w14:textId="0E7E170A" w:rsidR="004313B1" w:rsidRPr="004313B1" w:rsidRDefault="004313B1" w:rsidP="004313B1">
      <w:pPr>
        <w:pStyle w:val="Heading1"/>
      </w:pPr>
      <w:bookmarkStart w:id="2" w:name="_Toc222163253"/>
      <w:r w:rsidRPr="004313B1">
        <w:t>Main Findings</w:t>
      </w:r>
      <w:bookmarkEnd w:id="2"/>
    </w:p>
    <w:p w14:paraId="633301E7"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There are several models for assessing organisational culture, which are generally based on cultural types (Handy,1993). Handy's structure proposes that power, role, task and person cultures may all coexist within large organisations and influence how employees experience work. Recognising these cultural variations helps explain why different parts of an organisation may operate with different norms and expectations.</w:t>
      </w:r>
    </w:p>
    <w:p w14:paraId="36DCE970" w14:textId="164689EA"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For the purposes of this briefing paper, Schein’s three level model (1990) is applied because it offers a clear structure for evaluating the visible features of culture (artefacts and symbols) and the deeper values and assumptions that influence behaviour. One key strength is that it enables organisations to assess whether stated values are consistently reflected in everyday working practices, rather than remaining at policy level. Where culture is aligned with business goals, this can contribute to a </w:t>
      </w:r>
      <w:r w:rsidRPr="004313B1">
        <w:rPr>
          <w:rFonts w:ascii="Arial" w:hAnsi="Arial" w:cs="Arial"/>
          <w:sz w:val="24"/>
          <w:szCs w:val="24"/>
        </w:rPr>
        <w:lastRenderedPageBreak/>
        <w:t>more positive working environment, stronger morale and improved organisational effectiveness (Yilmaz, 2014).</w:t>
      </w:r>
    </w:p>
    <w:p w14:paraId="53F44474"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limitation to consider, particularly at Sofidel Baglan where blue-collar employees and white-collar employees may experience work differently, is that culture may not be experienced uniformly across a complex organisation and different subcultures can develop across roles, departments or shift patterns (Schein, 2010). Despite this, using this model to assess Sofidel is useful, given the variety of day-to-day experience of employees in different roles, shift patterns and with different leadership styles. It supports an assessment of the extent to which the organisations culture is enabling the delivery of ‘good work’ in practice (CIPD, 2025a).</w:t>
      </w:r>
    </w:p>
    <w:p w14:paraId="5CF2FD04" w14:textId="77777777" w:rsidR="004313B1" w:rsidRPr="004313B1" w:rsidRDefault="004313B1" w:rsidP="004313B1">
      <w:pPr>
        <w:pStyle w:val="Heading1"/>
      </w:pPr>
      <w:bookmarkStart w:id="3" w:name="_Toc222163254"/>
      <w:r w:rsidRPr="004313B1">
        <w:t>Artefacts</w:t>
      </w:r>
      <w:bookmarkEnd w:id="3"/>
    </w:p>
    <w:p w14:paraId="70E16B5A"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From the perspective of Schein (1990), artefacts represent the most visible level of culture within an organisation and reflect how priorities and expectations are communicated in practice. A culture of safety, control and risk management appears to be embedded in Sofidel's manufacturing environment, as illustrated by the extensive use of personal protective equipment, standard operating processes and structured operational routines. In this setting, artefacts often signal underlying organisational priorities (Schein, 2010). The emphasis on procedural consistency shows that operational reliability is central to organisational success. The structure contributes to one part of ‘good work’ by supporting employees' physical well-being, but it may limit the extent of the autonomy employees have over how their work is performed (CIPD, 2025a).</w:t>
      </w:r>
    </w:p>
    <w:p w14:paraId="12E040ED"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visibility of the production boards, the tracking of the shift output and key performance indicators can show a results-oriented culture prioritising productivity and accountability. Employees interpret what organisations prioritise through their culture and especially through the emphasis placed on performance (CIPD, 2024b; Schein, 2010). This could help to make efficiency stronger and could even create tension as employees are likely to perceive the workload balance and wellbeing as a central organisational value, as well as operational demands with the employee experience.</w:t>
      </w:r>
    </w:p>
    <w:p w14:paraId="402786DC"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differences in how the artefacts are experienced may also suggest subcultures within the organisation between blue-collar and white-collar employees (Schein, 2010). Trice and Beyer (1984) argue that occupational groups may develop distinctive cultural patterns, which influence the interpretation of organisational practices across the workforce. This suggests that the access to various elements of ‘good work’ varies significantly, depending on the job design within the organisation. For example, white-collar employees may have more autonomy and flexibility in their work, while blue-collar employees operating within structured shifts may have less control over working arrangements. This suggests that job design affects access to ‘good work’ elements and is in line with studies that show that autonomy and task structure are main components of job design (</w:t>
      </w:r>
      <w:proofErr w:type="spellStart"/>
      <w:r w:rsidRPr="004313B1">
        <w:rPr>
          <w:rFonts w:ascii="Arial" w:hAnsi="Arial" w:cs="Arial"/>
          <w:sz w:val="24"/>
          <w:szCs w:val="24"/>
        </w:rPr>
        <w:t>Blanz</w:t>
      </w:r>
      <w:proofErr w:type="spellEnd"/>
      <w:r w:rsidRPr="004313B1">
        <w:rPr>
          <w:rFonts w:ascii="Arial" w:hAnsi="Arial" w:cs="Arial"/>
          <w:sz w:val="24"/>
          <w:szCs w:val="24"/>
        </w:rPr>
        <w:t>, 2017).</w:t>
      </w:r>
    </w:p>
    <w:p w14:paraId="476D79B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The artefacts collectively point towards a culture with a strong orientation towards operational reliability and performance. While these traits can be good within a </w:t>
      </w:r>
      <w:r w:rsidRPr="004313B1">
        <w:rPr>
          <w:rFonts w:ascii="Arial" w:hAnsi="Arial" w:cs="Arial"/>
          <w:sz w:val="24"/>
          <w:szCs w:val="24"/>
        </w:rPr>
        <w:lastRenderedPageBreak/>
        <w:t>manufacturing setting, the varied experiences suggest that the delivery of ‘good work’ may not yet be fully consistent across the workforce (CIPD, 2025a).</w:t>
      </w:r>
    </w:p>
    <w:p w14:paraId="4DE257FD" w14:textId="77777777" w:rsidR="004313B1" w:rsidRPr="004313B1" w:rsidRDefault="004313B1" w:rsidP="004313B1">
      <w:pPr>
        <w:pStyle w:val="Heading1"/>
      </w:pPr>
      <w:bookmarkStart w:id="4" w:name="_Toc222163255"/>
      <w:r w:rsidRPr="004313B1">
        <w:t>Espoused Values</w:t>
      </w:r>
      <w:bookmarkEnd w:id="4"/>
    </w:p>
    <w:p w14:paraId="7F5652D5"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UK (2025a) promotes a clear commitment to people, which emphasises integrity and responsibility in the mission and values. This intention, aligned with CIPD (2025a), is to create a supportive and ethical work environment that supports the wellbeing of employees. A culture that values people can strengthen employee engagement and organisational stability (PWC, 2024). However, Schein (1990) highlights that mission statements usually reflect the culture an organisation aspires to create rather than the one employee’s experience. In Culture Amp's (2025) global manufacturing benchmark, engagement levels were reported at 71%, compared with 60% in Sofidel's (2024b) engagement survey. While CIPD (2025b) highlights that engagement is influenced by multiple factors, this difference suggests an opportunity for the organisation to further strengthen how its people-centred values are experienced in everyday working life.</w:t>
      </w:r>
    </w:p>
    <w:p w14:paraId="2DB4B1FC"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UK (2025a) positions transparency as a core organisational value, centred on fairness and trust-based relationships, suggesting an intention to help open communication and employee voice (CIPD, 2025a). There is an effort to support information sharing across a multi-shift workforce through the introduction of a visible communication screen which displays the organisations updates (Sofidel UK, 2024c). Exit interviews show that 69% of employees agree that the company does an excellent job of communicating with them, supporting the idea that this value is practiced in the work environment (Sofidel UK, 2026b). However, Schein (1990) highlights, alignment between espoused values and employee experiences is important when evaluating culture, as indicated by the remaining survey responses, communication may still need to be fully aligned across the workforce.</w:t>
      </w:r>
    </w:p>
    <w:p w14:paraId="081CED16" w14:textId="2B25A116" w:rsidR="004313B1" w:rsidRPr="004313B1" w:rsidRDefault="004313B1" w:rsidP="004313B1">
      <w:pPr>
        <w:pStyle w:val="Heading1"/>
      </w:pPr>
      <w:bookmarkStart w:id="5" w:name="_Toc222163256"/>
      <w:r w:rsidRPr="004313B1">
        <w:t>Basic Assumptions</w:t>
      </w:r>
      <w:bookmarkEnd w:id="5"/>
    </w:p>
    <w:p w14:paraId="58C024FB"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Schein (1990) states that basic assumptions within an organisation are embedded beliefs which guide behaviour unconsciously. The strong emphasis placed on standardised processes, quality and safety practices in Sofidel's manufacturing environment suggest that there is a deep-seated assumption that having operational control is important to maintain productivity and minimise risk. This assumption is likely to support a culture grounded in control by prioritising maintaining high standards, employees will likely work consistently according to the processes that have been put in place, creating a safe physical work environment in line with the Good Work Index (CIPD, 2025a). Disruption has implications for both safety and output in a continuous production setting, therefore, consistent working behaviours are likely to be reinforced. This may be further shaped by the expectation that maintaining high standards is critical to organisational reputation. While a culture that is grounded in control can improve reliability, this control also mirrors Handy's (1993) role culture, in that it prioritises conformity and does not provide employees with much autonomy in how the work is performed.</w:t>
      </w:r>
    </w:p>
    <w:p w14:paraId="5E578FAB"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lastRenderedPageBreak/>
        <w:t>In addition, encouraging employees to continuously improve existing practices by reinforcing them with financial incentives for any positive suggestions may refer to an underlying belief of expecting employees to go beyond their core responsibilities and contribute (Sofidel UK, 2024c). This suggests that employee practical knowledge is a valuable driver of organisational development. This assumption can help involve employees and is consistent with CIPD (2025a) that relates to employee voice and meaningful participation. Although, while evidence shows that monetary rewards do not motivate all employees equally to encourage discretionary effort, as motivation varies across employees and depends on the balance between intrinsic and extrinsic drivers (CIPD, 2022).</w:t>
      </w:r>
    </w:p>
    <w:p w14:paraId="602F6ED5" w14:textId="77777777" w:rsidR="004313B1" w:rsidRPr="004313B1" w:rsidRDefault="004313B1" w:rsidP="004313B1">
      <w:pPr>
        <w:pStyle w:val="Heading1"/>
      </w:pPr>
      <w:bookmarkStart w:id="6" w:name="_Toc222163257"/>
      <w:r w:rsidRPr="004313B1">
        <w:t>Health and wellbeing</w:t>
      </w:r>
      <w:bookmarkEnd w:id="6"/>
    </w:p>
    <w:p w14:paraId="16BBC7CF"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According to the CIPD (2025a), health and wellbeing is a key aspect of ‘good work’, being strongly associated with higher levels of job satisfaction, performance and employee retention. At the same time, it reinforces both the moral and business case for organisations to prioritise wellbeing, by highlighting that those with poor mental health are significantly more likely to leave their role voluntarily.</w:t>
      </w:r>
    </w:p>
    <w:p w14:paraId="3CED0F4A"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According to Sofidel UK (2025b), the number of years the average employee stays with the organisation appears to be stabilising. Employee tenure averages at eight years, compared to the industry average of 5.3 years for the manufacturing sector (Brown, 2024). Over the past year, departmental turnover has decreased from 26.8% in 2024 to 14.4% in 2025 (Sofidel UK, 2025b). This long-term trend could show the company is making progress toward creating a more stable environment where employees can consistently maintain their roles over multiple years.</w:t>
      </w:r>
    </w:p>
    <w:p w14:paraId="6D706179"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While there has been a positive trend in new hire retention rates rising from 43% in 2023 to 53% in 2025, it shows that some employees continue to struggle through the transitional phase during their early-stage employment (Sofidel UK, 2025c). The Job Demands Resources model suggests that in the setting of high job demands, employees will be less likely to adjust to their new jobs if they are not given access to sufficient resources (Bakker &amp; Demerouti, 2007). This highlights the need for further reinforcement of onboarding and early wellbeing support, in line with Mosquera &amp; Soares (2025), who demonstrate that a well-conducted onboarding process can improve wellbeing and lower the early turnover intention to an important extent.</w:t>
      </w:r>
    </w:p>
    <w:p w14:paraId="0B5845C3"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Sickness absence has remained stable at between 2-3% over the last 3 years, which may suggest that effective health risk management is in place (Sofidel UK, 2025c). However, CIPD (2021) states that reliance on sickness absence data alone is unlikely to fully capture workforce wellbeing, as presenteeism may be present where employees continue to work despite ill health. This reinforces the CIPD (2025d) belief that prevention rather than reaction should be a key part of employee wellbeing management.</w:t>
      </w:r>
    </w:p>
    <w:p w14:paraId="54790568" w14:textId="5DA1A2FB"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In addition to the Mental Health and Wellbeing Policy, the organisation demonstrates strategic intent by the presence of structured support mechanisms, including Occupational Health, Mental Health First Aiders, Stress Risk Assessments and an Employee Assistance Programme (Sofidel UK, 2025d). This shows that employee </w:t>
      </w:r>
      <w:r w:rsidRPr="004313B1">
        <w:rPr>
          <w:rFonts w:ascii="Arial" w:hAnsi="Arial" w:cs="Arial"/>
          <w:sz w:val="24"/>
          <w:szCs w:val="24"/>
        </w:rPr>
        <w:lastRenderedPageBreak/>
        <w:t xml:space="preserve">wellbeing supports organisational sustainability. This is particularly important because wellbeing is often lived through day-to-day management practices, which places a critical role </w:t>
      </w:r>
      <w:proofErr w:type="gramStart"/>
      <w:r w:rsidRPr="004313B1">
        <w:rPr>
          <w:rFonts w:ascii="Arial" w:hAnsi="Arial" w:cs="Arial"/>
          <w:sz w:val="24"/>
          <w:szCs w:val="24"/>
        </w:rPr>
        <w:t>on line</w:t>
      </w:r>
      <w:proofErr w:type="gramEnd"/>
      <w:r w:rsidRPr="004313B1">
        <w:rPr>
          <w:rFonts w:ascii="Arial" w:hAnsi="Arial" w:cs="Arial"/>
          <w:sz w:val="24"/>
          <w:szCs w:val="24"/>
        </w:rPr>
        <w:t xml:space="preserve"> managers in identifying early signs of stress, facilitating access to support mechanisms and managing workloads appropriately (CIPD, 2025a; Hancock, 2023). CIPD (2025a) highlights that the quality of people management is a key factor that influences the employee experience of ‘good work’, which means that manager ability becomes an important enabler in translating organisational wellbeing policies into lived employee experience.</w:t>
      </w:r>
    </w:p>
    <w:p w14:paraId="41D1502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In addition to the structured support mechanisms mentioned, employers have a legal duty to protect the health, safety and welfare of </w:t>
      </w:r>
      <w:proofErr w:type="gramStart"/>
      <w:r w:rsidRPr="004313B1">
        <w:rPr>
          <w:rFonts w:ascii="Arial" w:hAnsi="Arial" w:cs="Arial"/>
          <w:sz w:val="24"/>
          <w:szCs w:val="24"/>
        </w:rPr>
        <w:t>all of</w:t>
      </w:r>
      <w:proofErr w:type="gramEnd"/>
      <w:r w:rsidRPr="004313B1">
        <w:rPr>
          <w:rFonts w:ascii="Arial" w:hAnsi="Arial" w:cs="Arial"/>
          <w:sz w:val="24"/>
          <w:szCs w:val="24"/>
        </w:rPr>
        <w:t xml:space="preserve"> its employees and this includes carrying out risk assessments for work</w:t>
      </w:r>
      <w:r w:rsidRPr="004313B1">
        <w:rPr>
          <w:rFonts w:ascii="Cambria Math" w:hAnsi="Cambria Math" w:cs="Cambria Math"/>
          <w:sz w:val="24"/>
          <w:szCs w:val="24"/>
        </w:rPr>
        <w:t>‑</w:t>
      </w:r>
      <w:r w:rsidRPr="004313B1">
        <w:rPr>
          <w:rFonts w:ascii="Arial" w:hAnsi="Arial" w:cs="Arial"/>
          <w:sz w:val="24"/>
          <w:szCs w:val="24"/>
        </w:rPr>
        <w:t>related stress (CIPD, 2024a). Therefore, this is in line with the wellbeing practices within Sofidel as it demonstrates the need for a preventative approach and it also demonstrates that Sofidel has considered their statutory requirements and strategic intent.</w:t>
      </w:r>
    </w:p>
    <w:p w14:paraId="15FBEAAA"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Overall, Sofidel </w:t>
      </w:r>
      <w:proofErr w:type="gramStart"/>
      <w:r w:rsidRPr="004313B1">
        <w:rPr>
          <w:rFonts w:ascii="Arial" w:hAnsi="Arial" w:cs="Arial"/>
          <w:sz w:val="24"/>
          <w:szCs w:val="24"/>
        </w:rPr>
        <w:t>is able to</w:t>
      </w:r>
      <w:proofErr w:type="gramEnd"/>
      <w:r w:rsidRPr="004313B1">
        <w:rPr>
          <w:rFonts w:ascii="Arial" w:hAnsi="Arial" w:cs="Arial"/>
          <w:sz w:val="24"/>
          <w:szCs w:val="24"/>
        </w:rPr>
        <w:t xml:space="preserve"> demonstrate emerging strategic intent in its approach to health and wellbeing, supported by stable retention trends, preventative support mechanisms and alignment with legal duties. However, the organisation would benefit from strengthening early</w:t>
      </w:r>
      <w:r w:rsidRPr="004313B1">
        <w:rPr>
          <w:rFonts w:ascii="Cambria Math" w:hAnsi="Cambria Math" w:cs="Cambria Math"/>
          <w:sz w:val="24"/>
          <w:szCs w:val="24"/>
        </w:rPr>
        <w:t>‑</w:t>
      </w:r>
      <w:r w:rsidRPr="004313B1">
        <w:rPr>
          <w:rFonts w:ascii="Arial" w:hAnsi="Arial" w:cs="Arial"/>
          <w:sz w:val="24"/>
          <w:szCs w:val="24"/>
        </w:rPr>
        <w:t>stage support and increasing the visibility and accessibility of wellbeing resources to further embed 'good work' (CIPD, 2025a).</w:t>
      </w:r>
    </w:p>
    <w:p w14:paraId="7C664C14" w14:textId="77777777" w:rsidR="004313B1" w:rsidRPr="004313B1" w:rsidRDefault="004313B1" w:rsidP="004313B1">
      <w:pPr>
        <w:pStyle w:val="Heading1"/>
      </w:pPr>
      <w:bookmarkStart w:id="7" w:name="_Toc222163258"/>
      <w:r w:rsidRPr="004313B1">
        <w:t>Employee Voice</w:t>
      </w:r>
      <w:bookmarkEnd w:id="7"/>
    </w:p>
    <w:p w14:paraId="7B8190AD"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Employee voice is regarded as a key component of ‘good work’ and is seen as a means of giving employees the opportunity to influence decisions that affect their working life (CIPD, 2025a). It is also believed to be a contributor to higher levels of employee engagement and wellbeing and is seen as a factor that contributes to the high performance of an organisation (Morrison, 2011). As such, organisations that act to capture and respond to the views of their employees have a better opportunity to spot workforce risks. This means they are better placed to support the delivery of a sustainable employee experience (CIPD, 2025a).</w:t>
      </w:r>
    </w:p>
    <w:p w14:paraId="34982EF7" w14:textId="1CF656CB" w:rsidR="004313B1" w:rsidRPr="004313B1" w:rsidRDefault="004313B1" w:rsidP="004313B1">
      <w:pPr>
        <w:jc w:val="both"/>
        <w:rPr>
          <w:rFonts w:ascii="Arial" w:hAnsi="Arial" w:cs="Arial"/>
          <w:sz w:val="24"/>
          <w:szCs w:val="24"/>
        </w:rPr>
      </w:pPr>
      <w:r w:rsidRPr="004313B1">
        <w:rPr>
          <w:rFonts w:ascii="Arial" w:hAnsi="Arial" w:cs="Arial"/>
          <w:sz w:val="24"/>
          <w:szCs w:val="24"/>
        </w:rPr>
        <w:t>In 2024, Sofidel implemented an Engagement Survey to better understand the experiences of its employees and gather suggestions for individual, team and organisational improvement. Overall, 56% of the employees participated, showing a growing willingness among employees to contribute with their point of view. Importantly, the company translated the findings into specific action plans that aim to strengthen communication, trust in leadership, development and sense of belonging (Sofidel UK, 2024a). An evidence-based approach to people management would aim to collect employee feedback and use it to inform priorities, shifting the organisational culture towards being more based on data as a guiding force (Rousseau, 2006). Social Exchange Theory suggests that using employee input demonstrates organisational support, increasing trust and strengthening working relationships (Cropanzano and Mitchell, 2005).</w:t>
      </w:r>
    </w:p>
    <w:p w14:paraId="4D4E85C8"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In addition to reinforcing the organisational value of employee voice, managers who both seek and act on employee views are more likely to achieve their objectives. Managers must therefore be able to encourage open dialogue and respond </w:t>
      </w:r>
      <w:r w:rsidRPr="004313B1">
        <w:rPr>
          <w:rFonts w:ascii="Arial" w:hAnsi="Arial" w:cs="Arial"/>
          <w:sz w:val="24"/>
          <w:szCs w:val="24"/>
        </w:rPr>
        <w:lastRenderedPageBreak/>
        <w:t>constructively to feedback to embed a culture where employees feel psychologically safe to contribute (CIPD, 2025a; Edmondson, 1999).</w:t>
      </w:r>
    </w:p>
    <w:p w14:paraId="586F318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integrated report places employees as key stakeholders in Sofidel, showing a strategic recognition of the workforce as central to the organisational success. In addition, as there is a recognised union for blue-collar employees, there is a formal mechanism for collective representation and structured dialogue between employees and management. The formal representation can offer a stronger employee voice on workplace concerns through the established consultative mechanisms. However, the differences in recognition across departments could show that access to formal voice channels across the organisation may not be uniform, which could have implications for the consistency of feeling represented by all employees (Sofidel UK, 2024a; CIPD, 2025c).</w:t>
      </w:r>
    </w:p>
    <w:p w14:paraId="3CCB18A0" w14:textId="316C7AE5" w:rsidR="004313B1" w:rsidRPr="004313B1" w:rsidRDefault="004313B1" w:rsidP="004313B1">
      <w:pPr>
        <w:jc w:val="both"/>
        <w:rPr>
          <w:rFonts w:ascii="Arial" w:hAnsi="Arial" w:cs="Arial"/>
          <w:sz w:val="24"/>
          <w:szCs w:val="24"/>
        </w:rPr>
      </w:pPr>
      <w:r w:rsidRPr="004313B1">
        <w:rPr>
          <w:rFonts w:ascii="Arial" w:hAnsi="Arial" w:cs="Arial"/>
          <w:sz w:val="24"/>
          <w:szCs w:val="24"/>
        </w:rPr>
        <w:t>Furthermore, the report notes that ongoing digital barriers among parts of the workforce may still limit equal participation through voice mechanisms like online surveys, showing that fully inclusive participation is not yet embedded despite the investment in digitalisation to improve accessibility (Sofidel UK, 2024a).</w:t>
      </w:r>
    </w:p>
    <w:p w14:paraId="567C8824"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has built a foundation for employee voice through surveys, union representation and a commitment to transparency (Sofidel UK, 2024a). There is evidence that there has been a shift towards more people-centric and data driven practices as the data from the surveys is being taken into action. This is consistent with the Social Exchange Theory and the CIPD guidance on voice in the workplace (Cropanzano and Mitchell, 2005; CIPD, 2025c). However, there are still variations in union recognition and the presence of digital barriers, so access to voice mechanisms is not yet consistent (Sofidel UK, 2024a). To ensure all employees feel informed, represented and able to contribute to organisational dialogue, it will be necessary to strengthen the inclusivity and reach of these channels.</w:t>
      </w:r>
    </w:p>
    <w:p w14:paraId="027FBB01" w14:textId="29B3722B" w:rsidR="004313B1" w:rsidRPr="004313B1" w:rsidRDefault="004313B1" w:rsidP="004313B1">
      <w:pPr>
        <w:pStyle w:val="Heading1"/>
      </w:pPr>
      <w:bookmarkStart w:id="8" w:name="_Toc222163259"/>
      <w:r w:rsidRPr="004313B1">
        <w:t>Worklife balance</w:t>
      </w:r>
      <w:bookmarkEnd w:id="8"/>
    </w:p>
    <w:p w14:paraId="7935B46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Another key aspect of the Good Work Index is work-life balance. Flexibility and manageable workloads are shown to be strongly linked to job satisfaction and retention, which is why the CIPD argues that the strategic design of jobs to promote sustainable working patterns is needed for organisations (CIPD, 2025a).</w:t>
      </w:r>
    </w:p>
    <w:p w14:paraId="1C55F517"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manufacturing industry typically presents challenges when trying to achieve work-life balance due to continuous production needs and structured shift patterns (Nea et al., 2018). Blue-collar employees at Sofidel work scheduled shifts, with some roles including a 12-hour working, which is likely to increase job demands. Sofidel is proactively implementing some practices to mitigate this, including fully paid breaks, encouraging employees to take the rest period during working hours. These provisions could also be considered as organisational resources that help offset the effort of having longer working hours according to the job demands-resources model (Bakker &amp; Demerouti, 2007).</w:t>
      </w:r>
    </w:p>
    <w:p w14:paraId="28A82389"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However, the workforce does not have equal levels of access to this flexibility. WCO employees generally enjoy higher degrees of predictability and freedom when it comes </w:t>
      </w:r>
      <w:r w:rsidRPr="004313B1">
        <w:rPr>
          <w:rFonts w:ascii="Arial" w:hAnsi="Arial" w:cs="Arial"/>
          <w:sz w:val="24"/>
          <w:szCs w:val="24"/>
        </w:rPr>
        <w:lastRenderedPageBreak/>
        <w:t>to organising their work patterns, whilst BCO tend to be more heavily impacted by production demands. This suggests that work-life balance may not be consistently embedded at an organisational level. Instead, it is significantly influenced by job design. CIPD (2025a) research shows that although informal flexibility may support performance, organisations that have clearer structural approaches to job quality are better positioned to ensure fairness and long-term sustainability.</w:t>
      </w:r>
    </w:p>
    <w:p w14:paraId="556810BD"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CIPD (2025a) highlights that informal flexibility is also heavily influenced by the role of line managers and associated with stronger performance and increased discretionary effort when it allows employees to have more time to manage personal responsibilities. While employees have a statutory right to request flexibility, the operational delivery of flexibility relies on the judgement of managers on a day-to-day basis (GOV.UK, 2024). It reinforces the reciprocal relationship between organisational support and employee contribution. To develop mutual trust between managers and employees, consistent managerial practice must be implemented. This practice can provide for a fair experience of flexibility for everyone. However, without clear frameworks for flexibility, employees will experience variable levels of flexibility, which will be a risk to perception of the equity (Kelliher and Anderson, 2010).</w:t>
      </w:r>
    </w:p>
    <w:p w14:paraId="145717ED"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demonstrates an awareness of the importance of work-life balance through forward workforce planning and supportive scheduling practices. Despite the conditional nature of flexibility, however, there is an opportunity to further strengthen a strategic approach to enable more consistent access to ‘good work’ across different employee groups (CIPD, 2025a).</w:t>
      </w:r>
    </w:p>
    <w:p w14:paraId="6C3D9CD6" w14:textId="77777777" w:rsidR="004313B1" w:rsidRPr="004313B1" w:rsidRDefault="004313B1" w:rsidP="004313B1">
      <w:pPr>
        <w:pStyle w:val="Heading1"/>
      </w:pPr>
      <w:bookmarkStart w:id="9" w:name="_Toc222163260"/>
      <w:r w:rsidRPr="004313B1">
        <w:t>Conclusion</w:t>
      </w:r>
      <w:bookmarkEnd w:id="9"/>
    </w:p>
    <w:p w14:paraId="12B6B15C"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analysis of Sofidel suggests emerging strategic intent in delivering 'good work', particularly through its investment in employee wellbeing, mechanisms for employee voice and efforts to support work-life balance. The presence of structured policies, engagement initiatives and formal representation shows that the organisation increasingly recognises the workforce as a critical driver of organisational performance and long-term sustainability (CIPD, 2025a).</w:t>
      </w:r>
    </w:p>
    <w:p w14:paraId="05BED464"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However, access to all the elements of ‘good work’ is not yet experienced consistently. Variations in access to flexibility between blue-collar and white-collar, uneven access to voice channels and a need to strengthen early-stage wellbeing support showing that some practices remain operational rather than strategic (Kelliher and Anderson, 2010; CIPD, 2025c; Mosquera and Soares, 2025).</w:t>
      </w:r>
    </w:p>
    <w:p w14:paraId="04E6BC20"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analysis highlighted the key role line managers play in translating organisational intent into the everyday experience of employees. Whether stated values are made real in practice will largely depend on their ability to support wellbeing, enable voice and apply flexibility fairly (Hancock, 2023; CIPD, 2025a).</w:t>
      </w:r>
    </w:p>
    <w:p w14:paraId="22CBC928"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Therefore, to sustain a positive culture and long-term organisational effectiveness, it will be important to develop a more integrated and consistent approach to ‘good work’, building on the strong foundations that Sofidel has already established (Bakker and Demerouti, 2007).</w:t>
      </w:r>
    </w:p>
    <w:p w14:paraId="7EF0B97A" w14:textId="77777777" w:rsidR="004313B1" w:rsidRPr="004313B1" w:rsidRDefault="004313B1" w:rsidP="004313B1">
      <w:pPr>
        <w:pStyle w:val="Heading1"/>
      </w:pPr>
      <w:bookmarkStart w:id="10" w:name="_Toc222163261"/>
      <w:r w:rsidRPr="004313B1">
        <w:lastRenderedPageBreak/>
        <w:t>Recommendations</w:t>
      </w:r>
      <w:bookmarkEnd w:id="10"/>
    </w:p>
    <w:p w14:paraId="74087521" w14:textId="77E1F967" w:rsidR="004313B1" w:rsidRPr="004313B1" w:rsidRDefault="004313B1" w:rsidP="004313B1">
      <w:pPr>
        <w:pStyle w:val="ListParagraph"/>
        <w:numPr>
          <w:ilvl w:val="0"/>
          <w:numId w:val="2"/>
        </w:numPr>
        <w:jc w:val="both"/>
        <w:rPr>
          <w:rFonts w:ascii="Arial" w:hAnsi="Arial" w:cs="Arial"/>
          <w:b/>
          <w:bCs/>
          <w:sz w:val="24"/>
          <w:szCs w:val="24"/>
        </w:rPr>
      </w:pPr>
      <w:r w:rsidRPr="004313B1">
        <w:rPr>
          <w:rFonts w:ascii="Arial" w:hAnsi="Arial" w:cs="Arial"/>
          <w:b/>
          <w:bCs/>
          <w:sz w:val="24"/>
          <w:szCs w:val="24"/>
        </w:rPr>
        <w:t>Leadership Capability</w:t>
      </w:r>
    </w:p>
    <w:p w14:paraId="03825DEA" w14:textId="77777777" w:rsidR="004313B1" w:rsidRPr="004313B1" w:rsidRDefault="004313B1" w:rsidP="004313B1">
      <w:pPr>
        <w:jc w:val="both"/>
        <w:rPr>
          <w:rFonts w:ascii="Arial" w:hAnsi="Arial" w:cs="Arial"/>
          <w:sz w:val="24"/>
          <w:szCs w:val="24"/>
        </w:rPr>
      </w:pPr>
      <w:r w:rsidRPr="004313B1">
        <w:rPr>
          <w:rFonts w:ascii="Arial" w:hAnsi="Arial" w:cs="Arial"/>
          <w:b/>
          <w:bCs/>
          <w:sz w:val="24"/>
          <w:szCs w:val="24"/>
        </w:rPr>
        <w:t>Priority:</w:t>
      </w:r>
      <w:r w:rsidRPr="004313B1">
        <w:rPr>
          <w:rFonts w:ascii="Arial" w:hAnsi="Arial" w:cs="Arial"/>
          <w:sz w:val="24"/>
          <w:szCs w:val="24"/>
        </w:rPr>
        <w:t xml:space="preserve"> Immediate (0-6 months)</w:t>
      </w:r>
    </w:p>
    <w:p w14:paraId="3B599547"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has shown its strategic intent through the creation of a structured leadership program (Sofidel UK, 2024c). The next step is to further develop and integrate people-management capability to ensure that managers consistently deliver ‘good work’. CIPD (2025a) emphasises that line managers play an important role in fostering employees' well-being, giving them a voice and applying flexibility with fairness. Developing their skills in having wellbeing conversations, giving constructive feedback and making fair decisions will help line managers turn organisational values into everyday practice.</w:t>
      </w:r>
    </w:p>
    <w:p w14:paraId="76C09244"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This recommendation is also supported by the Social Exchange Theory which suggests that when employees perceive organisational support through positive manager behaviour, they are more likely to respond to the organisation with higher job engagement and more discretionary effort (Cropanzano and Mitchell, 2005). Investing in the development of leadership skills is therefore likely to improve retention rates, improve company culture and promote sustainable business performance (CIPD, 2025a).</w:t>
      </w:r>
    </w:p>
    <w:p w14:paraId="54B833DC" w14:textId="77777777" w:rsidR="004313B1" w:rsidRPr="004313B1" w:rsidRDefault="004313B1" w:rsidP="004313B1">
      <w:pPr>
        <w:jc w:val="both"/>
        <w:rPr>
          <w:rFonts w:ascii="Arial" w:hAnsi="Arial" w:cs="Arial"/>
          <w:b/>
          <w:bCs/>
          <w:sz w:val="24"/>
          <w:szCs w:val="24"/>
        </w:rPr>
      </w:pPr>
      <w:r w:rsidRPr="004313B1">
        <w:rPr>
          <w:rFonts w:ascii="Arial" w:hAnsi="Arial" w:cs="Arial"/>
          <w:b/>
          <w:bCs/>
          <w:sz w:val="24"/>
          <w:szCs w:val="24"/>
        </w:rPr>
        <w:t>Costs</w:t>
      </w:r>
    </w:p>
    <w:p w14:paraId="39AA742F" w14:textId="6AC09E91" w:rsidR="004313B1" w:rsidRPr="004313B1" w:rsidRDefault="004313B1" w:rsidP="004313B1">
      <w:pPr>
        <w:pStyle w:val="ListParagraph"/>
        <w:numPr>
          <w:ilvl w:val="0"/>
          <w:numId w:val="3"/>
        </w:numPr>
        <w:jc w:val="both"/>
        <w:rPr>
          <w:rFonts w:ascii="Arial" w:hAnsi="Arial" w:cs="Arial"/>
          <w:sz w:val="24"/>
          <w:szCs w:val="24"/>
        </w:rPr>
      </w:pPr>
      <w:r w:rsidRPr="004313B1">
        <w:rPr>
          <w:rFonts w:ascii="Arial" w:hAnsi="Arial" w:cs="Arial"/>
          <w:sz w:val="24"/>
          <w:szCs w:val="24"/>
        </w:rPr>
        <w:t>External leadership modules: £6,600 (CIPD, n.d.)</w:t>
      </w:r>
    </w:p>
    <w:p w14:paraId="5B38132D" w14:textId="0580F278" w:rsidR="004313B1" w:rsidRPr="004313B1" w:rsidRDefault="004313B1" w:rsidP="004313B1">
      <w:pPr>
        <w:pStyle w:val="ListParagraph"/>
        <w:numPr>
          <w:ilvl w:val="0"/>
          <w:numId w:val="3"/>
        </w:numPr>
        <w:jc w:val="both"/>
        <w:rPr>
          <w:rFonts w:ascii="Arial" w:hAnsi="Arial" w:cs="Arial"/>
          <w:sz w:val="24"/>
          <w:szCs w:val="24"/>
        </w:rPr>
      </w:pPr>
      <w:r w:rsidRPr="004313B1">
        <w:rPr>
          <w:rFonts w:ascii="Arial" w:hAnsi="Arial" w:cs="Arial"/>
          <w:sz w:val="24"/>
          <w:szCs w:val="24"/>
        </w:rPr>
        <w:t>Management time: £2,400 (Sofidel UK, 2025e)</w:t>
      </w:r>
    </w:p>
    <w:p w14:paraId="114498F7" w14:textId="1342B9CE" w:rsidR="004313B1" w:rsidRPr="004313B1" w:rsidRDefault="004313B1" w:rsidP="004313B1">
      <w:pPr>
        <w:pStyle w:val="ListParagraph"/>
        <w:numPr>
          <w:ilvl w:val="0"/>
          <w:numId w:val="3"/>
        </w:numPr>
        <w:jc w:val="both"/>
        <w:rPr>
          <w:rFonts w:ascii="Arial" w:hAnsi="Arial" w:cs="Arial"/>
          <w:sz w:val="24"/>
          <w:szCs w:val="24"/>
        </w:rPr>
      </w:pPr>
      <w:r w:rsidRPr="004313B1">
        <w:rPr>
          <w:rFonts w:ascii="Arial" w:hAnsi="Arial" w:cs="Arial"/>
          <w:sz w:val="24"/>
          <w:szCs w:val="24"/>
        </w:rPr>
        <w:t>Internal delivery, materials and administration: £750 (Sofidel UK, 2026c)</w:t>
      </w:r>
    </w:p>
    <w:p w14:paraId="0FACF9A0" w14:textId="77777777" w:rsidR="004313B1" w:rsidRPr="004313B1" w:rsidRDefault="004313B1" w:rsidP="004313B1">
      <w:pPr>
        <w:jc w:val="both"/>
        <w:rPr>
          <w:rFonts w:ascii="Arial" w:hAnsi="Arial" w:cs="Arial"/>
          <w:sz w:val="24"/>
          <w:szCs w:val="24"/>
        </w:rPr>
      </w:pPr>
      <w:r w:rsidRPr="004313B1">
        <w:rPr>
          <w:rFonts w:ascii="Arial" w:hAnsi="Arial" w:cs="Arial"/>
          <w:b/>
          <w:bCs/>
          <w:sz w:val="24"/>
          <w:szCs w:val="24"/>
        </w:rPr>
        <w:t>Total (Year 1):</w:t>
      </w:r>
      <w:r w:rsidRPr="004313B1">
        <w:rPr>
          <w:rFonts w:ascii="Arial" w:hAnsi="Arial" w:cs="Arial"/>
          <w:sz w:val="24"/>
          <w:szCs w:val="24"/>
        </w:rPr>
        <w:t xml:space="preserve"> £9,750</w:t>
      </w:r>
    </w:p>
    <w:p w14:paraId="79F123F2"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Lower ongoing costs are expected, mainly due to refresher training and the appointment of new managers.</w:t>
      </w:r>
    </w:p>
    <w:p w14:paraId="32FCFD4A" w14:textId="23091AB5" w:rsidR="004313B1" w:rsidRPr="004313B1" w:rsidRDefault="004313B1" w:rsidP="004313B1">
      <w:pPr>
        <w:pStyle w:val="ListParagraph"/>
        <w:numPr>
          <w:ilvl w:val="0"/>
          <w:numId w:val="2"/>
        </w:numPr>
        <w:jc w:val="both"/>
        <w:rPr>
          <w:rFonts w:ascii="Arial" w:hAnsi="Arial" w:cs="Arial"/>
          <w:b/>
          <w:bCs/>
          <w:sz w:val="24"/>
          <w:szCs w:val="24"/>
        </w:rPr>
      </w:pPr>
      <w:r w:rsidRPr="004313B1">
        <w:rPr>
          <w:rFonts w:ascii="Arial" w:hAnsi="Arial" w:cs="Arial"/>
          <w:b/>
          <w:bCs/>
          <w:sz w:val="24"/>
          <w:szCs w:val="24"/>
        </w:rPr>
        <w:t>Fairness Framework for Flexible working</w:t>
      </w:r>
    </w:p>
    <w:p w14:paraId="2E8DDBD2" w14:textId="77777777" w:rsidR="004313B1" w:rsidRPr="004313B1" w:rsidRDefault="004313B1" w:rsidP="004313B1">
      <w:pPr>
        <w:jc w:val="both"/>
        <w:rPr>
          <w:rFonts w:ascii="Arial" w:hAnsi="Arial" w:cs="Arial"/>
          <w:sz w:val="24"/>
          <w:szCs w:val="24"/>
        </w:rPr>
      </w:pPr>
      <w:r w:rsidRPr="004313B1">
        <w:rPr>
          <w:rFonts w:ascii="Arial" w:hAnsi="Arial" w:cs="Arial"/>
          <w:b/>
          <w:bCs/>
          <w:sz w:val="24"/>
          <w:szCs w:val="24"/>
        </w:rPr>
        <w:t>Priority:</w:t>
      </w:r>
      <w:r w:rsidRPr="004313B1">
        <w:rPr>
          <w:rFonts w:ascii="Arial" w:hAnsi="Arial" w:cs="Arial"/>
          <w:sz w:val="24"/>
          <w:szCs w:val="24"/>
        </w:rPr>
        <w:t xml:space="preserve"> Short–Medium Term (6–12 months)</w:t>
      </w:r>
    </w:p>
    <w:p w14:paraId="1336DC43"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Establishing a fairness structure will provide managers with clear parameters for approving flexible arrangements while protecting operational requirements. Sofidel recognises the importance of work-life balance but access to flexibility now varies across roles and is often influenced by managerial discretion.</w:t>
      </w:r>
    </w:p>
    <w:p w14:paraId="3AACA911" w14:textId="1226A603" w:rsidR="004313B1" w:rsidRPr="004313B1" w:rsidRDefault="004313B1" w:rsidP="004313B1">
      <w:pPr>
        <w:jc w:val="both"/>
        <w:rPr>
          <w:rFonts w:ascii="Arial" w:hAnsi="Arial" w:cs="Arial"/>
          <w:sz w:val="24"/>
          <w:szCs w:val="24"/>
        </w:rPr>
      </w:pPr>
      <w:r w:rsidRPr="004313B1">
        <w:rPr>
          <w:rFonts w:ascii="Arial" w:hAnsi="Arial" w:cs="Arial"/>
          <w:sz w:val="24"/>
          <w:szCs w:val="24"/>
        </w:rPr>
        <w:t>CIPD (2025a) highlight that workers who have equal access to flexibility have higher wellbeing, retention and performance. When there is no clear organisational approach to flexibility, employees often perceive the decision-making process as unfair, affecting how engaged they feel to work. Organisational Justice Theory states that decisions are perceived more positively by employees when decisions have transparent and consistently applied processes (Colquitt et al., 2001).</w:t>
      </w:r>
    </w:p>
    <w:p w14:paraId="0CDEC9E5"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This strategic approach to flexibility is also likely to support workforce sustainability in the competitive 24/7 manufacturing environment in which this case company operates by improving employee perceptions of fairness.</w:t>
      </w:r>
    </w:p>
    <w:p w14:paraId="59F40C10" w14:textId="77777777" w:rsidR="004313B1" w:rsidRPr="004313B1" w:rsidRDefault="004313B1" w:rsidP="004313B1">
      <w:pPr>
        <w:jc w:val="both"/>
        <w:rPr>
          <w:rFonts w:ascii="Arial" w:hAnsi="Arial" w:cs="Arial"/>
          <w:b/>
          <w:bCs/>
          <w:sz w:val="24"/>
          <w:szCs w:val="24"/>
        </w:rPr>
      </w:pPr>
      <w:r w:rsidRPr="004313B1">
        <w:rPr>
          <w:rFonts w:ascii="Arial" w:hAnsi="Arial" w:cs="Arial"/>
          <w:b/>
          <w:bCs/>
          <w:sz w:val="24"/>
          <w:szCs w:val="24"/>
        </w:rPr>
        <w:lastRenderedPageBreak/>
        <w:t>Costs</w:t>
      </w:r>
    </w:p>
    <w:p w14:paraId="027FB2A9" w14:textId="07F5EA54" w:rsidR="004313B1" w:rsidRPr="004313B1" w:rsidRDefault="004313B1" w:rsidP="004313B1">
      <w:pPr>
        <w:pStyle w:val="ListParagraph"/>
        <w:numPr>
          <w:ilvl w:val="0"/>
          <w:numId w:val="4"/>
        </w:numPr>
        <w:jc w:val="both"/>
        <w:rPr>
          <w:rFonts w:ascii="Arial" w:hAnsi="Arial" w:cs="Arial"/>
          <w:sz w:val="24"/>
          <w:szCs w:val="24"/>
        </w:rPr>
      </w:pPr>
      <w:r w:rsidRPr="004313B1">
        <w:rPr>
          <w:rFonts w:ascii="Arial" w:hAnsi="Arial" w:cs="Arial"/>
          <w:sz w:val="24"/>
          <w:szCs w:val="24"/>
        </w:rPr>
        <w:t>Policy development and HR consultation: £1,500 (Sofidel UK, 2026d)</w:t>
      </w:r>
    </w:p>
    <w:p w14:paraId="77F59FA2" w14:textId="2317EDB9" w:rsidR="004313B1" w:rsidRPr="004313B1" w:rsidRDefault="004313B1" w:rsidP="004313B1">
      <w:pPr>
        <w:pStyle w:val="ListParagraph"/>
        <w:numPr>
          <w:ilvl w:val="0"/>
          <w:numId w:val="4"/>
        </w:numPr>
        <w:jc w:val="both"/>
        <w:rPr>
          <w:rFonts w:ascii="Arial" w:hAnsi="Arial" w:cs="Arial"/>
          <w:sz w:val="24"/>
          <w:szCs w:val="24"/>
        </w:rPr>
      </w:pPr>
      <w:r w:rsidRPr="004313B1">
        <w:rPr>
          <w:rFonts w:ascii="Arial" w:hAnsi="Arial" w:cs="Arial"/>
          <w:sz w:val="24"/>
          <w:szCs w:val="24"/>
        </w:rPr>
        <w:t>Manager guidance workshops delivered internally: £2,000 (Sofidel UK, 2026e)</w:t>
      </w:r>
    </w:p>
    <w:p w14:paraId="24FA0A6F" w14:textId="6A71D8F5" w:rsidR="004313B1" w:rsidRPr="004313B1" w:rsidRDefault="004313B1" w:rsidP="004313B1">
      <w:pPr>
        <w:pStyle w:val="ListParagraph"/>
        <w:numPr>
          <w:ilvl w:val="0"/>
          <w:numId w:val="4"/>
        </w:numPr>
        <w:jc w:val="both"/>
        <w:rPr>
          <w:rFonts w:ascii="Arial" w:hAnsi="Arial" w:cs="Arial"/>
          <w:sz w:val="24"/>
          <w:szCs w:val="24"/>
        </w:rPr>
      </w:pPr>
      <w:r w:rsidRPr="004313B1">
        <w:rPr>
          <w:rFonts w:ascii="Arial" w:hAnsi="Arial" w:cs="Arial"/>
          <w:sz w:val="24"/>
          <w:szCs w:val="24"/>
        </w:rPr>
        <w:t>Communication materials and rollout: £500 (Sofidel UK, 2025f)</w:t>
      </w:r>
    </w:p>
    <w:p w14:paraId="481D36DA" w14:textId="23CE37A4" w:rsidR="004313B1" w:rsidRPr="004313B1" w:rsidRDefault="004313B1" w:rsidP="004313B1">
      <w:pPr>
        <w:jc w:val="both"/>
        <w:rPr>
          <w:rFonts w:ascii="Arial" w:hAnsi="Arial" w:cs="Arial"/>
          <w:sz w:val="24"/>
          <w:szCs w:val="24"/>
        </w:rPr>
      </w:pPr>
      <w:r w:rsidRPr="004313B1">
        <w:rPr>
          <w:rFonts w:ascii="Arial" w:hAnsi="Arial" w:cs="Arial"/>
          <w:b/>
          <w:bCs/>
          <w:sz w:val="24"/>
          <w:szCs w:val="24"/>
        </w:rPr>
        <w:t>Total (Year 1):</w:t>
      </w:r>
      <w:r w:rsidRPr="004313B1">
        <w:rPr>
          <w:rFonts w:ascii="Arial" w:hAnsi="Arial" w:cs="Arial"/>
          <w:sz w:val="24"/>
          <w:szCs w:val="24"/>
        </w:rPr>
        <w:t xml:space="preserve"> £4,000</w:t>
      </w:r>
    </w:p>
    <w:p w14:paraId="15A95537" w14:textId="035A5BAF" w:rsidR="004313B1" w:rsidRPr="004313B1" w:rsidRDefault="004313B1" w:rsidP="004313B1">
      <w:pPr>
        <w:pStyle w:val="ListParagraph"/>
        <w:numPr>
          <w:ilvl w:val="0"/>
          <w:numId w:val="2"/>
        </w:numPr>
        <w:jc w:val="both"/>
        <w:rPr>
          <w:rFonts w:ascii="Arial" w:hAnsi="Arial" w:cs="Arial"/>
          <w:b/>
          <w:bCs/>
          <w:sz w:val="24"/>
          <w:szCs w:val="24"/>
        </w:rPr>
      </w:pPr>
      <w:r w:rsidRPr="004313B1">
        <w:rPr>
          <w:rFonts w:ascii="Arial" w:hAnsi="Arial" w:cs="Arial"/>
          <w:b/>
          <w:bCs/>
          <w:sz w:val="24"/>
          <w:szCs w:val="24"/>
        </w:rPr>
        <w:t>Develop a Strategic Onboarding Framework</w:t>
      </w:r>
    </w:p>
    <w:p w14:paraId="1C36D96D" w14:textId="77777777" w:rsidR="004313B1" w:rsidRPr="004313B1" w:rsidRDefault="004313B1" w:rsidP="004313B1">
      <w:pPr>
        <w:jc w:val="both"/>
        <w:rPr>
          <w:rFonts w:ascii="Arial" w:hAnsi="Arial" w:cs="Arial"/>
          <w:sz w:val="24"/>
          <w:szCs w:val="24"/>
        </w:rPr>
      </w:pPr>
      <w:r w:rsidRPr="004313B1">
        <w:rPr>
          <w:rFonts w:ascii="Arial" w:hAnsi="Arial" w:cs="Arial"/>
          <w:b/>
          <w:bCs/>
          <w:sz w:val="24"/>
          <w:szCs w:val="24"/>
        </w:rPr>
        <w:t>Priority:</w:t>
      </w:r>
      <w:r w:rsidRPr="004313B1">
        <w:rPr>
          <w:rFonts w:ascii="Arial" w:hAnsi="Arial" w:cs="Arial"/>
          <w:sz w:val="24"/>
          <w:szCs w:val="24"/>
        </w:rPr>
        <w:t xml:space="preserve"> Short–Medium Term (6–12 months)</w:t>
      </w:r>
    </w:p>
    <w:p w14:paraId="7F3FF825"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has demonstrated long-term retention success, but employees continue to have difficulties during the early stages of employment according to the internal data (Sofidel UK, 2025c). Strengthening our onboarding process will align with the strategy of delivering ‘good work’ while proactively addressing the adjustment demands placed on our organisation.</w:t>
      </w:r>
    </w:p>
    <w:p w14:paraId="541FA391" w14:textId="6FBB7F5A" w:rsidR="004313B1" w:rsidRPr="004313B1" w:rsidRDefault="004313B1" w:rsidP="004313B1">
      <w:pPr>
        <w:jc w:val="both"/>
        <w:rPr>
          <w:rFonts w:ascii="Arial" w:hAnsi="Arial" w:cs="Arial"/>
          <w:sz w:val="24"/>
          <w:szCs w:val="24"/>
        </w:rPr>
      </w:pPr>
      <w:r w:rsidRPr="004313B1">
        <w:rPr>
          <w:rFonts w:ascii="Arial" w:hAnsi="Arial" w:cs="Arial"/>
          <w:sz w:val="24"/>
          <w:szCs w:val="24"/>
        </w:rPr>
        <w:t>Bakker and Demerouti (2007) found that employees are more likely to experience stress and disengagement when they experience job demands exceeding available resources, particularly during organisational entry. Implementing staged check-ins, clearer role expectations and early wellbeing conversations may help balance demands and support performance.</w:t>
      </w:r>
    </w:p>
    <w:p w14:paraId="5CD2E2E4"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Effective onboarding can improve engagement, wellbeing and retention of a workforce whilst mitigating longer term risks (CIPD, 2025a). Managers would be provided with clear guidance to promote consistent early experiences across departments, making this a cost-effective and preventative intervention aligned with ‘good work’.</w:t>
      </w:r>
    </w:p>
    <w:p w14:paraId="21573047" w14:textId="77777777" w:rsidR="004313B1" w:rsidRPr="004313B1" w:rsidRDefault="004313B1" w:rsidP="004313B1">
      <w:pPr>
        <w:jc w:val="both"/>
        <w:rPr>
          <w:rFonts w:ascii="Arial" w:hAnsi="Arial" w:cs="Arial"/>
          <w:b/>
          <w:bCs/>
          <w:sz w:val="24"/>
          <w:szCs w:val="24"/>
        </w:rPr>
      </w:pPr>
      <w:r w:rsidRPr="004313B1">
        <w:rPr>
          <w:rFonts w:ascii="Arial" w:hAnsi="Arial" w:cs="Arial"/>
          <w:b/>
          <w:bCs/>
          <w:sz w:val="24"/>
          <w:szCs w:val="24"/>
        </w:rPr>
        <w:t>Cost</w:t>
      </w:r>
    </w:p>
    <w:p w14:paraId="28E3D967" w14:textId="68E673DF" w:rsidR="004313B1" w:rsidRPr="004313B1" w:rsidRDefault="004313B1" w:rsidP="004313B1">
      <w:pPr>
        <w:pStyle w:val="ListParagraph"/>
        <w:numPr>
          <w:ilvl w:val="0"/>
          <w:numId w:val="5"/>
        </w:numPr>
        <w:jc w:val="both"/>
        <w:rPr>
          <w:rFonts w:ascii="Arial" w:hAnsi="Arial" w:cs="Arial"/>
          <w:sz w:val="24"/>
          <w:szCs w:val="24"/>
        </w:rPr>
      </w:pPr>
      <w:r w:rsidRPr="004313B1">
        <w:rPr>
          <w:rFonts w:ascii="Arial" w:hAnsi="Arial" w:cs="Arial"/>
          <w:sz w:val="24"/>
          <w:szCs w:val="24"/>
        </w:rPr>
        <w:t>Onboarding framework development and HR consultation: £1,500</w:t>
      </w:r>
    </w:p>
    <w:p w14:paraId="48181471" w14:textId="281EE285" w:rsidR="004313B1" w:rsidRPr="004313B1" w:rsidRDefault="004313B1" w:rsidP="004313B1">
      <w:pPr>
        <w:pStyle w:val="ListParagraph"/>
        <w:numPr>
          <w:ilvl w:val="0"/>
          <w:numId w:val="5"/>
        </w:numPr>
        <w:jc w:val="both"/>
        <w:rPr>
          <w:rFonts w:ascii="Arial" w:hAnsi="Arial" w:cs="Arial"/>
          <w:sz w:val="24"/>
          <w:szCs w:val="24"/>
        </w:rPr>
      </w:pPr>
      <w:r w:rsidRPr="004313B1">
        <w:rPr>
          <w:rFonts w:ascii="Arial" w:hAnsi="Arial" w:cs="Arial"/>
          <w:sz w:val="24"/>
          <w:szCs w:val="24"/>
        </w:rPr>
        <w:t>Manager toolkits and onboarding guidance materials: £1,000</w:t>
      </w:r>
    </w:p>
    <w:p w14:paraId="5ED50C97" w14:textId="3E68EE58" w:rsidR="004313B1" w:rsidRPr="004313B1" w:rsidRDefault="004313B1" w:rsidP="004313B1">
      <w:pPr>
        <w:pStyle w:val="ListParagraph"/>
        <w:numPr>
          <w:ilvl w:val="0"/>
          <w:numId w:val="5"/>
        </w:numPr>
        <w:jc w:val="both"/>
        <w:rPr>
          <w:rFonts w:ascii="Arial" w:hAnsi="Arial" w:cs="Arial"/>
          <w:sz w:val="24"/>
          <w:szCs w:val="24"/>
        </w:rPr>
      </w:pPr>
      <w:r w:rsidRPr="004313B1">
        <w:rPr>
          <w:rFonts w:ascii="Arial" w:hAnsi="Arial" w:cs="Arial"/>
          <w:sz w:val="24"/>
          <w:szCs w:val="24"/>
        </w:rPr>
        <w:t>Employee resources and programme communication: £500 (Sofidel UK, 2026c)</w:t>
      </w:r>
    </w:p>
    <w:p w14:paraId="2E50D905" w14:textId="77777777" w:rsidR="004313B1" w:rsidRPr="004313B1" w:rsidRDefault="004313B1" w:rsidP="004313B1">
      <w:pPr>
        <w:jc w:val="both"/>
        <w:rPr>
          <w:rFonts w:ascii="Arial" w:hAnsi="Arial" w:cs="Arial"/>
          <w:sz w:val="24"/>
          <w:szCs w:val="24"/>
        </w:rPr>
      </w:pPr>
      <w:r w:rsidRPr="004313B1">
        <w:rPr>
          <w:rFonts w:ascii="Arial" w:hAnsi="Arial" w:cs="Arial"/>
          <w:b/>
          <w:bCs/>
          <w:sz w:val="24"/>
          <w:szCs w:val="24"/>
        </w:rPr>
        <w:t>Total (Year 1):</w:t>
      </w:r>
      <w:r w:rsidRPr="004313B1">
        <w:rPr>
          <w:rFonts w:ascii="Arial" w:hAnsi="Arial" w:cs="Arial"/>
          <w:sz w:val="24"/>
          <w:szCs w:val="24"/>
        </w:rPr>
        <w:t xml:space="preserve"> £3,000</w:t>
      </w:r>
    </w:p>
    <w:p w14:paraId="6EA25853" w14:textId="77777777" w:rsidR="004313B1" w:rsidRPr="004313B1" w:rsidRDefault="004313B1" w:rsidP="004313B1">
      <w:pPr>
        <w:jc w:val="both"/>
        <w:rPr>
          <w:rFonts w:ascii="Arial" w:hAnsi="Arial" w:cs="Arial"/>
          <w:sz w:val="24"/>
          <w:szCs w:val="24"/>
        </w:rPr>
      </w:pPr>
    </w:p>
    <w:p w14:paraId="65235B3E" w14:textId="77777777" w:rsidR="004313B1" w:rsidRPr="004313B1" w:rsidRDefault="004313B1" w:rsidP="004313B1">
      <w:pPr>
        <w:jc w:val="both"/>
        <w:rPr>
          <w:rFonts w:ascii="Arial" w:hAnsi="Arial" w:cs="Arial"/>
          <w:sz w:val="24"/>
          <w:szCs w:val="24"/>
        </w:rPr>
      </w:pPr>
    </w:p>
    <w:p w14:paraId="1870335D" w14:textId="77777777" w:rsidR="004313B1" w:rsidRPr="004313B1" w:rsidRDefault="004313B1" w:rsidP="004313B1">
      <w:pPr>
        <w:jc w:val="both"/>
        <w:rPr>
          <w:rFonts w:ascii="Arial" w:hAnsi="Arial" w:cs="Arial"/>
          <w:sz w:val="24"/>
          <w:szCs w:val="24"/>
        </w:rPr>
      </w:pPr>
    </w:p>
    <w:p w14:paraId="2A25E46B" w14:textId="77777777" w:rsidR="004313B1" w:rsidRDefault="004313B1" w:rsidP="004313B1">
      <w:pPr>
        <w:jc w:val="both"/>
        <w:rPr>
          <w:rFonts w:ascii="Arial" w:hAnsi="Arial" w:cs="Arial"/>
          <w:sz w:val="24"/>
          <w:szCs w:val="24"/>
        </w:rPr>
      </w:pPr>
    </w:p>
    <w:p w14:paraId="15BD391E" w14:textId="77777777" w:rsidR="004313B1" w:rsidRDefault="004313B1" w:rsidP="004313B1">
      <w:pPr>
        <w:jc w:val="both"/>
        <w:rPr>
          <w:rFonts w:ascii="Arial" w:hAnsi="Arial" w:cs="Arial"/>
          <w:sz w:val="24"/>
          <w:szCs w:val="24"/>
        </w:rPr>
      </w:pPr>
    </w:p>
    <w:p w14:paraId="4A83F300" w14:textId="77777777" w:rsidR="004313B1" w:rsidRDefault="004313B1" w:rsidP="004313B1">
      <w:pPr>
        <w:jc w:val="both"/>
        <w:rPr>
          <w:rFonts w:ascii="Arial" w:hAnsi="Arial" w:cs="Arial"/>
          <w:sz w:val="24"/>
          <w:szCs w:val="24"/>
        </w:rPr>
      </w:pPr>
    </w:p>
    <w:p w14:paraId="13532426" w14:textId="77777777" w:rsidR="004313B1" w:rsidRDefault="004313B1" w:rsidP="004313B1">
      <w:pPr>
        <w:jc w:val="both"/>
        <w:rPr>
          <w:rFonts w:ascii="Arial" w:hAnsi="Arial" w:cs="Arial"/>
          <w:sz w:val="24"/>
          <w:szCs w:val="24"/>
        </w:rPr>
      </w:pPr>
    </w:p>
    <w:p w14:paraId="141002CF" w14:textId="77777777" w:rsidR="004313B1" w:rsidRPr="004313B1" w:rsidRDefault="004313B1" w:rsidP="004313B1">
      <w:pPr>
        <w:jc w:val="both"/>
        <w:rPr>
          <w:rFonts w:ascii="Arial" w:hAnsi="Arial" w:cs="Arial"/>
          <w:sz w:val="24"/>
          <w:szCs w:val="24"/>
        </w:rPr>
      </w:pPr>
    </w:p>
    <w:p w14:paraId="0AB8A8A1" w14:textId="325DA75F" w:rsidR="004313B1" w:rsidRDefault="004313B1" w:rsidP="004313B1">
      <w:pPr>
        <w:pStyle w:val="Heading1"/>
      </w:pPr>
      <w:bookmarkStart w:id="11" w:name="_Toc222163262"/>
      <w:r w:rsidRPr="004313B1">
        <w:lastRenderedPageBreak/>
        <w:t>References</w:t>
      </w:r>
      <w:bookmarkEnd w:id="11"/>
    </w:p>
    <w:p w14:paraId="26CCF998" w14:textId="77777777" w:rsidR="004313B1" w:rsidRDefault="004313B1" w:rsidP="004313B1"/>
    <w:p w14:paraId="7719344E"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Armstrong, M. and Taylor, S. (2023) </w:t>
      </w:r>
      <w:r w:rsidRPr="006B05F8">
        <w:rPr>
          <w:rFonts w:ascii="Arial" w:hAnsi="Arial" w:cs="Arial"/>
          <w:i/>
          <w:iCs/>
          <w:sz w:val="24"/>
          <w:szCs w:val="24"/>
          <w:lang w:val="en-US"/>
        </w:rPr>
        <w:t>Armstrong’s Handbook of Human Resource Management Practice</w:t>
      </w:r>
      <w:r w:rsidRPr="006B05F8">
        <w:rPr>
          <w:rFonts w:ascii="Arial" w:hAnsi="Arial" w:cs="Arial"/>
          <w:sz w:val="24"/>
          <w:szCs w:val="24"/>
          <w:lang w:val="en-US"/>
        </w:rPr>
        <w:t xml:space="preserve">. 16th </w:t>
      </w:r>
      <w:proofErr w:type="spellStart"/>
      <w:proofErr w:type="gramStart"/>
      <w:r w:rsidRPr="006B05F8">
        <w:rPr>
          <w:rFonts w:ascii="Arial" w:hAnsi="Arial" w:cs="Arial"/>
          <w:sz w:val="24"/>
          <w:szCs w:val="24"/>
          <w:lang w:val="en-US"/>
        </w:rPr>
        <w:t>edn</w:t>
      </w:r>
      <w:proofErr w:type="spellEnd"/>
      <w:proofErr w:type="gramEnd"/>
      <w:r w:rsidRPr="006B05F8">
        <w:rPr>
          <w:rFonts w:ascii="Arial" w:hAnsi="Arial" w:cs="Arial"/>
          <w:sz w:val="24"/>
          <w:szCs w:val="24"/>
          <w:lang w:val="en-US"/>
        </w:rPr>
        <w:t>. London: Kogan Page.</w:t>
      </w:r>
    </w:p>
    <w:p w14:paraId="1CF88C73"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Bakker, A.B. and Demerouti, E. (2007) ‘The job demands</w:t>
      </w:r>
      <w:r w:rsidRPr="006B05F8">
        <w:rPr>
          <w:rFonts w:ascii="Cambria Math" w:hAnsi="Cambria Math" w:cs="Cambria Math"/>
          <w:sz w:val="24"/>
          <w:szCs w:val="24"/>
          <w:lang w:val="en-US"/>
        </w:rPr>
        <w:t>‐</w:t>
      </w:r>
      <w:r w:rsidRPr="006B05F8">
        <w:rPr>
          <w:rFonts w:ascii="Arial" w:hAnsi="Arial" w:cs="Arial"/>
          <w:sz w:val="24"/>
          <w:szCs w:val="24"/>
          <w:lang w:val="en-US"/>
        </w:rPr>
        <w:t xml:space="preserve">resources model: State of the art’. </w:t>
      </w:r>
      <w:r w:rsidRPr="006B05F8">
        <w:rPr>
          <w:rFonts w:ascii="Arial" w:hAnsi="Arial" w:cs="Arial"/>
          <w:i/>
          <w:iCs/>
          <w:sz w:val="24"/>
          <w:szCs w:val="24"/>
          <w:lang w:val="en-US"/>
        </w:rPr>
        <w:t>Journal of Managerial Psychology</w:t>
      </w:r>
      <w:r w:rsidRPr="006B05F8">
        <w:rPr>
          <w:rFonts w:ascii="Arial" w:hAnsi="Arial" w:cs="Arial"/>
          <w:sz w:val="24"/>
          <w:szCs w:val="24"/>
          <w:lang w:val="en-US"/>
        </w:rPr>
        <w:t xml:space="preserve"> 22(3), pp. 309–328. Available at: </w:t>
      </w:r>
      <w:hyperlink r:id="rId7" w:history="1">
        <w:r w:rsidRPr="006B05F8">
          <w:rPr>
            <w:rFonts w:ascii="Arial" w:hAnsi="Arial" w:cs="Arial"/>
            <w:sz w:val="24"/>
            <w:szCs w:val="24"/>
            <w:lang w:val="en-US"/>
          </w:rPr>
          <w:t>https://www.emerald.com/jmp/article-abstract/22/3/309/236386/The-Job-Demands-Resources-model-state-of-the-art?redirectedFrom=fulltext</w:t>
        </w:r>
      </w:hyperlink>
      <w:r w:rsidRPr="006B05F8">
        <w:rPr>
          <w:rFonts w:ascii="Arial" w:hAnsi="Arial" w:cs="Arial"/>
          <w:sz w:val="24"/>
          <w:szCs w:val="24"/>
          <w:lang w:val="en-US"/>
        </w:rPr>
        <w:t>.</w:t>
      </w:r>
    </w:p>
    <w:p w14:paraId="0630D1DA"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Blanz, M. (</w:t>
      </w:r>
      <w:proofErr w:type="gramStart"/>
      <w:r w:rsidRPr="006B05F8">
        <w:rPr>
          <w:rFonts w:ascii="Arial" w:hAnsi="Arial" w:cs="Arial"/>
          <w:sz w:val="24"/>
          <w:szCs w:val="24"/>
          <w:lang w:val="en-US"/>
        </w:rPr>
        <w:t>2017) ‘</w:t>
      </w:r>
      <w:proofErr w:type="gramEnd"/>
      <w:r w:rsidRPr="006B05F8">
        <w:rPr>
          <w:rFonts w:ascii="Arial" w:hAnsi="Arial" w:cs="Arial"/>
          <w:sz w:val="24"/>
          <w:szCs w:val="24"/>
          <w:lang w:val="en-US"/>
        </w:rPr>
        <w:t xml:space="preserve">Employees’ Job Satisfaction: A Test of the Job Characteristics Model Among Social Work Practitioners’. </w:t>
      </w:r>
      <w:r w:rsidRPr="006B05F8">
        <w:rPr>
          <w:rFonts w:ascii="Arial" w:hAnsi="Arial" w:cs="Arial"/>
          <w:i/>
          <w:iCs/>
          <w:sz w:val="24"/>
          <w:szCs w:val="24"/>
          <w:lang w:val="en-US"/>
        </w:rPr>
        <w:t>Journal of Evidence-Informed Social Work</w:t>
      </w:r>
      <w:r w:rsidRPr="006B05F8">
        <w:rPr>
          <w:rFonts w:ascii="Arial" w:hAnsi="Arial" w:cs="Arial"/>
          <w:sz w:val="24"/>
          <w:szCs w:val="24"/>
          <w:lang w:val="en-US"/>
        </w:rPr>
        <w:t xml:space="preserve"> 14(1), pp. 35–50. </w:t>
      </w:r>
      <w:proofErr w:type="spellStart"/>
      <w:r w:rsidRPr="006B05F8">
        <w:rPr>
          <w:rFonts w:ascii="Arial" w:hAnsi="Arial" w:cs="Arial"/>
          <w:sz w:val="24"/>
          <w:szCs w:val="24"/>
          <w:lang w:val="en-US"/>
        </w:rPr>
        <w:t>doi</w:t>
      </w:r>
      <w:proofErr w:type="spellEnd"/>
      <w:r w:rsidRPr="006B05F8">
        <w:rPr>
          <w:rFonts w:ascii="Arial" w:hAnsi="Arial" w:cs="Arial"/>
          <w:sz w:val="24"/>
          <w:szCs w:val="24"/>
          <w:lang w:val="en-US"/>
        </w:rPr>
        <w:t xml:space="preserve">: </w:t>
      </w:r>
      <w:hyperlink r:id="rId8" w:history="1">
        <w:r w:rsidRPr="006B05F8">
          <w:rPr>
            <w:rFonts w:ascii="Arial" w:hAnsi="Arial" w:cs="Arial"/>
            <w:sz w:val="24"/>
            <w:szCs w:val="24"/>
            <w:lang w:val="en-US"/>
          </w:rPr>
          <w:t>https://doi.org/10.1080/23761407.2017.1288187</w:t>
        </w:r>
      </w:hyperlink>
      <w:r w:rsidRPr="006B05F8">
        <w:rPr>
          <w:rFonts w:ascii="Arial" w:hAnsi="Arial" w:cs="Arial"/>
          <w:sz w:val="24"/>
          <w:szCs w:val="24"/>
          <w:lang w:val="en-US"/>
        </w:rPr>
        <w:t>.</w:t>
      </w:r>
    </w:p>
    <w:p w14:paraId="19EF42E8"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Brown, R. (2024) </w:t>
      </w:r>
      <w:r w:rsidRPr="006B05F8">
        <w:rPr>
          <w:rFonts w:ascii="Arial" w:hAnsi="Arial" w:cs="Arial"/>
          <w:i/>
          <w:iCs/>
          <w:sz w:val="24"/>
          <w:szCs w:val="24"/>
          <w:lang w:val="en-US"/>
        </w:rPr>
        <w:t xml:space="preserve">Manufacturing Has </w:t>
      </w:r>
      <w:proofErr w:type="gramStart"/>
      <w:r w:rsidRPr="006B05F8">
        <w:rPr>
          <w:rFonts w:ascii="Arial" w:hAnsi="Arial" w:cs="Arial"/>
          <w:i/>
          <w:iCs/>
          <w:sz w:val="24"/>
          <w:szCs w:val="24"/>
          <w:lang w:val="en-US"/>
        </w:rPr>
        <w:t>The</w:t>
      </w:r>
      <w:proofErr w:type="gramEnd"/>
      <w:r w:rsidRPr="006B05F8">
        <w:rPr>
          <w:rFonts w:ascii="Arial" w:hAnsi="Arial" w:cs="Arial"/>
          <w:i/>
          <w:iCs/>
          <w:sz w:val="24"/>
          <w:szCs w:val="24"/>
          <w:lang w:val="en-US"/>
        </w:rPr>
        <w:t xml:space="preserve"> Highest Staff Tenure In the UK</w:t>
      </w:r>
      <w:r w:rsidRPr="006B05F8">
        <w:rPr>
          <w:rFonts w:ascii="Arial" w:hAnsi="Arial" w:cs="Arial"/>
          <w:sz w:val="24"/>
          <w:szCs w:val="24"/>
          <w:lang w:val="en-US"/>
        </w:rPr>
        <w:t xml:space="preserve">. Available at: </w:t>
      </w:r>
      <w:hyperlink r:id="rId9" w:history="1">
        <w:r w:rsidRPr="006B05F8">
          <w:rPr>
            <w:rFonts w:ascii="Arial" w:hAnsi="Arial" w:cs="Arial"/>
            <w:sz w:val="24"/>
            <w:szCs w:val="24"/>
            <w:lang w:val="en-US"/>
          </w:rPr>
          <w:t>https://manufacturingdigital.com/articles/manufacturing-has-the-highest-staff-tenure-in-the-uk</w:t>
        </w:r>
      </w:hyperlink>
      <w:r w:rsidRPr="006B05F8">
        <w:rPr>
          <w:rFonts w:ascii="Arial" w:hAnsi="Arial" w:cs="Arial"/>
          <w:sz w:val="24"/>
          <w:szCs w:val="24"/>
          <w:lang w:val="en-US"/>
        </w:rPr>
        <w:t xml:space="preserve"> (Accessed: 10 February 2026).</w:t>
      </w:r>
    </w:p>
    <w:p w14:paraId="0AE6864A"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(2021) </w:t>
      </w:r>
      <w:r w:rsidRPr="006B05F8">
        <w:rPr>
          <w:rFonts w:ascii="Arial" w:hAnsi="Arial" w:cs="Arial"/>
          <w:i/>
          <w:iCs/>
          <w:sz w:val="24"/>
          <w:szCs w:val="24"/>
          <w:lang w:val="en-US"/>
        </w:rPr>
        <w:t>Health and Wellbeing at Work 2021</w:t>
      </w:r>
      <w:r w:rsidRPr="006B05F8">
        <w:rPr>
          <w:rFonts w:ascii="Arial" w:hAnsi="Arial" w:cs="Arial"/>
          <w:sz w:val="24"/>
          <w:szCs w:val="24"/>
          <w:lang w:val="en-US"/>
        </w:rPr>
        <w:t xml:space="preserve">. Available at: </w:t>
      </w:r>
      <w:hyperlink r:id="rId10" w:history="1">
        <w:r w:rsidRPr="006B05F8">
          <w:rPr>
            <w:rFonts w:ascii="Arial" w:hAnsi="Arial" w:cs="Arial"/>
            <w:sz w:val="24"/>
            <w:szCs w:val="24"/>
            <w:lang w:val="en-US"/>
          </w:rPr>
          <w:t>https://www.cipd.org/globalassets/media/comms/news/qqqhealth-wellbeing-work-report-2021_tcm18-93541.pdf</w:t>
        </w:r>
      </w:hyperlink>
      <w:r w:rsidRPr="006B05F8">
        <w:rPr>
          <w:rFonts w:ascii="Arial" w:hAnsi="Arial" w:cs="Arial"/>
          <w:sz w:val="24"/>
          <w:szCs w:val="24"/>
          <w:lang w:val="en-US"/>
        </w:rPr>
        <w:t xml:space="preserve"> (Accessed: 10 February 2026).</w:t>
      </w:r>
    </w:p>
    <w:p w14:paraId="48BA8DB7"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(2022) </w:t>
      </w:r>
      <w:r w:rsidRPr="006B05F8">
        <w:rPr>
          <w:rFonts w:ascii="Arial" w:hAnsi="Arial" w:cs="Arial"/>
          <w:i/>
          <w:iCs/>
          <w:sz w:val="24"/>
          <w:szCs w:val="24"/>
          <w:lang w:val="en-US"/>
        </w:rPr>
        <w:t>Incentives and Recognition: An Evidence Review</w:t>
      </w:r>
      <w:r w:rsidRPr="006B05F8">
        <w:rPr>
          <w:rFonts w:ascii="Arial" w:hAnsi="Arial" w:cs="Arial"/>
          <w:sz w:val="24"/>
          <w:szCs w:val="24"/>
          <w:lang w:val="en-US"/>
        </w:rPr>
        <w:t xml:space="preserve">. CIPD. Available at: </w:t>
      </w:r>
      <w:hyperlink r:id="rId11" w:history="1">
        <w:r w:rsidRPr="006B05F8">
          <w:rPr>
            <w:rFonts w:ascii="Arial" w:hAnsi="Arial" w:cs="Arial"/>
            <w:sz w:val="24"/>
            <w:szCs w:val="24"/>
            <w:lang w:val="en-US"/>
          </w:rPr>
          <w:t>https://www.cipd.org/globalassets/media/knowledge/knowledge-hub/evidence-reviews/incentives-recognition-practice-summary_tcm18-105466.pdf</w:t>
        </w:r>
      </w:hyperlink>
      <w:r w:rsidRPr="006B05F8">
        <w:rPr>
          <w:rFonts w:ascii="Arial" w:hAnsi="Arial" w:cs="Arial"/>
          <w:sz w:val="24"/>
          <w:szCs w:val="24"/>
          <w:lang w:val="en-US"/>
        </w:rPr>
        <w:t xml:space="preserve"> (Accessed: 7 February 2026).</w:t>
      </w:r>
    </w:p>
    <w:p w14:paraId="37DB6E3D"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(2024a) </w:t>
      </w:r>
      <w:r w:rsidRPr="006B05F8">
        <w:rPr>
          <w:rFonts w:ascii="Arial" w:hAnsi="Arial" w:cs="Arial"/>
          <w:i/>
          <w:iCs/>
          <w:sz w:val="24"/>
          <w:szCs w:val="24"/>
          <w:lang w:val="en-US"/>
        </w:rPr>
        <w:t>CIPD | Stress and wellbeing: UK employment law</w:t>
      </w:r>
      <w:r w:rsidRPr="006B05F8">
        <w:rPr>
          <w:rFonts w:ascii="Arial" w:hAnsi="Arial" w:cs="Arial"/>
          <w:sz w:val="24"/>
          <w:szCs w:val="24"/>
          <w:lang w:val="en-US"/>
        </w:rPr>
        <w:t xml:space="preserve">. Available at: </w:t>
      </w:r>
      <w:hyperlink r:id="rId12" w:history="1">
        <w:r w:rsidRPr="006B05F8">
          <w:rPr>
            <w:rFonts w:ascii="Arial" w:hAnsi="Arial" w:cs="Arial"/>
            <w:sz w:val="24"/>
            <w:szCs w:val="24"/>
            <w:lang w:val="en-US"/>
          </w:rPr>
          <w:t>https://www.cipd.org/uk/knowledge/employment-law/wellbeing-stress/</w:t>
        </w:r>
      </w:hyperlink>
      <w:r w:rsidRPr="006B05F8">
        <w:rPr>
          <w:rFonts w:ascii="Arial" w:hAnsi="Arial" w:cs="Arial"/>
          <w:sz w:val="24"/>
          <w:szCs w:val="24"/>
          <w:lang w:val="en-US"/>
        </w:rPr>
        <w:t xml:space="preserve"> (Accessed: 10 February 2026).</w:t>
      </w:r>
    </w:p>
    <w:p w14:paraId="7820DBF2"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(2024b) </w:t>
      </w:r>
      <w:r w:rsidRPr="006B05F8">
        <w:rPr>
          <w:rFonts w:ascii="Arial" w:hAnsi="Arial" w:cs="Arial"/>
          <w:i/>
          <w:iCs/>
          <w:sz w:val="24"/>
          <w:szCs w:val="24"/>
          <w:lang w:val="en-US"/>
        </w:rPr>
        <w:t>Organisational Climate and Culture</w:t>
      </w:r>
      <w:r w:rsidRPr="006B05F8">
        <w:rPr>
          <w:rFonts w:ascii="Arial" w:hAnsi="Arial" w:cs="Arial"/>
          <w:sz w:val="24"/>
          <w:szCs w:val="24"/>
          <w:lang w:val="en-US"/>
        </w:rPr>
        <w:t xml:space="preserve">. Available at: </w:t>
      </w:r>
      <w:hyperlink r:id="rId13" w:history="1">
        <w:r w:rsidRPr="006B05F8">
          <w:rPr>
            <w:rFonts w:ascii="Arial" w:hAnsi="Arial" w:cs="Arial"/>
            <w:sz w:val="24"/>
            <w:szCs w:val="24"/>
            <w:lang w:val="en-US"/>
          </w:rPr>
          <w:t>https://www.cipd.org/uk/knowledge/factsheets/organisation-culture-change-factsheet/</w:t>
        </w:r>
      </w:hyperlink>
      <w:r w:rsidRPr="006B05F8">
        <w:rPr>
          <w:rFonts w:ascii="Arial" w:hAnsi="Arial" w:cs="Arial"/>
          <w:sz w:val="24"/>
          <w:szCs w:val="24"/>
          <w:lang w:val="en-US"/>
        </w:rPr>
        <w:t xml:space="preserve"> (Accessed: 17 January 2026).</w:t>
      </w:r>
    </w:p>
    <w:p w14:paraId="1FA2BF30"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(2024c) </w:t>
      </w:r>
      <w:r w:rsidRPr="006B05F8">
        <w:rPr>
          <w:rFonts w:ascii="Arial" w:hAnsi="Arial" w:cs="Arial"/>
          <w:i/>
          <w:iCs/>
          <w:sz w:val="24"/>
          <w:szCs w:val="24"/>
          <w:lang w:val="en-US"/>
        </w:rPr>
        <w:t>Wellbeing at Work</w:t>
      </w:r>
      <w:r w:rsidRPr="006B05F8">
        <w:rPr>
          <w:rFonts w:ascii="Arial" w:hAnsi="Arial" w:cs="Arial"/>
          <w:sz w:val="24"/>
          <w:szCs w:val="24"/>
          <w:lang w:val="en-US"/>
        </w:rPr>
        <w:t xml:space="preserve">. Available at: </w:t>
      </w:r>
      <w:hyperlink r:id="rId14" w:history="1">
        <w:r w:rsidRPr="006B05F8">
          <w:rPr>
            <w:rFonts w:ascii="Arial" w:hAnsi="Arial" w:cs="Arial"/>
            <w:sz w:val="24"/>
            <w:szCs w:val="24"/>
            <w:lang w:val="en-US"/>
          </w:rPr>
          <w:t>https://www.cipd.org/uk/knowledge/factsheets/well-being-factsheet/#what-is-</w:t>
        </w:r>
        <w:r w:rsidRPr="006B05F8">
          <w:rPr>
            <w:rFonts w:ascii="Arial" w:hAnsi="Arial" w:cs="Arial"/>
            <w:sz w:val="24"/>
            <w:szCs w:val="24"/>
            <w:lang w:val="en-US"/>
          </w:rPr>
          <w:lastRenderedPageBreak/>
          <w:t>wellbeing-at-work</w:t>
        </w:r>
      </w:hyperlink>
      <w:r w:rsidRPr="006B05F8">
        <w:rPr>
          <w:rFonts w:ascii="Arial" w:hAnsi="Arial" w:cs="Arial"/>
          <w:sz w:val="24"/>
          <w:szCs w:val="24"/>
          <w:lang w:val="en-US"/>
        </w:rPr>
        <w:t xml:space="preserve"> (Accessed: 12 February 2026).</w:t>
      </w:r>
    </w:p>
    <w:p w14:paraId="418D5A0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(2024d) </w:t>
      </w:r>
      <w:r w:rsidRPr="006B05F8">
        <w:rPr>
          <w:rFonts w:ascii="Arial" w:hAnsi="Arial" w:cs="Arial"/>
          <w:i/>
          <w:iCs/>
          <w:sz w:val="24"/>
          <w:szCs w:val="24"/>
          <w:lang w:val="en-US"/>
        </w:rPr>
        <w:t>Management Development Factsheets</w:t>
      </w:r>
      <w:r w:rsidRPr="006B05F8">
        <w:rPr>
          <w:rFonts w:ascii="Arial" w:hAnsi="Arial" w:cs="Arial"/>
          <w:sz w:val="24"/>
          <w:szCs w:val="24"/>
          <w:lang w:val="en-US"/>
        </w:rPr>
        <w:t xml:space="preserve">. Available at: https://www.cipd.org/uk/knowledge/factsheets/management-factsheet/ (Accessed: 14 February 2026). </w:t>
      </w:r>
    </w:p>
    <w:p w14:paraId="66C44E61"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(2025a) </w:t>
      </w:r>
      <w:r w:rsidRPr="006B05F8">
        <w:rPr>
          <w:rFonts w:ascii="Arial" w:hAnsi="Arial" w:cs="Arial"/>
          <w:i/>
          <w:iCs/>
          <w:sz w:val="24"/>
          <w:szCs w:val="24"/>
          <w:lang w:val="en-US"/>
        </w:rPr>
        <w:t>CIPD Good Work Index 2025</w:t>
      </w:r>
      <w:r w:rsidRPr="006B05F8">
        <w:rPr>
          <w:rFonts w:ascii="Arial" w:hAnsi="Arial" w:cs="Arial"/>
          <w:sz w:val="24"/>
          <w:szCs w:val="24"/>
          <w:lang w:val="en-US"/>
        </w:rPr>
        <w:t xml:space="preserve">. Available at: </w:t>
      </w:r>
      <w:hyperlink r:id="rId15" w:history="1">
        <w:r w:rsidRPr="006B05F8">
          <w:rPr>
            <w:rFonts w:ascii="Arial" w:hAnsi="Arial" w:cs="Arial"/>
            <w:sz w:val="24"/>
            <w:szCs w:val="24"/>
            <w:lang w:val="en-US"/>
          </w:rPr>
          <w:t>https://www.cipd.org/globalassets/media/knowledge/knowledge-hub/reports/2025-pdfs/8868-good-work-index-2025-report-web1.pdf</w:t>
        </w:r>
      </w:hyperlink>
      <w:r w:rsidRPr="006B05F8">
        <w:rPr>
          <w:rFonts w:ascii="Arial" w:hAnsi="Arial" w:cs="Arial"/>
          <w:sz w:val="24"/>
          <w:szCs w:val="24"/>
          <w:lang w:val="en-US"/>
        </w:rPr>
        <w:t xml:space="preserve"> (Accessed: 17 January 2026).</w:t>
      </w:r>
    </w:p>
    <w:p w14:paraId="13FFDF25"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(2025b) </w:t>
      </w:r>
      <w:r w:rsidRPr="006B05F8">
        <w:rPr>
          <w:rFonts w:ascii="Arial" w:hAnsi="Arial" w:cs="Arial"/>
          <w:i/>
          <w:iCs/>
          <w:sz w:val="24"/>
          <w:szCs w:val="24"/>
          <w:lang w:val="en-US"/>
        </w:rPr>
        <w:t>Employee Engagement &amp; Motivation</w:t>
      </w:r>
      <w:r w:rsidRPr="006B05F8">
        <w:rPr>
          <w:rFonts w:ascii="Arial" w:hAnsi="Arial" w:cs="Arial"/>
          <w:sz w:val="24"/>
          <w:szCs w:val="24"/>
          <w:lang w:val="en-US"/>
        </w:rPr>
        <w:t xml:space="preserve">. Available at: </w:t>
      </w:r>
      <w:hyperlink r:id="rId16" w:history="1">
        <w:r w:rsidRPr="006B05F8">
          <w:rPr>
            <w:rFonts w:ascii="Arial" w:hAnsi="Arial" w:cs="Arial"/>
            <w:sz w:val="24"/>
            <w:szCs w:val="24"/>
            <w:lang w:val="en-US"/>
          </w:rPr>
          <w:t>https://www.cipd.org/uk/knowledge/factsheets/engagement-factsheet/</w:t>
        </w:r>
      </w:hyperlink>
      <w:r w:rsidRPr="006B05F8">
        <w:rPr>
          <w:rFonts w:ascii="Arial" w:hAnsi="Arial" w:cs="Arial"/>
          <w:sz w:val="24"/>
          <w:szCs w:val="24"/>
          <w:lang w:val="en-US"/>
        </w:rPr>
        <w:t xml:space="preserve"> (Accessed: 5 February 2026).</w:t>
      </w:r>
    </w:p>
    <w:p w14:paraId="5A20443D"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(2025c) </w:t>
      </w:r>
      <w:r w:rsidRPr="006B05F8">
        <w:rPr>
          <w:rFonts w:ascii="Arial" w:hAnsi="Arial" w:cs="Arial"/>
          <w:i/>
          <w:iCs/>
          <w:sz w:val="24"/>
          <w:szCs w:val="24"/>
          <w:lang w:val="en-US"/>
        </w:rPr>
        <w:t>Employee Voice</w:t>
      </w:r>
      <w:r w:rsidRPr="006B05F8">
        <w:rPr>
          <w:rFonts w:ascii="Arial" w:hAnsi="Arial" w:cs="Arial"/>
          <w:sz w:val="24"/>
          <w:szCs w:val="24"/>
          <w:lang w:val="en-US"/>
        </w:rPr>
        <w:t xml:space="preserve">. Available at: </w:t>
      </w:r>
      <w:hyperlink r:id="rId17" w:history="1">
        <w:r w:rsidRPr="006B05F8">
          <w:rPr>
            <w:rFonts w:ascii="Arial" w:hAnsi="Arial" w:cs="Arial"/>
            <w:sz w:val="24"/>
            <w:szCs w:val="24"/>
            <w:lang w:val="en-US"/>
          </w:rPr>
          <w:t>https://www.cipd.org/uk/knowledge/factsheets/voice-factsheet/</w:t>
        </w:r>
      </w:hyperlink>
      <w:r w:rsidRPr="006B05F8">
        <w:rPr>
          <w:rFonts w:ascii="Arial" w:hAnsi="Arial" w:cs="Arial"/>
          <w:sz w:val="24"/>
          <w:szCs w:val="24"/>
          <w:lang w:val="en-US"/>
        </w:rPr>
        <w:t xml:space="preserve"> (Accessed: 12 February 2026).</w:t>
      </w:r>
    </w:p>
    <w:p w14:paraId="22E6C209"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(2025d) </w:t>
      </w:r>
      <w:r w:rsidRPr="006B05F8">
        <w:rPr>
          <w:rFonts w:ascii="Arial" w:hAnsi="Arial" w:cs="Arial"/>
          <w:i/>
          <w:iCs/>
          <w:sz w:val="24"/>
          <w:szCs w:val="24"/>
          <w:lang w:val="en-US"/>
        </w:rPr>
        <w:t>Health and wellbeing at work</w:t>
      </w:r>
      <w:r w:rsidRPr="006B05F8">
        <w:rPr>
          <w:rFonts w:ascii="Arial" w:hAnsi="Arial" w:cs="Arial"/>
          <w:sz w:val="24"/>
          <w:szCs w:val="24"/>
          <w:lang w:val="en-US"/>
        </w:rPr>
        <w:t xml:space="preserve">. Available at: </w:t>
      </w:r>
      <w:hyperlink r:id="rId18" w:history="1">
        <w:r w:rsidRPr="006B05F8">
          <w:rPr>
            <w:rFonts w:ascii="Arial" w:hAnsi="Arial" w:cs="Arial"/>
            <w:sz w:val="24"/>
            <w:szCs w:val="24"/>
            <w:lang w:val="en-US"/>
          </w:rPr>
          <w:t>https://www.cipd.org/globalassets/media/knowledge/knowledge-hub/reports/2025-pdfs/8920-Health-and-wellbeing-report-2025-/</w:t>
        </w:r>
      </w:hyperlink>
      <w:r w:rsidRPr="006B05F8">
        <w:rPr>
          <w:rFonts w:ascii="Arial" w:hAnsi="Arial" w:cs="Arial"/>
          <w:sz w:val="24"/>
          <w:szCs w:val="24"/>
          <w:lang w:val="en-US"/>
        </w:rPr>
        <w:t xml:space="preserve"> (Accessed: 10 February 2026).</w:t>
      </w:r>
    </w:p>
    <w:p w14:paraId="09AEA000"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(n.d.) </w:t>
      </w:r>
      <w:r w:rsidRPr="006B05F8">
        <w:rPr>
          <w:rFonts w:ascii="Arial" w:hAnsi="Arial" w:cs="Arial"/>
          <w:i/>
          <w:iCs/>
          <w:sz w:val="24"/>
          <w:szCs w:val="24"/>
          <w:lang w:val="en-US"/>
        </w:rPr>
        <w:t>Employee Wellbeing | CIPD Courses</w:t>
      </w:r>
      <w:r w:rsidRPr="006B05F8">
        <w:rPr>
          <w:rFonts w:ascii="Arial" w:hAnsi="Arial" w:cs="Arial"/>
          <w:sz w:val="24"/>
          <w:szCs w:val="24"/>
          <w:lang w:val="en-US"/>
        </w:rPr>
        <w:t xml:space="preserve">. Available at: </w:t>
      </w:r>
      <w:hyperlink r:id="rId19" w:history="1">
        <w:r w:rsidRPr="006B05F8">
          <w:rPr>
            <w:rFonts w:ascii="Arial" w:hAnsi="Arial" w:cs="Arial"/>
            <w:sz w:val="24"/>
            <w:szCs w:val="24"/>
            <w:lang w:val="en-US"/>
          </w:rPr>
          <w:t>https://shop.cipd.org/product?catalog=Employee-Wellbeing#gref</w:t>
        </w:r>
      </w:hyperlink>
      <w:r w:rsidRPr="006B05F8">
        <w:rPr>
          <w:rFonts w:ascii="Arial" w:hAnsi="Arial" w:cs="Arial"/>
          <w:sz w:val="24"/>
          <w:szCs w:val="24"/>
          <w:lang w:val="en-US"/>
        </w:rPr>
        <w:t xml:space="preserve"> (Accessed: 14 February 2026).</w:t>
      </w:r>
    </w:p>
    <w:p w14:paraId="0B3CD37B"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Colquitt, J.A., Conlon, D.E., Wesson, M.J., Porter, C.O.L.H. and Ng, K.Y. (</w:t>
      </w:r>
      <w:proofErr w:type="gramStart"/>
      <w:r w:rsidRPr="006B05F8">
        <w:rPr>
          <w:rFonts w:ascii="Arial" w:hAnsi="Arial" w:cs="Arial"/>
          <w:sz w:val="24"/>
          <w:szCs w:val="24"/>
          <w:lang w:val="en-US"/>
        </w:rPr>
        <w:t>2001) ‘</w:t>
      </w:r>
      <w:proofErr w:type="gramEnd"/>
      <w:r w:rsidRPr="006B05F8">
        <w:rPr>
          <w:rFonts w:ascii="Arial" w:hAnsi="Arial" w:cs="Arial"/>
          <w:sz w:val="24"/>
          <w:szCs w:val="24"/>
          <w:lang w:val="en-US"/>
        </w:rPr>
        <w:t xml:space="preserve">Justice at the millennium: a meta-analytic Review of 25 Years of Organizational Justice research.’ </w:t>
      </w:r>
      <w:r w:rsidRPr="006B05F8">
        <w:rPr>
          <w:rFonts w:ascii="Arial" w:hAnsi="Arial" w:cs="Arial"/>
          <w:i/>
          <w:iCs/>
          <w:sz w:val="24"/>
          <w:szCs w:val="24"/>
          <w:lang w:val="en-US"/>
        </w:rPr>
        <w:t>Journal of Applied Psychology</w:t>
      </w:r>
      <w:r w:rsidRPr="006B05F8">
        <w:rPr>
          <w:rFonts w:ascii="Arial" w:hAnsi="Arial" w:cs="Arial"/>
          <w:sz w:val="24"/>
          <w:szCs w:val="24"/>
          <w:lang w:val="en-US"/>
        </w:rPr>
        <w:t xml:space="preserve"> 86(3), pp. 425–445. </w:t>
      </w:r>
      <w:proofErr w:type="spellStart"/>
      <w:r w:rsidRPr="006B05F8">
        <w:rPr>
          <w:rFonts w:ascii="Arial" w:hAnsi="Arial" w:cs="Arial"/>
          <w:sz w:val="24"/>
          <w:szCs w:val="24"/>
          <w:lang w:val="en-US"/>
        </w:rPr>
        <w:t>doi</w:t>
      </w:r>
      <w:proofErr w:type="spellEnd"/>
      <w:r w:rsidRPr="006B05F8">
        <w:rPr>
          <w:rFonts w:ascii="Arial" w:hAnsi="Arial" w:cs="Arial"/>
          <w:sz w:val="24"/>
          <w:szCs w:val="24"/>
          <w:lang w:val="en-US"/>
        </w:rPr>
        <w:t xml:space="preserve">: </w:t>
      </w:r>
      <w:hyperlink r:id="rId20" w:history="1">
        <w:r w:rsidRPr="006B05F8">
          <w:rPr>
            <w:rFonts w:ascii="Arial" w:hAnsi="Arial" w:cs="Arial"/>
            <w:sz w:val="24"/>
            <w:szCs w:val="24"/>
            <w:lang w:val="en-US"/>
          </w:rPr>
          <w:t>https://doi.org/10.1037/0021-9010.86.3.425</w:t>
        </w:r>
      </w:hyperlink>
      <w:r w:rsidRPr="006B05F8">
        <w:rPr>
          <w:rFonts w:ascii="Arial" w:hAnsi="Arial" w:cs="Arial"/>
          <w:sz w:val="24"/>
          <w:szCs w:val="24"/>
          <w:lang w:val="en-US"/>
        </w:rPr>
        <w:t>.</w:t>
      </w:r>
    </w:p>
    <w:p w14:paraId="3789C0FE"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proofErr w:type="spellStart"/>
      <w:r w:rsidRPr="006B05F8">
        <w:rPr>
          <w:rFonts w:ascii="Arial" w:hAnsi="Arial" w:cs="Arial"/>
          <w:sz w:val="24"/>
          <w:szCs w:val="24"/>
          <w:lang w:val="en-US"/>
        </w:rPr>
        <w:t>Cropanzano</w:t>
      </w:r>
      <w:proofErr w:type="spellEnd"/>
      <w:r w:rsidRPr="006B05F8">
        <w:rPr>
          <w:rFonts w:ascii="Arial" w:hAnsi="Arial" w:cs="Arial"/>
          <w:sz w:val="24"/>
          <w:szCs w:val="24"/>
          <w:lang w:val="en-US"/>
        </w:rPr>
        <w:t>, R. and Mitchell, M.S. (</w:t>
      </w:r>
      <w:proofErr w:type="gramStart"/>
      <w:r w:rsidRPr="006B05F8">
        <w:rPr>
          <w:rFonts w:ascii="Arial" w:hAnsi="Arial" w:cs="Arial"/>
          <w:sz w:val="24"/>
          <w:szCs w:val="24"/>
          <w:lang w:val="en-US"/>
        </w:rPr>
        <w:t>2005) ‘</w:t>
      </w:r>
      <w:proofErr w:type="gramEnd"/>
      <w:r w:rsidRPr="006B05F8">
        <w:rPr>
          <w:rFonts w:ascii="Arial" w:hAnsi="Arial" w:cs="Arial"/>
          <w:sz w:val="24"/>
          <w:szCs w:val="24"/>
          <w:lang w:val="en-US"/>
        </w:rPr>
        <w:t xml:space="preserve">Social Exchange theory: an Interdisciplinary Review’. </w:t>
      </w:r>
      <w:r w:rsidRPr="006B05F8">
        <w:rPr>
          <w:rFonts w:ascii="Arial" w:hAnsi="Arial" w:cs="Arial"/>
          <w:i/>
          <w:iCs/>
          <w:sz w:val="24"/>
          <w:szCs w:val="24"/>
          <w:lang w:val="en-US"/>
        </w:rPr>
        <w:t>Journal of Management</w:t>
      </w:r>
      <w:r w:rsidRPr="006B05F8">
        <w:rPr>
          <w:rFonts w:ascii="Arial" w:hAnsi="Arial" w:cs="Arial"/>
          <w:sz w:val="24"/>
          <w:szCs w:val="24"/>
          <w:lang w:val="en-US"/>
        </w:rPr>
        <w:t xml:space="preserve"> 31(6), pp. 874–900. </w:t>
      </w:r>
      <w:proofErr w:type="spellStart"/>
      <w:r w:rsidRPr="006B05F8">
        <w:rPr>
          <w:rFonts w:ascii="Arial" w:hAnsi="Arial" w:cs="Arial"/>
          <w:sz w:val="24"/>
          <w:szCs w:val="24"/>
          <w:lang w:val="en-US"/>
        </w:rPr>
        <w:t>doi</w:t>
      </w:r>
      <w:proofErr w:type="spellEnd"/>
      <w:r w:rsidRPr="006B05F8">
        <w:rPr>
          <w:rFonts w:ascii="Arial" w:hAnsi="Arial" w:cs="Arial"/>
          <w:sz w:val="24"/>
          <w:szCs w:val="24"/>
          <w:lang w:val="en-US"/>
        </w:rPr>
        <w:t xml:space="preserve">: </w:t>
      </w:r>
      <w:hyperlink r:id="rId21" w:history="1">
        <w:r w:rsidRPr="006B05F8">
          <w:rPr>
            <w:rFonts w:ascii="Arial" w:hAnsi="Arial" w:cs="Arial"/>
            <w:sz w:val="24"/>
            <w:szCs w:val="24"/>
            <w:lang w:val="en-US"/>
          </w:rPr>
          <w:t>https://doi.org/10.1177/0149206305279602</w:t>
        </w:r>
      </w:hyperlink>
      <w:r w:rsidRPr="006B05F8">
        <w:rPr>
          <w:rFonts w:ascii="Arial" w:hAnsi="Arial" w:cs="Arial"/>
          <w:sz w:val="24"/>
          <w:szCs w:val="24"/>
          <w:lang w:val="en-US"/>
        </w:rPr>
        <w:t>.</w:t>
      </w:r>
    </w:p>
    <w:p w14:paraId="3ABDA9AA"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Culture Amp (2025) </w:t>
      </w:r>
      <w:r w:rsidRPr="006B05F8">
        <w:rPr>
          <w:rFonts w:ascii="Arial" w:hAnsi="Arial" w:cs="Arial"/>
          <w:i/>
          <w:iCs/>
          <w:sz w:val="24"/>
          <w:szCs w:val="24"/>
          <w:lang w:val="en-US"/>
        </w:rPr>
        <w:t>Manufacturing July 2025: Culture Amp Insights</w:t>
      </w:r>
      <w:r w:rsidRPr="006B05F8">
        <w:rPr>
          <w:rFonts w:ascii="Arial" w:hAnsi="Arial" w:cs="Arial"/>
          <w:sz w:val="24"/>
          <w:szCs w:val="24"/>
          <w:lang w:val="en-US"/>
        </w:rPr>
        <w:t xml:space="preserve">. Available at: </w:t>
      </w:r>
      <w:hyperlink r:id="rId22" w:history="1">
        <w:r w:rsidRPr="006B05F8">
          <w:rPr>
            <w:rFonts w:ascii="Arial" w:hAnsi="Arial" w:cs="Arial"/>
            <w:sz w:val="24"/>
            <w:szCs w:val="24"/>
            <w:lang w:val="en-US"/>
          </w:rPr>
          <w:t>https://www.cultureamp.com/science/insights/manufacturing</w:t>
        </w:r>
      </w:hyperlink>
      <w:r w:rsidRPr="006B05F8">
        <w:rPr>
          <w:rFonts w:ascii="Arial" w:hAnsi="Arial" w:cs="Arial"/>
          <w:sz w:val="24"/>
          <w:szCs w:val="24"/>
          <w:lang w:val="en-US"/>
        </w:rPr>
        <w:t xml:space="preserve"> (Accessed: 5 February </w:t>
      </w:r>
      <w:r w:rsidRPr="006B05F8">
        <w:rPr>
          <w:rFonts w:ascii="Arial" w:hAnsi="Arial" w:cs="Arial"/>
          <w:sz w:val="24"/>
          <w:szCs w:val="24"/>
          <w:lang w:val="en-US"/>
        </w:rPr>
        <w:lastRenderedPageBreak/>
        <w:t>2026).</w:t>
      </w:r>
    </w:p>
    <w:p w14:paraId="1922ACF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rPr>
        <w:t>Curry, C.W. (2022) </w:t>
      </w:r>
      <w:r w:rsidRPr="006B05F8">
        <w:rPr>
          <w:rFonts w:ascii="Arial" w:hAnsi="Arial" w:cs="Arial"/>
          <w:i/>
          <w:iCs/>
          <w:sz w:val="24"/>
          <w:szCs w:val="24"/>
        </w:rPr>
        <w:t>Nurturing leaders in manufacturing firms requires a bespoke approach</w:t>
      </w:r>
      <w:r w:rsidRPr="006B05F8">
        <w:rPr>
          <w:rFonts w:ascii="Arial" w:hAnsi="Arial" w:cs="Arial"/>
          <w:sz w:val="24"/>
          <w:szCs w:val="24"/>
        </w:rPr>
        <w:t>. Available at: https://www.peoplemanagement.co.uk/article/1745926/nurturing-leaders-manufacturing-firms-requires-bespoke-approach (Accessed: 15 February 2026).</w:t>
      </w:r>
    </w:p>
    <w:p w14:paraId="62530B4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Edmondson, A. (</w:t>
      </w:r>
      <w:proofErr w:type="gramStart"/>
      <w:r w:rsidRPr="006B05F8">
        <w:rPr>
          <w:rFonts w:ascii="Arial" w:hAnsi="Arial" w:cs="Arial"/>
          <w:sz w:val="24"/>
          <w:szCs w:val="24"/>
          <w:lang w:val="en-US"/>
        </w:rPr>
        <w:t>1999) ‘</w:t>
      </w:r>
      <w:proofErr w:type="gramEnd"/>
      <w:r w:rsidRPr="006B05F8">
        <w:rPr>
          <w:rFonts w:ascii="Arial" w:hAnsi="Arial" w:cs="Arial"/>
          <w:sz w:val="24"/>
          <w:szCs w:val="24"/>
          <w:lang w:val="en-US"/>
        </w:rPr>
        <w:t xml:space="preserve">Psychological Safety and Learning Behavior in Work Teams’. </w:t>
      </w:r>
      <w:r w:rsidRPr="006B05F8">
        <w:rPr>
          <w:rFonts w:ascii="Arial" w:hAnsi="Arial" w:cs="Arial"/>
          <w:i/>
          <w:iCs/>
          <w:sz w:val="24"/>
          <w:szCs w:val="24"/>
          <w:lang w:val="en-US"/>
        </w:rPr>
        <w:t>Administrative Science Quarterly</w:t>
      </w:r>
      <w:r w:rsidRPr="006B05F8">
        <w:rPr>
          <w:rFonts w:ascii="Arial" w:hAnsi="Arial" w:cs="Arial"/>
          <w:sz w:val="24"/>
          <w:szCs w:val="24"/>
          <w:lang w:val="en-US"/>
        </w:rPr>
        <w:t xml:space="preserve"> 44(2), pp. 350–383. </w:t>
      </w:r>
      <w:proofErr w:type="spellStart"/>
      <w:r w:rsidRPr="006B05F8">
        <w:rPr>
          <w:rFonts w:ascii="Arial" w:hAnsi="Arial" w:cs="Arial"/>
          <w:sz w:val="24"/>
          <w:szCs w:val="24"/>
          <w:lang w:val="en-US"/>
        </w:rPr>
        <w:t>doi</w:t>
      </w:r>
      <w:proofErr w:type="spellEnd"/>
      <w:r w:rsidRPr="006B05F8">
        <w:rPr>
          <w:rFonts w:ascii="Arial" w:hAnsi="Arial" w:cs="Arial"/>
          <w:sz w:val="24"/>
          <w:szCs w:val="24"/>
          <w:lang w:val="en-US"/>
        </w:rPr>
        <w:t xml:space="preserve">: </w:t>
      </w:r>
      <w:hyperlink r:id="rId23" w:history="1">
        <w:r w:rsidRPr="006B05F8">
          <w:rPr>
            <w:rFonts w:ascii="Arial" w:hAnsi="Arial" w:cs="Arial"/>
            <w:sz w:val="24"/>
            <w:szCs w:val="24"/>
            <w:lang w:val="en-US"/>
          </w:rPr>
          <w:t>https://doi.org/10.2307/2666999</w:t>
        </w:r>
      </w:hyperlink>
      <w:r w:rsidRPr="006B05F8">
        <w:rPr>
          <w:rFonts w:ascii="Arial" w:hAnsi="Arial" w:cs="Arial"/>
          <w:sz w:val="24"/>
          <w:szCs w:val="24"/>
          <w:lang w:val="en-US"/>
        </w:rPr>
        <w:t>.</w:t>
      </w:r>
    </w:p>
    <w:p w14:paraId="26E554F4"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rPr>
        <w:t>GOV.UK (2024) </w:t>
      </w:r>
      <w:r w:rsidRPr="006B05F8">
        <w:rPr>
          <w:rFonts w:ascii="Arial" w:hAnsi="Arial" w:cs="Arial"/>
          <w:i/>
          <w:iCs/>
          <w:sz w:val="24"/>
          <w:szCs w:val="24"/>
        </w:rPr>
        <w:t>Flexible working</w:t>
      </w:r>
      <w:r w:rsidRPr="006B05F8">
        <w:rPr>
          <w:rFonts w:ascii="Arial" w:hAnsi="Arial" w:cs="Arial"/>
          <w:sz w:val="24"/>
          <w:szCs w:val="24"/>
        </w:rPr>
        <w:t>. Available at: https://www.gov.uk/flexible-working/applying-for-flexible-working (Accessed: 15 February 2026).</w:t>
      </w:r>
    </w:p>
    <w:p w14:paraId="46F8CF29" w14:textId="77777777" w:rsidR="004313B1" w:rsidRPr="006B05F8" w:rsidRDefault="004313B1" w:rsidP="004313B1">
      <w:pPr>
        <w:spacing w:after="200"/>
        <w:jc w:val="both"/>
        <w:rPr>
          <w:rFonts w:ascii="Arial" w:hAnsi="Arial" w:cs="Arial"/>
          <w:color w:val="000000"/>
          <w:sz w:val="24"/>
          <w:szCs w:val="24"/>
        </w:rPr>
      </w:pPr>
      <w:r w:rsidRPr="006B05F8">
        <w:rPr>
          <w:rFonts w:ascii="Arial" w:hAnsi="Arial" w:cs="Arial"/>
          <w:color w:val="000000"/>
          <w:sz w:val="24"/>
          <w:szCs w:val="24"/>
        </w:rPr>
        <w:t>Hancock, A.J. (2023) “The Role of Line Managers in Promoting and Protecting Employee Well-Being,” in </w:t>
      </w:r>
      <w:r w:rsidRPr="006B05F8">
        <w:rPr>
          <w:rFonts w:ascii="Arial" w:hAnsi="Arial" w:cs="Arial"/>
          <w:i/>
          <w:iCs/>
          <w:color w:val="000000"/>
          <w:sz w:val="24"/>
          <w:szCs w:val="24"/>
        </w:rPr>
        <w:t>Organizational Stress and Well-Being</w:t>
      </w:r>
      <w:r w:rsidRPr="006B05F8">
        <w:rPr>
          <w:rFonts w:ascii="Arial" w:hAnsi="Arial" w:cs="Arial"/>
          <w:color w:val="000000"/>
          <w:sz w:val="24"/>
          <w:szCs w:val="24"/>
        </w:rPr>
        <w:t xml:space="preserve">, pp. 123–152. Available at: </w:t>
      </w:r>
      <w:hyperlink r:id="rId24" w:history="1">
        <w:r w:rsidRPr="006B05F8">
          <w:rPr>
            <w:rStyle w:val="Hyperlink"/>
            <w:rFonts w:ascii="Arial" w:hAnsi="Arial" w:cs="Arial"/>
            <w:sz w:val="24"/>
            <w:szCs w:val="24"/>
          </w:rPr>
          <w:t>https://doi.org/10.1017/9781009268332.008</w:t>
        </w:r>
      </w:hyperlink>
      <w:r w:rsidRPr="006B05F8">
        <w:rPr>
          <w:rFonts w:ascii="Arial" w:hAnsi="Arial" w:cs="Arial"/>
          <w:color w:val="000000"/>
          <w:sz w:val="24"/>
          <w:szCs w:val="24"/>
        </w:rPr>
        <w:t xml:space="preserve">. </w:t>
      </w:r>
    </w:p>
    <w:p w14:paraId="52302C6A"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Handy, C.B. (1993) </w:t>
      </w:r>
      <w:r w:rsidRPr="006B05F8">
        <w:rPr>
          <w:rFonts w:ascii="Arial" w:hAnsi="Arial" w:cs="Arial"/>
          <w:i/>
          <w:iCs/>
          <w:sz w:val="24"/>
          <w:szCs w:val="24"/>
          <w:lang w:val="en-US"/>
        </w:rPr>
        <w:t>Understanding organizations.</w:t>
      </w:r>
      <w:r w:rsidRPr="006B05F8">
        <w:rPr>
          <w:rFonts w:ascii="Arial" w:hAnsi="Arial" w:cs="Arial"/>
          <w:sz w:val="24"/>
          <w:szCs w:val="24"/>
          <w:lang w:val="en-US"/>
        </w:rPr>
        <w:t xml:space="preserve"> 4th </w:t>
      </w:r>
      <w:proofErr w:type="spellStart"/>
      <w:proofErr w:type="gramStart"/>
      <w:r w:rsidRPr="006B05F8">
        <w:rPr>
          <w:rFonts w:ascii="Arial" w:hAnsi="Arial" w:cs="Arial"/>
          <w:sz w:val="24"/>
          <w:szCs w:val="24"/>
          <w:lang w:val="en-US"/>
        </w:rPr>
        <w:t>edn</w:t>
      </w:r>
      <w:proofErr w:type="spellEnd"/>
      <w:proofErr w:type="gramEnd"/>
      <w:r w:rsidRPr="006B05F8">
        <w:rPr>
          <w:rFonts w:ascii="Arial" w:hAnsi="Arial" w:cs="Arial"/>
          <w:sz w:val="24"/>
          <w:szCs w:val="24"/>
          <w:lang w:val="en-US"/>
        </w:rPr>
        <w:t>. London: Penguin.</w:t>
      </w:r>
    </w:p>
    <w:p w14:paraId="1D24B427"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rPr>
        <w:t>Howlett, E. (2020) </w:t>
      </w:r>
      <w:r w:rsidRPr="006B05F8">
        <w:rPr>
          <w:rFonts w:ascii="Arial" w:hAnsi="Arial" w:cs="Arial"/>
          <w:i/>
          <w:iCs/>
          <w:sz w:val="24"/>
          <w:szCs w:val="24"/>
        </w:rPr>
        <w:t>How to get onboarding right</w:t>
      </w:r>
      <w:r w:rsidRPr="006B05F8">
        <w:rPr>
          <w:rFonts w:ascii="Arial" w:hAnsi="Arial" w:cs="Arial"/>
          <w:sz w:val="24"/>
          <w:szCs w:val="24"/>
        </w:rPr>
        <w:t>. Available at: https://www.peoplemanagement.co.uk/article/1742140/how-get-onboarding-right (Accessed: 15 February 2026).</w:t>
      </w:r>
    </w:p>
    <w:p w14:paraId="24200740" w14:textId="77777777" w:rsidR="004313B1" w:rsidRPr="006B05F8" w:rsidRDefault="004313B1" w:rsidP="004313B1">
      <w:pPr>
        <w:spacing w:after="200"/>
        <w:jc w:val="both"/>
        <w:rPr>
          <w:rFonts w:ascii="Arial" w:hAnsi="Arial" w:cs="Arial"/>
          <w:color w:val="000000"/>
          <w:sz w:val="24"/>
          <w:szCs w:val="24"/>
        </w:rPr>
      </w:pPr>
      <w:r w:rsidRPr="006B05F8">
        <w:rPr>
          <w:rFonts w:ascii="Arial" w:hAnsi="Arial" w:cs="Arial"/>
          <w:color w:val="000000"/>
          <w:sz w:val="24"/>
          <w:szCs w:val="24"/>
        </w:rPr>
        <w:t xml:space="preserve">Kelliher, C. and Anderson, D. (2010) ‘Doing More with less? Flexible Working Practices and the Intensification of Work’. Human Relations 63(1), pp. 83–106. </w:t>
      </w:r>
      <w:proofErr w:type="spellStart"/>
      <w:r w:rsidRPr="006B05F8">
        <w:rPr>
          <w:rFonts w:ascii="Arial" w:hAnsi="Arial" w:cs="Arial"/>
          <w:color w:val="000000"/>
          <w:sz w:val="24"/>
          <w:szCs w:val="24"/>
        </w:rPr>
        <w:t>doi</w:t>
      </w:r>
      <w:proofErr w:type="spellEnd"/>
      <w:r w:rsidRPr="006B05F8">
        <w:rPr>
          <w:rFonts w:ascii="Arial" w:hAnsi="Arial" w:cs="Arial"/>
          <w:color w:val="000000"/>
          <w:sz w:val="24"/>
          <w:szCs w:val="24"/>
        </w:rPr>
        <w:t>: https://doi.org/10.1177/0018726709349199.</w:t>
      </w:r>
    </w:p>
    <w:p w14:paraId="7BC2D5DF" w14:textId="77777777" w:rsidR="004313B1" w:rsidRPr="006B05F8" w:rsidRDefault="004313B1" w:rsidP="004313B1">
      <w:pPr>
        <w:spacing w:after="200"/>
        <w:jc w:val="both"/>
        <w:rPr>
          <w:rFonts w:ascii="Arial" w:hAnsi="Arial" w:cs="Arial"/>
          <w:color w:val="000000"/>
          <w:sz w:val="24"/>
          <w:szCs w:val="24"/>
        </w:rPr>
      </w:pPr>
      <w:r w:rsidRPr="006B05F8">
        <w:rPr>
          <w:rFonts w:ascii="Arial" w:hAnsi="Arial" w:cs="Arial"/>
          <w:color w:val="000000"/>
          <w:sz w:val="24"/>
          <w:szCs w:val="24"/>
        </w:rPr>
        <w:t xml:space="preserve">Morrison, E.W. (2011) “Employee Voice </w:t>
      </w:r>
      <w:proofErr w:type="spellStart"/>
      <w:r w:rsidRPr="006B05F8">
        <w:rPr>
          <w:rFonts w:ascii="Arial" w:hAnsi="Arial" w:cs="Arial"/>
          <w:color w:val="000000"/>
          <w:sz w:val="24"/>
          <w:szCs w:val="24"/>
        </w:rPr>
        <w:t>Behavior</w:t>
      </w:r>
      <w:proofErr w:type="spellEnd"/>
      <w:r w:rsidRPr="006B05F8">
        <w:rPr>
          <w:rFonts w:ascii="Arial" w:hAnsi="Arial" w:cs="Arial"/>
          <w:color w:val="000000"/>
          <w:sz w:val="24"/>
          <w:szCs w:val="24"/>
        </w:rPr>
        <w:t>: Integration and Directions for Future Research,” </w:t>
      </w:r>
      <w:r w:rsidRPr="006B05F8">
        <w:rPr>
          <w:rFonts w:ascii="Arial" w:hAnsi="Arial" w:cs="Arial"/>
          <w:i/>
          <w:iCs/>
          <w:color w:val="000000"/>
          <w:sz w:val="24"/>
          <w:szCs w:val="24"/>
        </w:rPr>
        <w:t>The Academy of Management annals</w:t>
      </w:r>
      <w:r w:rsidRPr="006B05F8">
        <w:rPr>
          <w:rFonts w:ascii="Arial" w:hAnsi="Arial" w:cs="Arial"/>
          <w:color w:val="000000"/>
          <w:sz w:val="24"/>
          <w:szCs w:val="24"/>
        </w:rPr>
        <w:t xml:space="preserve">, 5(1), pp. 373–412. Available at: </w:t>
      </w:r>
      <w:hyperlink r:id="rId25" w:history="1">
        <w:r w:rsidRPr="006B05F8">
          <w:rPr>
            <w:rStyle w:val="Hyperlink"/>
            <w:rFonts w:ascii="Arial" w:hAnsi="Arial" w:cs="Arial"/>
            <w:sz w:val="24"/>
            <w:szCs w:val="24"/>
          </w:rPr>
          <w:t>https://doi.org/10.1080/19416520.2011.574506</w:t>
        </w:r>
      </w:hyperlink>
      <w:r w:rsidRPr="006B05F8">
        <w:rPr>
          <w:rFonts w:ascii="Arial" w:hAnsi="Arial" w:cs="Arial"/>
          <w:color w:val="000000"/>
          <w:sz w:val="24"/>
          <w:szCs w:val="24"/>
        </w:rPr>
        <w:t>.</w:t>
      </w:r>
    </w:p>
    <w:p w14:paraId="7C93D1FB"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Mosquera, P. and Soares, M.E. (2025) ‘Onboarding: a key to employee retention and workplace well-being’. </w:t>
      </w:r>
      <w:r w:rsidRPr="006B05F8">
        <w:rPr>
          <w:rFonts w:ascii="Arial" w:hAnsi="Arial" w:cs="Arial"/>
          <w:i/>
          <w:iCs/>
          <w:sz w:val="24"/>
          <w:szCs w:val="24"/>
          <w:lang w:val="en-US"/>
        </w:rPr>
        <w:t>Review of Managerial Science</w:t>
      </w:r>
      <w:r w:rsidRPr="006B05F8">
        <w:rPr>
          <w:rFonts w:ascii="Arial" w:hAnsi="Arial" w:cs="Arial"/>
          <w:sz w:val="24"/>
          <w:szCs w:val="24"/>
          <w:lang w:val="en-US"/>
        </w:rPr>
        <w:t xml:space="preserve"> 1(1). Available at: </w:t>
      </w:r>
      <w:hyperlink r:id="rId26" w:history="1">
        <w:r w:rsidRPr="006B05F8">
          <w:rPr>
            <w:rFonts w:ascii="Arial" w:hAnsi="Arial" w:cs="Arial"/>
            <w:sz w:val="24"/>
            <w:szCs w:val="24"/>
            <w:lang w:val="en-US"/>
          </w:rPr>
          <w:t>https://link.springer.com/article/10.1007/s11846-025-00864-3</w:t>
        </w:r>
      </w:hyperlink>
      <w:r w:rsidRPr="006B05F8">
        <w:rPr>
          <w:rFonts w:ascii="Arial" w:hAnsi="Arial" w:cs="Arial"/>
          <w:sz w:val="24"/>
          <w:szCs w:val="24"/>
          <w:lang w:val="en-US"/>
        </w:rPr>
        <w:t>.</w:t>
      </w:r>
    </w:p>
    <w:p w14:paraId="4DEB81B2"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Nea, F.M., </w:t>
      </w:r>
      <w:proofErr w:type="spellStart"/>
      <w:r w:rsidRPr="006B05F8">
        <w:rPr>
          <w:rFonts w:ascii="Arial" w:hAnsi="Arial" w:cs="Arial"/>
          <w:sz w:val="24"/>
          <w:szCs w:val="24"/>
          <w:lang w:val="en-US"/>
        </w:rPr>
        <w:t>Pourshahidi</w:t>
      </w:r>
      <w:proofErr w:type="spellEnd"/>
      <w:r w:rsidRPr="006B05F8">
        <w:rPr>
          <w:rFonts w:ascii="Arial" w:hAnsi="Arial" w:cs="Arial"/>
          <w:sz w:val="24"/>
          <w:szCs w:val="24"/>
          <w:lang w:val="en-US"/>
        </w:rPr>
        <w:t xml:space="preserve">, L.K., Kearney, J.M., Livingstone, M.B.E., Bassul, C. and Corish, C.A. (2018) ‘A qualitative exploration of the shift work experience: the perceived effect on eating habits, lifestyle </w:t>
      </w:r>
      <w:proofErr w:type="spellStart"/>
      <w:r w:rsidRPr="006B05F8">
        <w:rPr>
          <w:rFonts w:ascii="Arial" w:hAnsi="Arial" w:cs="Arial"/>
          <w:sz w:val="24"/>
          <w:szCs w:val="24"/>
          <w:lang w:val="en-US"/>
        </w:rPr>
        <w:t>behaviours</w:t>
      </w:r>
      <w:proofErr w:type="spellEnd"/>
      <w:r w:rsidRPr="006B05F8">
        <w:rPr>
          <w:rFonts w:ascii="Arial" w:hAnsi="Arial" w:cs="Arial"/>
          <w:sz w:val="24"/>
          <w:szCs w:val="24"/>
          <w:lang w:val="en-US"/>
        </w:rPr>
        <w:t xml:space="preserve"> and psychosocial wellbeing’. </w:t>
      </w:r>
      <w:r w:rsidRPr="006B05F8">
        <w:rPr>
          <w:rFonts w:ascii="Arial" w:hAnsi="Arial" w:cs="Arial"/>
          <w:i/>
          <w:iCs/>
          <w:sz w:val="24"/>
          <w:szCs w:val="24"/>
          <w:lang w:val="en-US"/>
        </w:rPr>
        <w:t>Journal of Public Health</w:t>
      </w:r>
      <w:r w:rsidRPr="006B05F8">
        <w:rPr>
          <w:rFonts w:ascii="Arial" w:hAnsi="Arial" w:cs="Arial"/>
          <w:sz w:val="24"/>
          <w:szCs w:val="24"/>
          <w:lang w:val="en-US"/>
        </w:rPr>
        <w:t xml:space="preserve"> 40(4), pp. e482–e492. Available at: </w:t>
      </w:r>
      <w:hyperlink r:id="rId27" w:history="1">
        <w:r w:rsidRPr="006B05F8">
          <w:rPr>
            <w:rFonts w:ascii="Arial" w:hAnsi="Arial" w:cs="Arial"/>
            <w:sz w:val="24"/>
            <w:szCs w:val="24"/>
            <w:lang w:val="en-US"/>
          </w:rPr>
          <w:t>https://academic.oup.com/jpubhealth/article/40/4/e482/4931231</w:t>
        </w:r>
      </w:hyperlink>
      <w:r w:rsidRPr="006B05F8">
        <w:rPr>
          <w:rFonts w:ascii="Arial" w:hAnsi="Arial" w:cs="Arial"/>
          <w:sz w:val="24"/>
          <w:szCs w:val="24"/>
          <w:lang w:val="en-US"/>
        </w:rPr>
        <w:t>.</w:t>
      </w:r>
    </w:p>
    <w:p w14:paraId="5EDB58B6"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lastRenderedPageBreak/>
        <w:t xml:space="preserve">PWC (2024) </w:t>
      </w:r>
      <w:r w:rsidRPr="006B05F8">
        <w:rPr>
          <w:rFonts w:ascii="Arial" w:hAnsi="Arial" w:cs="Arial"/>
          <w:i/>
          <w:iCs/>
          <w:sz w:val="24"/>
          <w:szCs w:val="24"/>
          <w:lang w:val="en-US"/>
        </w:rPr>
        <w:t>When it comes to culture, don’t pretend to be something you’re not</w:t>
      </w:r>
      <w:r w:rsidRPr="006B05F8">
        <w:rPr>
          <w:rFonts w:ascii="Arial" w:hAnsi="Arial" w:cs="Arial"/>
          <w:sz w:val="24"/>
          <w:szCs w:val="24"/>
          <w:lang w:val="en-US"/>
        </w:rPr>
        <w:t xml:space="preserve">. Available at: </w:t>
      </w:r>
      <w:hyperlink r:id="rId28" w:history="1">
        <w:r w:rsidRPr="006B05F8">
          <w:rPr>
            <w:rFonts w:ascii="Arial" w:hAnsi="Arial" w:cs="Arial"/>
            <w:sz w:val="24"/>
            <w:szCs w:val="24"/>
            <w:lang w:val="en-US"/>
          </w:rPr>
          <w:t>https://www.pwc.com/gx/en/issues/workforce/the-value-of-authentic-organizational-culture.html</w:t>
        </w:r>
      </w:hyperlink>
      <w:r w:rsidRPr="006B05F8">
        <w:rPr>
          <w:rFonts w:ascii="Arial" w:hAnsi="Arial" w:cs="Arial"/>
          <w:sz w:val="24"/>
          <w:szCs w:val="24"/>
          <w:lang w:val="en-US"/>
        </w:rPr>
        <w:t xml:space="preserve"> (Accessed: 5 February 2026).</w:t>
      </w:r>
    </w:p>
    <w:p w14:paraId="1FE73029" w14:textId="77777777" w:rsidR="004313B1" w:rsidRPr="006B05F8" w:rsidRDefault="004313B1" w:rsidP="004313B1">
      <w:pPr>
        <w:spacing w:after="200"/>
        <w:jc w:val="both"/>
        <w:rPr>
          <w:rFonts w:ascii="Arial" w:hAnsi="Arial" w:cs="Arial"/>
          <w:color w:val="000000"/>
          <w:sz w:val="24"/>
          <w:szCs w:val="24"/>
        </w:rPr>
      </w:pPr>
      <w:r w:rsidRPr="006B05F8">
        <w:rPr>
          <w:rFonts w:ascii="Arial" w:hAnsi="Arial" w:cs="Arial"/>
          <w:color w:val="000000"/>
          <w:sz w:val="24"/>
          <w:szCs w:val="24"/>
        </w:rPr>
        <w:t>Rousseau, D.M. (2006) “Is there Such a thing as ‘Evidence-Based Management</w:t>
      </w:r>
      <w:proofErr w:type="gramStart"/>
      <w:r w:rsidRPr="006B05F8">
        <w:rPr>
          <w:rFonts w:ascii="Arial" w:hAnsi="Arial" w:cs="Arial"/>
          <w:color w:val="000000"/>
          <w:sz w:val="24"/>
          <w:szCs w:val="24"/>
        </w:rPr>
        <w:t>’?,</w:t>
      </w:r>
      <w:proofErr w:type="gramEnd"/>
      <w:r w:rsidRPr="006B05F8">
        <w:rPr>
          <w:rFonts w:ascii="Arial" w:hAnsi="Arial" w:cs="Arial"/>
          <w:color w:val="000000"/>
          <w:sz w:val="24"/>
          <w:szCs w:val="24"/>
        </w:rPr>
        <w:t xml:space="preserve">” </w:t>
      </w:r>
      <w:r w:rsidRPr="006B05F8">
        <w:rPr>
          <w:rFonts w:ascii="Arial" w:hAnsi="Arial" w:cs="Arial"/>
          <w:i/>
          <w:iCs/>
          <w:color w:val="000000"/>
          <w:sz w:val="24"/>
          <w:szCs w:val="24"/>
        </w:rPr>
        <w:t>The Academy of Management review</w:t>
      </w:r>
      <w:r w:rsidRPr="006B05F8">
        <w:rPr>
          <w:rFonts w:ascii="Arial" w:hAnsi="Arial" w:cs="Arial"/>
          <w:color w:val="000000"/>
          <w:sz w:val="24"/>
          <w:szCs w:val="24"/>
        </w:rPr>
        <w:t xml:space="preserve">, 31(2), pp. 256–269. Available at: </w:t>
      </w:r>
      <w:hyperlink r:id="rId29" w:history="1">
        <w:r w:rsidRPr="006B05F8">
          <w:rPr>
            <w:rStyle w:val="Hyperlink"/>
            <w:rFonts w:ascii="Arial" w:hAnsi="Arial" w:cs="Arial"/>
            <w:sz w:val="24"/>
            <w:szCs w:val="24"/>
          </w:rPr>
          <w:t>https://doi.org/10.5465/amr.2006.20208679</w:t>
        </w:r>
      </w:hyperlink>
      <w:r w:rsidRPr="006B05F8">
        <w:rPr>
          <w:rFonts w:ascii="Arial" w:hAnsi="Arial" w:cs="Arial"/>
          <w:color w:val="000000"/>
          <w:sz w:val="24"/>
          <w:szCs w:val="24"/>
        </w:rPr>
        <w:t>.</w:t>
      </w:r>
    </w:p>
    <w:p w14:paraId="032F59E8" w14:textId="77777777" w:rsidR="004313B1" w:rsidRPr="006B05F8" w:rsidRDefault="004313B1" w:rsidP="004313B1">
      <w:pPr>
        <w:spacing w:line="278" w:lineRule="auto"/>
        <w:rPr>
          <w:rFonts w:ascii="Arial" w:hAnsi="Arial" w:cs="Arial"/>
          <w:kern w:val="2"/>
          <w:sz w:val="24"/>
          <w:szCs w:val="24"/>
        </w:rPr>
      </w:pPr>
      <w:r w:rsidRPr="006B05F8">
        <w:rPr>
          <w:rFonts w:ascii="Arial" w:hAnsi="Arial" w:cs="Arial"/>
          <w:sz w:val="24"/>
          <w:szCs w:val="24"/>
        </w:rPr>
        <w:t xml:space="preserve">Schein, E. H. (2010) </w:t>
      </w:r>
      <w:r w:rsidRPr="006B05F8">
        <w:rPr>
          <w:rFonts w:ascii="Arial" w:hAnsi="Arial" w:cs="Arial"/>
          <w:i/>
          <w:iCs/>
          <w:sz w:val="24"/>
          <w:szCs w:val="24"/>
        </w:rPr>
        <w:t>Organizational culture and leadership</w:t>
      </w:r>
      <w:r w:rsidRPr="006B05F8">
        <w:rPr>
          <w:rFonts w:ascii="Arial" w:hAnsi="Arial" w:cs="Arial"/>
          <w:sz w:val="24"/>
          <w:szCs w:val="24"/>
        </w:rPr>
        <w:t>. 4</w:t>
      </w:r>
      <w:r w:rsidRPr="006B05F8">
        <w:rPr>
          <w:rFonts w:ascii="Arial" w:hAnsi="Arial" w:cs="Arial"/>
          <w:sz w:val="24"/>
          <w:szCs w:val="24"/>
          <w:vertAlign w:val="superscript"/>
        </w:rPr>
        <w:t>th</w:t>
      </w:r>
      <w:r w:rsidRPr="006B05F8">
        <w:rPr>
          <w:rFonts w:ascii="Arial" w:hAnsi="Arial" w:cs="Arial"/>
          <w:sz w:val="24"/>
          <w:szCs w:val="24"/>
        </w:rPr>
        <w:t xml:space="preserve"> </w:t>
      </w:r>
      <w:proofErr w:type="spellStart"/>
      <w:r w:rsidRPr="006B05F8">
        <w:rPr>
          <w:rFonts w:ascii="Arial" w:hAnsi="Arial" w:cs="Arial"/>
          <w:sz w:val="24"/>
          <w:szCs w:val="24"/>
        </w:rPr>
        <w:t>edn</w:t>
      </w:r>
      <w:proofErr w:type="spellEnd"/>
      <w:r w:rsidRPr="006B05F8">
        <w:rPr>
          <w:rFonts w:ascii="Arial" w:hAnsi="Arial" w:cs="Arial"/>
          <w:sz w:val="24"/>
          <w:szCs w:val="24"/>
        </w:rPr>
        <w:t>. Jossey-Bass.</w:t>
      </w:r>
    </w:p>
    <w:p w14:paraId="4A98D7E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Schein, E.H. (1990) ‘Organizational culture’, </w:t>
      </w:r>
      <w:r w:rsidRPr="006B05F8">
        <w:rPr>
          <w:rFonts w:ascii="Arial" w:hAnsi="Arial" w:cs="Arial"/>
          <w:i/>
          <w:iCs/>
          <w:sz w:val="24"/>
          <w:szCs w:val="24"/>
          <w:lang w:val="en-US"/>
        </w:rPr>
        <w:t>American Psychologist</w:t>
      </w:r>
      <w:r w:rsidRPr="006B05F8">
        <w:rPr>
          <w:rFonts w:ascii="Arial" w:hAnsi="Arial" w:cs="Arial"/>
          <w:sz w:val="24"/>
          <w:szCs w:val="24"/>
          <w:lang w:val="en-US"/>
        </w:rPr>
        <w:t xml:space="preserve">, 45(2), pp. 109–119. doi:10.1037/0003-066X.45.2.109. </w:t>
      </w:r>
    </w:p>
    <w:p w14:paraId="64A04CE1"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(2024a) </w:t>
      </w:r>
      <w:r w:rsidRPr="006B05F8">
        <w:rPr>
          <w:rFonts w:ascii="Arial" w:hAnsi="Arial" w:cs="Arial"/>
          <w:i/>
          <w:iCs/>
          <w:sz w:val="24"/>
          <w:szCs w:val="24"/>
          <w:lang w:val="en-US"/>
        </w:rPr>
        <w:t>Integrated Report 2024</w:t>
      </w:r>
      <w:r w:rsidRPr="006B05F8">
        <w:rPr>
          <w:rFonts w:ascii="Arial" w:hAnsi="Arial" w:cs="Arial"/>
          <w:sz w:val="24"/>
          <w:szCs w:val="24"/>
          <w:lang w:val="en-US"/>
        </w:rPr>
        <w:t xml:space="preserve">. Available at: https://www.sofidel.com/wp-content/uploads/2024/05/Integrated_Report_2024_Sofidel_EN-1.pdf (Accessed: 17 January 2026). </w:t>
      </w:r>
    </w:p>
    <w:p w14:paraId="74B243E7"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(2024b) </w:t>
      </w:r>
      <w:r w:rsidRPr="006B05F8">
        <w:rPr>
          <w:rFonts w:ascii="Arial" w:hAnsi="Arial" w:cs="Arial"/>
          <w:i/>
          <w:iCs/>
          <w:sz w:val="24"/>
          <w:szCs w:val="24"/>
          <w:lang w:val="en-US"/>
        </w:rPr>
        <w:t xml:space="preserve">Engagement Survey 2024. </w:t>
      </w:r>
      <w:r w:rsidRPr="006B05F8">
        <w:rPr>
          <w:rFonts w:ascii="Arial" w:hAnsi="Arial" w:cs="Arial"/>
          <w:sz w:val="24"/>
          <w:szCs w:val="24"/>
          <w:lang w:val="en-US"/>
        </w:rPr>
        <w:t xml:space="preserve">Unpublished. </w:t>
      </w:r>
    </w:p>
    <w:p w14:paraId="75E3F1E5"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(2024c) </w:t>
      </w:r>
      <w:r w:rsidRPr="006B05F8">
        <w:rPr>
          <w:rFonts w:ascii="Arial" w:hAnsi="Arial" w:cs="Arial"/>
          <w:i/>
          <w:iCs/>
          <w:sz w:val="24"/>
          <w:szCs w:val="24"/>
          <w:lang w:val="en-US"/>
        </w:rPr>
        <w:t xml:space="preserve">Sofidel Engagement Survey - Action Plans. </w:t>
      </w:r>
      <w:r w:rsidRPr="006B05F8">
        <w:rPr>
          <w:rFonts w:ascii="Arial" w:hAnsi="Arial" w:cs="Arial"/>
          <w:sz w:val="24"/>
          <w:szCs w:val="24"/>
          <w:lang w:val="en-US"/>
        </w:rPr>
        <w:t xml:space="preserve">Unpublished. </w:t>
      </w:r>
    </w:p>
    <w:p w14:paraId="44C3DD7F"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(2025a) </w:t>
      </w:r>
      <w:r w:rsidRPr="006B05F8">
        <w:rPr>
          <w:rFonts w:ascii="Arial" w:hAnsi="Arial" w:cs="Arial"/>
          <w:i/>
          <w:iCs/>
          <w:sz w:val="24"/>
          <w:szCs w:val="24"/>
          <w:lang w:val="en-US"/>
        </w:rPr>
        <w:t xml:space="preserve">The Sofidel Group Code of Ethics. </w:t>
      </w:r>
      <w:r w:rsidRPr="006B05F8">
        <w:rPr>
          <w:rFonts w:ascii="Arial" w:hAnsi="Arial" w:cs="Arial"/>
          <w:sz w:val="24"/>
          <w:szCs w:val="24"/>
          <w:lang w:val="en-US"/>
        </w:rPr>
        <w:t xml:space="preserve">Unpublished. </w:t>
      </w:r>
    </w:p>
    <w:p w14:paraId="29151BFE"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(2025b) </w:t>
      </w:r>
      <w:r w:rsidRPr="006B05F8">
        <w:rPr>
          <w:rFonts w:ascii="Arial" w:hAnsi="Arial" w:cs="Arial"/>
          <w:i/>
          <w:iCs/>
          <w:sz w:val="24"/>
          <w:szCs w:val="24"/>
          <w:lang w:val="en-US"/>
        </w:rPr>
        <w:t xml:space="preserve">Employer branding and retention audit. </w:t>
      </w:r>
      <w:r w:rsidRPr="006B05F8">
        <w:rPr>
          <w:rFonts w:ascii="Arial" w:hAnsi="Arial" w:cs="Arial"/>
          <w:sz w:val="24"/>
          <w:szCs w:val="24"/>
          <w:lang w:val="en-US"/>
        </w:rPr>
        <w:t xml:space="preserve">Unpublished. </w:t>
      </w:r>
    </w:p>
    <w:p w14:paraId="29DFA45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(2025c) </w:t>
      </w:r>
      <w:r w:rsidRPr="006B05F8">
        <w:rPr>
          <w:rFonts w:ascii="Arial" w:hAnsi="Arial" w:cs="Arial"/>
          <w:i/>
          <w:iCs/>
          <w:sz w:val="24"/>
          <w:szCs w:val="24"/>
          <w:lang w:val="en-US"/>
        </w:rPr>
        <w:t xml:space="preserve">End-of-Year Workforce Metrics Report. </w:t>
      </w:r>
      <w:r w:rsidRPr="006B05F8">
        <w:rPr>
          <w:rFonts w:ascii="Arial" w:hAnsi="Arial" w:cs="Arial"/>
          <w:sz w:val="24"/>
          <w:szCs w:val="24"/>
          <w:lang w:val="en-US"/>
        </w:rPr>
        <w:t xml:space="preserve">Unpublished. </w:t>
      </w:r>
    </w:p>
    <w:p w14:paraId="03B12309"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(2025d) </w:t>
      </w:r>
      <w:r w:rsidRPr="006B05F8">
        <w:rPr>
          <w:rFonts w:ascii="Arial" w:hAnsi="Arial" w:cs="Arial"/>
          <w:i/>
          <w:iCs/>
          <w:sz w:val="24"/>
          <w:szCs w:val="24"/>
          <w:lang w:val="en-US"/>
        </w:rPr>
        <w:t>Mental Health and Wellbeing Policy</w:t>
      </w:r>
      <w:r w:rsidRPr="006B05F8">
        <w:rPr>
          <w:rFonts w:ascii="Arial" w:hAnsi="Arial" w:cs="Arial"/>
          <w:sz w:val="24"/>
          <w:szCs w:val="24"/>
          <w:lang w:val="en-US"/>
        </w:rPr>
        <w:t xml:space="preserve">. Unpublished. </w:t>
      </w:r>
    </w:p>
    <w:p w14:paraId="3D99B9EE"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(2025e) </w:t>
      </w:r>
      <w:r w:rsidRPr="006B05F8">
        <w:rPr>
          <w:rFonts w:ascii="Arial" w:hAnsi="Arial" w:cs="Arial"/>
          <w:i/>
          <w:iCs/>
          <w:sz w:val="24"/>
          <w:szCs w:val="24"/>
          <w:lang w:val="en-US"/>
        </w:rPr>
        <w:t xml:space="preserve">Salary Data Report. </w:t>
      </w:r>
      <w:r w:rsidRPr="006B05F8">
        <w:rPr>
          <w:rFonts w:ascii="Arial" w:hAnsi="Arial" w:cs="Arial"/>
          <w:sz w:val="24"/>
          <w:szCs w:val="24"/>
          <w:lang w:val="en-US"/>
        </w:rPr>
        <w:t xml:space="preserve">Unpublished. </w:t>
      </w:r>
    </w:p>
    <w:p w14:paraId="4D7EB900"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(2026a) </w:t>
      </w:r>
      <w:r w:rsidRPr="006B05F8">
        <w:rPr>
          <w:rFonts w:ascii="Arial" w:hAnsi="Arial" w:cs="Arial"/>
          <w:i/>
          <w:iCs/>
          <w:sz w:val="24"/>
          <w:szCs w:val="24"/>
          <w:lang w:val="en-US"/>
        </w:rPr>
        <w:t>Internal HR data: headcount report</w:t>
      </w:r>
      <w:r w:rsidRPr="006B05F8">
        <w:rPr>
          <w:rFonts w:ascii="Arial" w:hAnsi="Arial" w:cs="Arial"/>
          <w:sz w:val="24"/>
          <w:szCs w:val="24"/>
          <w:lang w:val="en-US"/>
        </w:rPr>
        <w:t xml:space="preserve">. Unpublished. </w:t>
      </w:r>
    </w:p>
    <w:p w14:paraId="118C112A"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(2026b) </w:t>
      </w:r>
      <w:r w:rsidRPr="006B05F8">
        <w:rPr>
          <w:rFonts w:ascii="Arial" w:hAnsi="Arial" w:cs="Arial"/>
          <w:i/>
          <w:iCs/>
          <w:sz w:val="24"/>
          <w:szCs w:val="24"/>
          <w:lang w:val="en-US"/>
        </w:rPr>
        <w:t>Internal HR data: Exit Interview report</w:t>
      </w:r>
      <w:r w:rsidRPr="006B05F8">
        <w:rPr>
          <w:rFonts w:ascii="Arial" w:hAnsi="Arial" w:cs="Arial"/>
          <w:sz w:val="24"/>
          <w:szCs w:val="24"/>
          <w:lang w:val="en-US"/>
        </w:rPr>
        <w:t xml:space="preserve">. Unpublished. </w:t>
      </w:r>
    </w:p>
    <w:p w14:paraId="457B3BC5"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Sofidel UK (202</w:t>
      </w:r>
      <w:r w:rsidRPr="006B05F8">
        <w:rPr>
          <w:rFonts w:ascii="Arial" w:hAnsi="Arial" w:cs="Arial"/>
          <w:lang w:val="en-US"/>
        </w:rPr>
        <w:t>6c</w:t>
      </w:r>
      <w:r w:rsidRPr="006B05F8">
        <w:rPr>
          <w:rFonts w:ascii="Arial" w:hAnsi="Arial" w:cs="Arial"/>
          <w:sz w:val="24"/>
          <w:szCs w:val="24"/>
          <w:lang w:val="en-US"/>
        </w:rPr>
        <w:t xml:space="preserve">) </w:t>
      </w:r>
      <w:r w:rsidRPr="006B05F8">
        <w:rPr>
          <w:rFonts w:ascii="Arial" w:hAnsi="Arial" w:cs="Arial"/>
          <w:i/>
          <w:iCs/>
          <w:sz w:val="24"/>
          <w:szCs w:val="24"/>
          <w:lang w:val="en-US"/>
        </w:rPr>
        <w:t xml:space="preserve">HR Training Materials and Administration Cost. </w:t>
      </w:r>
      <w:r w:rsidRPr="006B05F8">
        <w:rPr>
          <w:rFonts w:ascii="Arial" w:hAnsi="Arial" w:cs="Arial"/>
          <w:sz w:val="24"/>
          <w:szCs w:val="24"/>
          <w:lang w:val="en-US"/>
        </w:rPr>
        <w:t xml:space="preserve">Unpublished. </w:t>
      </w:r>
    </w:p>
    <w:p w14:paraId="23B0C14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Sofidel UK (202</w:t>
      </w:r>
      <w:r w:rsidRPr="006B05F8">
        <w:rPr>
          <w:rFonts w:ascii="Arial" w:hAnsi="Arial" w:cs="Arial"/>
          <w:lang w:val="en-US"/>
        </w:rPr>
        <w:t>6d</w:t>
      </w:r>
      <w:r w:rsidRPr="006B05F8">
        <w:rPr>
          <w:rFonts w:ascii="Arial" w:hAnsi="Arial" w:cs="Arial"/>
          <w:sz w:val="24"/>
          <w:szCs w:val="24"/>
          <w:lang w:val="en-US"/>
        </w:rPr>
        <w:t>)</w:t>
      </w:r>
      <w:r w:rsidRPr="006B05F8">
        <w:rPr>
          <w:rFonts w:ascii="Arial" w:hAnsi="Arial" w:cs="Arial"/>
          <w:i/>
          <w:iCs/>
          <w:sz w:val="24"/>
          <w:szCs w:val="24"/>
          <w:lang w:val="en-US"/>
        </w:rPr>
        <w:t xml:space="preserve"> HR Policy Development and Consultation Costing</w:t>
      </w:r>
      <w:r w:rsidRPr="006B05F8">
        <w:rPr>
          <w:rFonts w:ascii="Arial" w:hAnsi="Arial" w:cs="Arial"/>
          <w:sz w:val="24"/>
          <w:szCs w:val="24"/>
          <w:lang w:val="en-US"/>
        </w:rPr>
        <w:t xml:space="preserve">. Unpublished. </w:t>
      </w:r>
    </w:p>
    <w:p w14:paraId="4EF43416"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Sofidel UK (202</w:t>
      </w:r>
      <w:r w:rsidRPr="006B05F8">
        <w:rPr>
          <w:rFonts w:ascii="Arial" w:hAnsi="Arial" w:cs="Arial"/>
          <w:lang w:val="en-US"/>
        </w:rPr>
        <w:t>6e</w:t>
      </w:r>
      <w:r w:rsidRPr="006B05F8">
        <w:rPr>
          <w:rFonts w:ascii="Arial" w:hAnsi="Arial" w:cs="Arial"/>
          <w:sz w:val="24"/>
          <w:szCs w:val="24"/>
          <w:lang w:val="en-US"/>
        </w:rPr>
        <w:t xml:space="preserve">) </w:t>
      </w:r>
      <w:r w:rsidRPr="006B05F8">
        <w:rPr>
          <w:rFonts w:ascii="Arial" w:hAnsi="Arial" w:cs="Arial"/>
          <w:i/>
          <w:iCs/>
          <w:sz w:val="24"/>
          <w:szCs w:val="24"/>
          <w:lang w:val="en-US"/>
        </w:rPr>
        <w:t>Internal Manager Workshop Delivery Cost Estimate</w:t>
      </w:r>
      <w:r w:rsidRPr="006B05F8">
        <w:rPr>
          <w:rFonts w:ascii="Arial" w:hAnsi="Arial" w:cs="Arial"/>
          <w:sz w:val="24"/>
          <w:szCs w:val="24"/>
          <w:lang w:val="en-US"/>
        </w:rPr>
        <w:t xml:space="preserve">. Unpublished. </w:t>
      </w:r>
    </w:p>
    <w:p w14:paraId="097F01AB"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lastRenderedPageBreak/>
        <w:t>Sofidel UK (202</w:t>
      </w:r>
      <w:r w:rsidRPr="006B05F8">
        <w:rPr>
          <w:rFonts w:ascii="Arial" w:hAnsi="Arial" w:cs="Arial"/>
          <w:lang w:val="en-US"/>
        </w:rPr>
        <w:t>6f</w:t>
      </w:r>
      <w:r w:rsidRPr="006B05F8">
        <w:rPr>
          <w:rFonts w:ascii="Arial" w:hAnsi="Arial" w:cs="Arial"/>
          <w:sz w:val="24"/>
          <w:szCs w:val="24"/>
          <w:lang w:val="en-US"/>
        </w:rPr>
        <w:t xml:space="preserve">) </w:t>
      </w:r>
      <w:r w:rsidRPr="006B05F8">
        <w:rPr>
          <w:rFonts w:ascii="Arial" w:hAnsi="Arial" w:cs="Arial"/>
          <w:i/>
          <w:iCs/>
          <w:sz w:val="24"/>
          <w:szCs w:val="24"/>
          <w:lang w:val="en-US"/>
        </w:rPr>
        <w:t>Internal cost estimates for onboarding framework development and materials</w:t>
      </w:r>
      <w:r w:rsidRPr="006B05F8">
        <w:rPr>
          <w:rFonts w:ascii="Arial" w:hAnsi="Arial" w:cs="Arial"/>
          <w:sz w:val="24"/>
          <w:szCs w:val="24"/>
          <w:lang w:val="en-US"/>
        </w:rPr>
        <w:t xml:space="preserve">. Unpublished. </w:t>
      </w:r>
    </w:p>
    <w:p w14:paraId="686FB025"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rPr>
        <w:t>Trice, H.M. and Beyer, J.M. (1984) “Studying Organizational Cultures Through Rites and Ceremonials,” </w:t>
      </w:r>
      <w:r w:rsidRPr="006B05F8">
        <w:rPr>
          <w:rFonts w:ascii="Arial" w:hAnsi="Arial" w:cs="Arial"/>
          <w:i/>
          <w:iCs/>
          <w:sz w:val="24"/>
          <w:szCs w:val="24"/>
        </w:rPr>
        <w:t>The Academy of Management review</w:t>
      </w:r>
      <w:r w:rsidRPr="006B05F8">
        <w:rPr>
          <w:rFonts w:ascii="Arial" w:hAnsi="Arial" w:cs="Arial"/>
          <w:sz w:val="24"/>
          <w:szCs w:val="24"/>
        </w:rPr>
        <w:t>, 9(4), pp. 653–669. Available at: https://doi.org/10.5465/amr.1984.4277391.</w:t>
      </w:r>
    </w:p>
    <w:p w14:paraId="1FC57008"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Yilmaz, G. (</w:t>
      </w:r>
      <w:proofErr w:type="gramStart"/>
      <w:r w:rsidRPr="006B05F8">
        <w:rPr>
          <w:rFonts w:ascii="Arial" w:hAnsi="Arial" w:cs="Arial"/>
          <w:sz w:val="24"/>
          <w:szCs w:val="24"/>
          <w:lang w:val="en-US"/>
        </w:rPr>
        <w:t>2014)</w:t>
      </w:r>
      <w:r>
        <w:rPr>
          <w:rFonts w:ascii="Arial" w:hAnsi="Arial" w:cs="Arial"/>
          <w:lang w:val="en-US"/>
        </w:rPr>
        <w:t xml:space="preserve"> </w:t>
      </w:r>
      <w:r w:rsidRPr="006B05F8">
        <w:rPr>
          <w:rFonts w:ascii="Arial" w:hAnsi="Arial" w:cs="Arial"/>
          <w:sz w:val="24"/>
          <w:szCs w:val="24"/>
          <w:lang w:val="en-US"/>
        </w:rPr>
        <w:t>‘</w:t>
      </w:r>
      <w:proofErr w:type="gramEnd"/>
      <w:r w:rsidRPr="006B05F8">
        <w:rPr>
          <w:rFonts w:ascii="Arial" w:hAnsi="Arial" w:cs="Arial"/>
          <w:sz w:val="24"/>
          <w:szCs w:val="24"/>
          <w:lang w:val="en-US"/>
        </w:rPr>
        <w:t xml:space="preserve">Let’s Peel the Onion Together: An Application of Schein’s Model of Organizational Culture’. </w:t>
      </w:r>
      <w:r w:rsidRPr="006B05F8">
        <w:rPr>
          <w:rFonts w:ascii="Arial" w:hAnsi="Arial" w:cs="Arial"/>
          <w:i/>
          <w:iCs/>
          <w:sz w:val="24"/>
          <w:szCs w:val="24"/>
          <w:lang w:val="en-US"/>
        </w:rPr>
        <w:t>Communication Teacher</w:t>
      </w:r>
      <w:r w:rsidRPr="006B05F8">
        <w:rPr>
          <w:rFonts w:ascii="Arial" w:hAnsi="Arial" w:cs="Arial"/>
          <w:sz w:val="24"/>
          <w:szCs w:val="24"/>
          <w:lang w:val="en-US"/>
        </w:rPr>
        <w:t xml:space="preserve"> 28(4), pp. 224–228. </w:t>
      </w:r>
      <w:proofErr w:type="spellStart"/>
      <w:r w:rsidRPr="006B05F8">
        <w:rPr>
          <w:rFonts w:ascii="Arial" w:hAnsi="Arial" w:cs="Arial"/>
          <w:sz w:val="24"/>
          <w:szCs w:val="24"/>
          <w:lang w:val="en-US"/>
        </w:rPr>
        <w:t>doi</w:t>
      </w:r>
      <w:proofErr w:type="spellEnd"/>
      <w:r w:rsidRPr="006B05F8">
        <w:rPr>
          <w:rFonts w:ascii="Arial" w:hAnsi="Arial" w:cs="Arial"/>
          <w:sz w:val="24"/>
          <w:szCs w:val="24"/>
          <w:lang w:val="en-US"/>
        </w:rPr>
        <w:t xml:space="preserve">: </w:t>
      </w:r>
      <w:hyperlink r:id="rId30" w:history="1">
        <w:r w:rsidRPr="006B05F8">
          <w:rPr>
            <w:rFonts w:ascii="Arial" w:hAnsi="Arial" w:cs="Arial"/>
            <w:sz w:val="24"/>
            <w:szCs w:val="24"/>
            <w:lang w:val="en-US"/>
          </w:rPr>
          <w:t>https://doi.org/10.1080/17404622.2014.939674</w:t>
        </w:r>
      </w:hyperlink>
      <w:r w:rsidRPr="006B05F8">
        <w:rPr>
          <w:rFonts w:ascii="Arial" w:hAnsi="Arial" w:cs="Arial"/>
          <w:sz w:val="24"/>
          <w:szCs w:val="24"/>
          <w:lang w:val="en-US"/>
        </w:rPr>
        <w:t>.</w:t>
      </w:r>
    </w:p>
    <w:p w14:paraId="4D69CBA5" w14:textId="77777777" w:rsidR="004313B1" w:rsidRPr="004313B1" w:rsidRDefault="004313B1" w:rsidP="004313B1"/>
    <w:p w14:paraId="3ED02017" w14:textId="77777777" w:rsidR="009D5872" w:rsidRPr="004313B1" w:rsidRDefault="009D5872" w:rsidP="004313B1">
      <w:pPr>
        <w:jc w:val="both"/>
        <w:rPr>
          <w:rFonts w:ascii="Arial" w:hAnsi="Arial" w:cs="Arial"/>
          <w:sz w:val="24"/>
          <w:szCs w:val="24"/>
        </w:rPr>
      </w:pPr>
    </w:p>
    <w:sectPr w:rsidR="009D5872" w:rsidRPr="004313B1" w:rsidSect="004313B1">
      <w:headerReference w:type="default" r:id="rId31"/>
      <w:footerReference w:type="default" r:id="rId32"/>
      <w:head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158061" w14:textId="77777777" w:rsidR="00382E89" w:rsidRDefault="00382E89" w:rsidP="004313B1">
      <w:pPr>
        <w:spacing w:after="0" w:line="240" w:lineRule="auto"/>
      </w:pPr>
      <w:r>
        <w:separator/>
      </w:r>
    </w:p>
  </w:endnote>
  <w:endnote w:type="continuationSeparator" w:id="0">
    <w:p w14:paraId="1150CA6A" w14:textId="77777777" w:rsidR="00382E89" w:rsidRDefault="00382E89" w:rsidP="00431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2589368"/>
      <w:docPartObj>
        <w:docPartGallery w:val="Page Numbers (Bottom of Page)"/>
        <w:docPartUnique/>
      </w:docPartObj>
    </w:sdtPr>
    <w:sdtContent>
      <w:p w14:paraId="54DFA3EB" w14:textId="4903E8C0" w:rsidR="004313B1" w:rsidRDefault="004313B1">
        <w:pPr>
          <w:pStyle w:val="Footer"/>
          <w:jc w:val="center"/>
        </w:pPr>
        <w:r>
          <w:fldChar w:fldCharType="begin"/>
        </w:r>
        <w:r>
          <w:instrText>PAGE   \* MERGEFORMAT</w:instrText>
        </w:r>
        <w:r>
          <w:fldChar w:fldCharType="separate"/>
        </w:r>
        <w:r>
          <w:t>2</w:t>
        </w:r>
        <w:r>
          <w:fldChar w:fldCharType="end"/>
        </w:r>
      </w:p>
    </w:sdtContent>
  </w:sdt>
  <w:p w14:paraId="57DDA592" w14:textId="77777777" w:rsidR="004313B1" w:rsidRDefault="004313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193F9" w14:textId="77777777" w:rsidR="00382E89" w:rsidRDefault="00382E89" w:rsidP="004313B1">
      <w:pPr>
        <w:spacing w:after="0" w:line="240" w:lineRule="auto"/>
      </w:pPr>
      <w:r>
        <w:separator/>
      </w:r>
    </w:p>
  </w:footnote>
  <w:footnote w:type="continuationSeparator" w:id="0">
    <w:p w14:paraId="56DC5D83" w14:textId="77777777" w:rsidR="00382E89" w:rsidRDefault="00382E89" w:rsidP="004313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B7360A" w14:textId="0AB37023" w:rsidR="004313B1" w:rsidRDefault="004313B1">
    <w:pPr>
      <w:pStyle w:val="Header"/>
    </w:pPr>
    <w:r>
      <w:rPr>
        <w:noProof/>
      </w:rPr>
      <w:drawing>
        <wp:anchor distT="0" distB="0" distL="114300" distR="114300" simplePos="0" relativeHeight="251659264" behindDoc="1" locked="0" layoutInCell="1" allowOverlap="1" wp14:anchorId="20E1A39E" wp14:editId="66197EB9">
          <wp:simplePos x="0" y="0"/>
          <wp:positionH relativeFrom="column">
            <wp:posOffset>5251450</wp:posOffset>
          </wp:positionH>
          <wp:positionV relativeFrom="paragraph">
            <wp:posOffset>-311785</wp:posOffset>
          </wp:positionV>
          <wp:extent cx="1238250" cy="577850"/>
          <wp:effectExtent l="0" t="0" r="0" b="0"/>
          <wp:wrapTight wrapText="bothSides">
            <wp:wrapPolygon edited="0">
              <wp:start x="14289" y="0"/>
              <wp:lineTo x="332" y="12105"/>
              <wp:lineTo x="0" y="14242"/>
              <wp:lineTo x="0" y="20651"/>
              <wp:lineTo x="16948" y="20651"/>
              <wp:lineTo x="17280" y="20651"/>
              <wp:lineTo x="21268" y="12818"/>
              <wp:lineTo x="21268" y="2136"/>
              <wp:lineTo x="18277" y="0"/>
              <wp:lineTo x="14289" y="0"/>
            </wp:wrapPolygon>
          </wp:wrapTight>
          <wp:docPr id="965600035" name="Picture 1"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00035" name="Picture 1" descr="A blue and black logo&#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238250" cy="577850"/>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0BA14B" w14:textId="6B7C7C69" w:rsidR="004313B1" w:rsidRDefault="004313B1">
    <w:pPr>
      <w:pStyle w:val="Header"/>
    </w:pPr>
    <w:r>
      <w:rPr>
        <w:noProof/>
      </w:rPr>
      <w:drawing>
        <wp:anchor distT="0" distB="0" distL="114300" distR="114300" simplePos="0" relativeHeight="251661312" behindDoc="1" locked="0" layoutInCell="1" allowOverlap="1" wp14:anchorId="21BDC427" wp14:editId="54D179FE">
          <wp:simplePos x="0" y="0"/>
          <wp:positionH relativeFrom="column">
            <wp:posOffset>5238750</wp:posOffset>
          </wp:positionH>
          <wp:positionV relativeFrom="paragraph">
            <wp:posOffset>-299085</wp:posOffset>
          </wp:positionV>
          <wp:extent cx="1238250" cy="577850"/>
          <wp:effectExtent l="0" t="0" r="0" b="0"/>
          <wp:wrapTight wrapText="bothSides">
            <wp:wrapPolygon edited="0">
              <wp:start x="14289" y="0"/>
              <wp:lineTo x="332" y="12105"/>
              <wp:lineTo x="0" y="14242"/>
              <wp:lineTo x="0" y="20651"/>
              <wp:lineTo x="16948" y="20651"/>
              <wp:lineTo x="17280" y="20651"/>
              <wp:lineTo x="21268" y="12818"/>
              <wp:lineTo x="21268" y="2136"/>
              <wp:lineTo x="18277" y="0"/>
              <wp:lineTo x="14289" y="0"/>
            </wp:wrapPolygon>
          </wp:wrapTight>
          <wp:docPr id="350214650" name="Picture 1"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00035" name="Picture 1" descr="A blue and black logo&#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238250" cy="57785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2C5A5B"/>
    <w:multiLevelType w:val="hybridMultilevel"/>
    <w:tmpl w:val="43DCD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875B0A"/>
    <w:multiLevelType w:val="hybridMultilevel"/>
    <w:tmpl w:val="A99AFC04"/>
    <w:lvl w:ilvl="0" w:tplc="5DF8514C">
      <w:numFmt w:val="bullet"/>
      <w:lvlText w:val="-"/>
      <w:lvlJc w:val="left"/>
      <w:pPr>
        <w:ind w:left="720" w:hanging="360"/>
      </w:pPr>
      <w:rPr>
        <w:rFonts w:ascii="Georgia" w:eastAsia="Times New Roman"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0068EF"/>
    <w:multiLevelType w:val="hybridMultilevel"/>
    <w:tmpl w:val="C1D6B4BC"/>
    <w:lvl w:ilvl="0" w:tplc="5DF8514C">
      <w:numFmt w:val="bullet"/>
      <w:lvlText w:val="-"/>
      <w:lvlJc w:val="left"/>
      <w:pPr>
        <w:ind w:left="720" w:hanging="360"/>
      </w:pPr>
      <w:rPr>
        <w:rFonts w:ascii="Georgia" w:eastAsia="Times New Roman"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AC243E"/>
    <w:multiLevelType w:val="hybridMultilevel"/>
    <w:tmpl w:val="0DFA8A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0D2116"/>
    <w:multiLevelType w:val="hybridMultilevel"/>
    <w:tmpl w:val="0C5436E8"/>
    <w:lvl w:ilvl="0" w:tplc="5DF8514C">
      <w:numFmt w:val="bullet"/>
      <w:lvlText w:val="-"/>
      <w:lvlJc w:val="left"/>
      <w:pPr>
        <w:ind w:left="720" w:hanging="360"/>
      </w:pPr>
      <w:rPr>
        <w:rFonts w:ascii="Georgia" w:eastAsia="Times New Roman"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5117361">
    <w:abstractNumId w:val="0"/>
  </w:num>
  <w:num w:numId="2" w16cid:durableId="1157573283">
    <w:abstractNumId w:val="3"/>
  </w:num>
  <w:num w:numId="3" w16cid:durableId="45031131">
    <w:abstractNumId w:val="4"/>
  </w:num>
  <w:num w:numId="4" w16cid:durableId="1743408332">
    <w:abstractNumId w:val="2"/>
  </w:num>
  <w:num w:numId="5" w16cid:durableId="1904480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3B1"/>
    <w:rsid w:val="00001823"/>
    <w:rsid w:val="00327CEC"/>
    <w:rsid w:val="00382E89"/>
    <w:rsid w:val="004313B1"/>
    <w:rsid w:val="006036F4"/>
    <w:rsid w:val="009D5872"/>
    <w:rsid w:val="00AC4EF6"/>
    <w:rsid w:val="00C10743"/>
    <w:rsid w:val="00D14AFF"/>
    <w:rsid w:val="00F2028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CE3A70"/>
  <w15:chartTrackingRefBased/>
  <w15:docId w15:val="{05938A36-917F-4876-8534-77301A56D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3B1"/>
    <w:pPr>
      <w:keepNext/>
      <w:keepLines/>
      <w:spacing w:before="360" w:after="80"/>
      <w:outlineLvl w:val="0"/>
    </w:pPr>
    <w:rPr>
      <w:rFonts w:ascii="Arial" w:eastAsiaTheme="majorEastAsia" w:hAnsi="Arial" w:cstheme="majorBidi"/>
      <w:b/>
      <w:sz w:val="24"/>
      <w:szCs w:val="40"/>
    </w:rPr>
  </w:style>
  <w:style w:type="paragraph" w:styleId="Heading2">
    <w:name w:val="heading 2"/>
    <w:basedOn w:val="Normal"/>
    <w:next w:val="Normal"/>
    <w:link w:val="Heading2Char"/>
    <w:uiPriority w:val="9"/>
    <w:semiHidden/>
    <w:unhideWhenUsed/>
    <w:qFormat/>
    <w:rsid w:val="00431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1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1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1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3B1"/>
    <w:rPr>
      <w:rFonts w:ascii="Arial" w:eastAsiaTheme="majorEastAsia" w:hAnsi="Arial" w:cstheme="majorBidi"/>
      <w:b/>
      <w:sz w:val="24"/>
      <w:szCs w:val="40"/>
    </w:rPr>
  </w:style>
  <w:style w:type="character" w:customStyle="1" w:styleId="Heading2Char">
    <w:name w:val="Heading 2 Char"/>
    <w:basedOn w:val="DefaultParagraphFont"/>
    <w:link w:val="Heading2"/>
    <w:uiPriority w:val="9"/>
    <w:semiHidden/>
    <w:rsid w:val="00431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1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1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1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3B1"/>
    <w:rPr>
      <w:rFonts w:eastAsiaTheme="majorEastAsia" w:cstheme="majorBidi"/>
      <w:color w:val="272727" w:themeColor="text1" w:themeTint="D8"/>
    </w:rPr>
  </w:style>
  <w:style w:type="paragraph" w:styleId="Title">
    <w:name w:val="Title"/>
    <w:basedOn w:val="Normal"/>
    <w:next w:val="Normal"/>
    <w:link w:val="TitleChar"/>
    <w:uiPriority w:val="10"/>
    <w:qFormat/>
    <w:rsid w:val="00431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3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3B1"/>
    <w:pPr>
      <w:spacing w:before="160"/>
      <w:jc w:val="center"/>
    </w:pPr>
    <w:rPr>
      <w:i/>
      <w:iCs/>
      <w:color w:val="404040" w:themeColor="text1" w:themeTint="BF"/>
    </w:rPr>
  </w:style>
  <w:style w:type="character" w:customStyle="1" w:styleId="QuoteChar">
    <w:name w:val="Quote Char"/>
    <w:basedOn w:val="DefaultParagraphFont"/>
    <w:link w:val="Quote"/>
    <w:uiPriority w:val="29"/>
    <w:rsid w:val="004313B1"/>
    <w:rPr>
      <w:i/>
      <w:iCs/>
      <w:color w:val="404040" w:themeColor="text1" w:themeTint="BF"/>
    </w:rPr>
  </w:style>
  <w:style w:type="paragraph" w:styleId="ListParagraph">
    <w:name w:val="List Paragraph"/>
    <w:basedOn w:val="Normal"/>
    <w:uiPriority w:val="34"/>
    <w:qFormat/>
    <w:rsid w:val="004313B1"/>
    <w:pPr>
      <w:ind w:left="720"/>
      <w:contextualSpacing/>
    </w:pPr>
  </w:style>
  <w:style w:type="character" w:styleId="IntenseEmphasis">
    <w:name w:val="Intense Emphasis"/>
    <w:basedOn w:val="DefaultParagraphFont"/>
    <w:uiPriority w:val="21"/>
    <w:qFormat/>
    <w:rsid w:val="004313B1"/>
    <w:rPr>
      <w:i/>
      <w:iCs/>
      <w:color w:val="0F4761" w:themeColor="accent1" w:themeShade="BF"/>
    </w:rPr>
  </w:style>
  <w:style w:type="paragraph" w:styleId="IntenseQuote">
    <w:name w:val="Intense Quote"/>
    <w:basedOn w:val="Normal"/>
    <w:next w:val="Normal"/>
    <w:link w:val="IntenseQuoteChar"/>
    <w:uiPriority w:val="30"/>
    <w:qFormat/>
    <w:rsid w:val="00431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3B1"/>
    <w:rPr>
      <w:i/>
      <w:iCs/>
      <w:color w:val="0F4761" w:themeColor="accent1" w:themeShade="BF"/>
    </w:rPr>
  </w:style>
  <w:style w:type="character" w:styleId="IntenseReference">
    <w:name w:val="Intense Reference"/>
    <w:basedOn w:val="DefaultParagraphFont"/>
    <w:uiPriority w:val="32"/>
    <w:qFormat/>
    <w:rsid w:val="004313B1"/>
    <w:rPr>
      <w:b/>
      <w:bCs/>
      <w:smallCaps/>
      <w:color w:val="0F4761" w:themeColor="accent1" w:themeShade="BF"/>
      <w:spacing w:val="5"/>
    </w:rPr>
  </w:style>
  <w:style w:type="character" w:styleId="Hyperlink">
    <w:name w:val="Hyperlink"/>
    <w:uiPriority w:val="99"/>
    <w:unhideWhenUsed/>
    <w:rsid w:val="004313B1"/>
    <w:rPr>
      <w:color w:val="467886"/>
      <w:u w:val="single"/>
    </w:rPr>
  </w:style>
  <w:style w:type="paragraph" w:styleId="Header">
    <w:name w:val="header"/>
    <w:basedOn w:val="Normal"/>
    <w:link w:val="HeaderChar"/>
    <w:uiPriority w:val="99"/>
    <w:unhideWhenUsed/>
    <w:rsid w:val="004313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3B1"/>
  </w:style>
  <w:style w:type="paragraph" w:styleId="Footer">
    <w:name w:val="footer"/>
    <w:basedOn w:val="Normal"/>
    <w:link w:val="FooterChar"/>
    <w:uiPriority w:val="99"/>
    <w:unhideWhenUsed/>
    <w:rsid w:val="004313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3B1"/>
  </w:style>
  <w:style w:type="paragraph" w:styleId="NoSpacing">
    <w:name w:val="No Spacing"/>
    <w:link w:val="NoSpacingChar"/>
    <w:uiPriority w:val="1"/>
    <w:qFormat/>
    <w:rsid w:val="004313B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313B1"/>
    <w:rPr>
      <w:rFonts w:eastAsiaTheme="minorEastAsia"/>
      <w:lang w:eastAsia="en-GB"/>
    </w:rPr>
  </w:style>
  <w:style w:type="paragraph" w:styleId="TOCHeading">
    <w:name w:val="TOC Heading"/>
    <w:basedOn w:val="Heading1"/>
    <w:next w:val="Normal"/>
    <w:uiPriority w:val="39"/>
    <w:unhideWhenUsed/>
    <w:qFormat/>
    <w:rsid w:val="00AC4EF6"/>
    <w:pPr>
      <w:spacing w:before="240" w:after="0"/>
      <w:outlineLvl w:val="9"/>
    </w:pPr>
    <w:rPr>
      <w:rFonts w:asciiTheme="majorHAnsi" w:hAnsiTheme="majorHAnsi"/>
      <w:b w:val="0"/>
      <w:color w:val="0F4761" w:themeColor="accent1" w:themeShade="BF"/>
      <w:sz w:val="32"/>
      <w:szCs w:val="32"/>
      <w:lang w:eastAsia="en-GB"/>
    </w:rPr>
  </w:style>
  <w:style w:type="paragraph" w:styleId="TOC1">
    <w:name w:val="toc 1"/>
    <w:basedOn w:val="Normal"/>
    <w:next w:val="Normal"/>
    <w:autoRedefine/>
    <w:uiPriority w:val="39"/>
    <w:unhideWhenUsed/>
    <w:rsid w:val="00AC4EF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organisation-culture-change-factsheet/" TargetMode="External"/><Relationship Id="rId18" Type="http://schemas.openxmlformats.org/officeDocument/2006/relationships/hyperlink" Target="https://www.cipd.org/globalassets/media/knowledge/knowledge-hub/reports/2025-pdfs/8920-Health-and-wellbeing-report-2025-/" TargetMode="External"/><Relationship Id="rId26" Type="http://schemas.openxmlformats.org/officeDocument/2006/relationships/hyperlink" Target="https://link.springer.com/article/10.1007/s11846-025-00864-3" TargetMode="External"/><Relationship Id="rId3" Type="http://schemas.openxmlformats.org/officeDocument/2006/relationships/settings" Target="settings.xml"/><Relationship Id="rId21" Type="http://schemas.openxmlformats.org/officeDocument/2006/relationships/hyperlink" Target="https://doi.org/10.1177/0149206305279602" TargetMode="External"/><Relationship Id="rId34" Type="http://schemas.openxmlformats.org/officeDocument/2006/relationships/fontTable" Target="fontTable.xml"/><Relationship Id="rId7" Type="http://schemas.openxmlformats.org/officeDocument/2006/relationships/hyperlink" Target="https://www.emerald.com/jmp/article-abstract/22/3/309/236386/The-Job-Demands-Resources-model-state-of-the-art?redirectedFrom=fulltext" TargetMode="External"/><Relationship Id="rId12" Type="http://schemas.openxmlformats.org/officeDocument/2006/relationships/hyperlink" Target="https://www.cipd.org/uk/knowledge/employment-law/wellbeing-stress/" TargetMode="External"/><Relationship Id="rId17" Type="http://schemas.openxmlformats.org/officeDocument/2006/relationships/hyperlink" Target="https://www.cipd.org/uk/knowledge/factsheets/voice-factsheet/" TargetMode="External"/><Relationship Id="rId25" Type="http://schemas.openxmlformats.org/officeDocument/2006/relationships/hyperlink" Target="https://doi.org/10.1080/19416520.2011.574506" TargetMode="External"/><Relationship Id="rId33"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cipd.org/uk/knowledge/factsheets/engagement-factsheet/" TargetMode="External"/><Relationship Id="rId20" Type="http://schemas.openxmlformats.org/officeDocument/2006/relationships/hyperlink" Target="https://doi.org/10.1037/0021-9010.86.3.425" TargetMode="External"/><Relationship Id="rId29" Type="http://schemas.openxmlformats.org/officeDocument/2006/relationships/hyperlink" Target="https://doi.org/10.5465/amr.2006.2020867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knowledge/knowledge-hub/evidence-reviews/incentives-recognition-practice-summary_tcm18-105466.pdf" TargetMode="External"/><Relationship Id="rId24" Type="http://schemas.openxmlformats.org/officeDocument/2006/relationships/hyperlink" Target="https://doi.org/10.1017/9781009268332.008"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ipd.org/globalassets/media/knowledge/knowledge-hub/reports/2025-pdfs/8868-good-work-index-2025-report-web1.pdf" TargetMode="External"/><Relationship Id="rId23" Type="http://schemas.openxmlformats.org/officeDocument/2006/relationships/hyperlink" Target="https://doi.org/10.2307/2666999" TargetMode="External"/><Relationship Id="rId28" Type="http://schemas.openxmlformats.org/officeDocument/2006/relationships/hyperlink" Target="https://www.pwc.com/gx/en/issues/workforce/the-value-of-authentic-organizational-culture.html" TargetMode="External"/><Relationship Id="rId10" Type="http://schemas.openxmlformats.org/officeDocument/2006/relationships/hyperlink" Target="https://www.cipd.org/globalassets/media/comms/news/qqqhealth-wellbeing-work-report-2021_tcm18-93541.pdf" TargetMode="External"/><Relationship Id="rId19" Type="http://schemas.openxmlformats.org/officeDocument/2006/relationships/hyperlink" Target="https://shop.cipd.org/product?catalog=Employee-Wellbeing#gre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anufacturingdigital.com/articles/manufacturing-has-the-highest-staff-tenure-in-the-uk" TargetMode="External"/><Relationship Id="rId14" Type="http://schemas.openxmlformats.org/officeDocument/2006/relationships/hyperlink" Target="https://www.cipd.org/uk/knowledge/factsheets/well-being-factsheet/#what-is-wellbeing-at-work" TargetMode="External"/><Relationship Id="rId22" Type="http://schemas.openxmlformats.org/officeDocument/2006/relationships/hyperlink" Target="https://www.cultureamp.com/science/insights/manufacturing" TargetMode="External"/><Relationship Id="rId27" Type="http://schemas.openxmlformats.org/officeDocument/2006/relationships/hyperlink" Target="https://academic.oup.com/jpubhealth/article/40/4/e482/4931231" TargetMode="External"/><Relationship Id="rId30" Type="http://schemas.openxmlformats.org/officeDocument/2006/relationships/hyperlink" Target="https://doi.org/10.1080/17404622.2014.939674" TargetMode="External"/><Relationship Id="rId35" Type="http://schemas.openxmlformats.org/officeDocument/2006/relationships/theme" Target="theme/theme1.xml"/><Relationship Id="rId8" Type="http://schemas.openxmlformats.org/officeDocument/2006/relationships/hyperlink" Target="https://doi.org/10.1080/23761407.2017.1288187"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17</Pages>
  <Words>5966</Words>
  <Characters>34009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and the delivery of good work at sofidel uk: a strategic analysis</dc:title>
  <dc:subject/>
  <dc:creator>Olivia Jenkins</dc:creator>
  <cp:keywords/>
  <dc:description/>
  <cp:lastModifiedBy>Olivia Jenkins</cp:lastModifiedBy>
  <cp:revision>1</cp:revision>
  <dcterms:created xsi:type="dcterms:W3CDTF">2026-02-16T19:22:00Z</dcterms:created>
  <dcterms:modified xsi:type="dcterms:W3CDTF">2026-02-16T19:43:00Z</dcterms:modified>
</cp:coreProperties>
</file>