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89F31" w14:textId="77777777" w:rsidR="00A448BA" w:rsidRDefault="00A448BA" w:rsidP="00A448BA">
      <w:r w:rsidRPr="00524C3E">
        <w:t xml:space="preserve">This research plan will provide a structured approach to determining the legal liability of Barry, who organised the ‘Time Stomp Festival’. The incident took place on June 14th, 2023, and resulted in multiple </w:t>
      </w:r>
      <w:r>
        <w:t xml:space="preserve">physical and psychological </w:t>
      </w:r>
      <w:r w:rsidRPr="00524C3E">
        <w:t xml:space="preserve">injuries being sustained by the attendees. The research will offer insight into Barry's legal culpability, </w:t>
      </w:r>
      <w:r>
        <w:t>applying</w:t>
      </w:r>
      <w:r w:rsidRPr="00524C3E">
        <w:t xml:space="preserve"> legal doctrines and, finally, reform suggestions. The plan will establish questions to research, aims, objectives, primary and secondary sources, research methodology</w:t>
      </w:r>
      <w:r>
        <w:t>, and a timeline to</w:t>
      </w:r>
      <w:r w:rsidRPr="00524C3E">
        <w:t xml:space="preserve"> </w:t>
      </w:r>
      <w:r>
        <w:t xml:space="preserve">ensure compliance with submission deadlines. </w:t>
      </w:r>
    </w:p>
    <w:p w14:paraId="0DAD7E0D" w14:textId="0EF0E153" w:rsidR="00421860" w:rsidRDefault="00A448BA">
      <w:r w:rsidRPr="00A448BA">
        <w:t xml:space="preserve">The primary question is whether Barry is liable for the injuries sustained during the festival. However, to address the question effectively, it must first be dissected into a series of sub-questions. For instance, what legislation and legal obligations are enforced on event organisers? Potential negligence claims: How does the duty of care and causation apply to Barry as an event organiser? How does foreseeability impact Barry's liability? Are there any reform suggestions that can alleviate similar damage </w:t>
      </w:r>
      <w:proofErr w:type="spellStart"/>
      <w:r w:rsidRPr="00A448BA">
        <w:t>occuring</w:t>
      </w:r>
      <w:proofErr w:type="spellEnd"/>
      <w:r w:rsidRPr="00A448BA">
        <w:t xml:space="preserve"> in the future? These questions will enable the research to explore every possible legal implication and optimise the analysis of Barry's legal liability. </w:t>
      </w:r>
    </w:p>
    <w:p w14:paraId="21E6AD6F" w14:textId="77D33468" w:rsidR="00A448BA" w:rsidRDefault="00A448BA">
      <w:r w:rsidRPr="00A448BA">
        <w:t>Numerous aims should be accomplished to define the research's intentions, ensuring the research remains aligned with the purpose and efficiently answers the overall question. The aims, in this case, include assessing Barry's legal liability against UK legislation and framework for physical and psychiatric damage, evaluating the foreseeability of harm and assessing whether Barry took adequate safety precautions to mitigate those risks, taking a comparative legal approach to comparing the UK liability laws with other countries, for instance, Good Samaritan laws and to provide reform suggestions so safety standards at significant events can be further developed to mitigate risk. Next, objectives must be produced to provide action to the aims; this will provide comprehensive coverage and ensure each area of the research is addressed; these include examining the legal obligations Barry has to comply with under case law, health and safety regulations and legislation, determining whether Sarah, Jack, Mary, and Janice have a valid case, to evaluate framework that governs psychiatric claims and analysing comparative legislation to suggest reform suggestions.</w:t>
      </w:r>
    </w:p>
    <w:p w14:paraId="24B974AB" w14:textId="21064FF3" w:rsidR="00A448BA" w:rsidRDefault="00A448BA">
      <w:r w:rsidRPr="00A448BA">
        <w:t xml:space="preserve">There are numerous research methodologies, and identifying the optimal approach that aligns with the problem ensures the research is reliable and accurate, which will achieve the aims and objectives and, in turn, answer the questions previously discussed. A combination of research approaches, such as doctrinal methodology, will be utilised throughout the research process. Doctrinal methodology forms the foundations of research by analysing case law, legislation and legal framework. This is a vital research method as it will play a large part in determining Barry's culpability under the legislation, for instance, </w:t>
      </w:r>
      <w:r w:rsidRPr="00A448BA">
        <w:rPr>
          <w:i/>
          <w:iCs/>
        </w:rPr>
        <w:t>the Occupiers' Liability Act 1957</w:t>
      </w:r>
      <w:r w:rsidRPr="00A448BA">
        <w:t xml:space="preserve"> or </w:t>
      </w:r>
      <w:r w:rsidRPr="00A448BA">
        <w:rPr>
          <w:i/>
          <w:iCs/>
        </w:rPr>
        <w:t>the Consumer Protection Act 1987</w:t>
      </w:r>
      <w:r w:rsidRPr="00A448BA">
        <w:t xml:space="preserve">, or using case law, for instance, </w:t>
      </w:r>
      <w:r w:rsidRPr="00A448BA">
        <w:rPr>
          <w:i/>
          <w:iCs/>
        </w:rPr>
        <w:t>Donoghue v Stevenson</w:t>
      </w:r>
      <w:r w:rsidRPr="00A448BA">
        <w:t xml:space="preserve"> or </w:t>
      </w:r>
      <w:r w:rsidRPr="00A448BA">
        <w:rPr>
          <w:i/>
          <w:iCs/>
        </w:rPr>
        <w:t>Alcock v chief constable of south Yorkshire police</w:t>
      </w:r>
      <w:r w:rsidRPr="00A448BA">
        <w:t xml:space="preserve">. The following research method is the Socio-legal methodology. This approach will fill in the gaps left with the doctrinal methodology; this research approach looks at the law, its impact on society and how it applies in specific contexts, in this instance, event organisers and attendees. This will be particularly useful in psychological harm when considering the legal criteria for claims. Another research approach is a comparative methodology, which will be used to compare the UK's approach to liability and event management to other jurisdictions; this method will help with reform suggestions based on alternative frameworks. Lastly, while discussing reform, critical theory methodology will be used to analyse whether the current law is sufficient and if there are any current limitations. </w:t>
      </w:r>
    </w:p>
    <w:p w14:paraId="13689C37" w14:textId="69556B15" w:rsidR="00A448BA" w:rsidRDefault="00A448BA">
      <w:r w:rsidRPr="00A448BA">
        <w:t xml:space="preserve">The key sources in this research will be primary material like statutory and case law and secondary literature; the critical primary sources include The </w:t>
      </w:r>
      <w:r w:rsidRPr="00A448BA">
        <w:rPr>
          <w:i/>
          <w:iCs/>
        </w:rPr>
        <w:t>Health and Safety at Work, etc. Act 1974</w:t>
      </w:r>
      <w:r w:rsidRPr="00A448BA">
        <w:t>, The</w:t>
      </w:r>
      <w:r w:rsidRPr="00A448BA">
        <w:rPr>
          <w:i/>
          <w:iCs/>
        </w:rPr>
        <w:t xml:space="preserve"> Occupiers Liability Act 1957</w:t>
      </w:r>
      <w:r w:rsidRPr="00A448BA">
        <w:t xml:space="preserve">, </w:t>
      </w:r>
      <w:r w:rsidRPr="00A448BA">
        <w:rPr>
          <w:i/>
          <w:iCs/>
        </w:rPr>
        <w:t>The Consumers Protection Act 1987,</w:t>
      </w:r>
      <w:r w:rsidRPr="00A448BA">
        <w:t xml:space="preserve"> and case law, for instance, </w:t>
      </w:r>
      <w:r w:rsidRPr="00A448BA">
        <w:rPr>
          <w:i/>
          <w:iCs/>
        </w:rPr>
        <w:t xml:space="preserve">Capro </w:t>
      </w:r>
      <w:r w:rsidRPr="00A448BA">
        <w:rPr>
          <w:i/>
          <w:iCs/>
        </w:rPr>
        <w:lastRenderedPageBreak/>
        <w:t>Industries plc v. Dickman</w:t>
      </w:r>
      <w:r w:rsidRPr="00A448BA">
        <w:t xml:space="preserve"> (1990). The secondary literature includes journals, books and health and safety guidelines. </w:t>
      </w:r>
    </w:p>
    <w:p w14:paraId="7A187450" w14:textId="2C8127F5" w:rsidR="006B3900" w:rsidRDefault="006B3900">
      <w:r w:rsidRPr="006B3900">
        <w:t xml:space="preserve">Creating a timeline is critical in staying organised and meeting deadlines. Firstly, starting on November 30th, I will start gathering key sources and applying them to the scenario at hand.  On December 14th, I will start gathering other sources that apply to the scenario, creating a document to read and initiate applying them to the legal situation; once this is complete, I will then initiate doctrinal and socio-legal research, which will be completed by February 6th so I can compose my research create a first draft and modify it until its finalised and submit the research and findings by March 7th, I can then compose my research on reform and write a brief conclusion and submit in by the May 2nd. </w:t>
      </w:r>
    </w:p>
    <w:sectPr w:rsidR="006B39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8BA"/>
    <w:rsid w:val="002A21DE"/>
    <w:rsid w:val="00421860"/>
    <w:rsid w:val="006B3900"/>
    <w:rsid w:val="00700534"/>
    <w:rsid w:val="009D39F3"/>
    <w:rsid w:val="00A448BA"/>
    <w:rsid w:val="00D55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DCC05"/>
  <w15:chartTrackingRefBased/>
  <w15:docId w15:val="{3BD66A09-BA2B-4863-8E73-36409D8A1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8BA"/>
  </w:style>
  <w:style w:type="paragraph" w:styleId="Heading1">
    <w:name w:val="heading 1"/>
    <w:basedOn w:val="Normal"/>
    <w:next w:val="Normal"/>
    <w:link w:val="Heading1Char"/>
    <w:uiPriority w:val="9"/>
    <w:qFormat/>
    <w:rsid w:val="00A448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448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448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48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48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48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48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48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48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8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448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448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448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448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448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48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48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48BA"/>
    <w:rPr>
      <w:rFonts w:eastAsiaTheme="majorEastAsia" w:cstheme="majorBidi"/>
      <w:color w:val="272727" w:themeColor="text1" w:themeTint="D8"/>
    </w:rPr>
  </w:style>
  <w:style w:type="paragraph" w:styleId="Title">
    <w:name w:val="Title"/>
    <w:basedOn w:val="Normal"/>
    <w:next w:val="Normal"/>
    <w:link w:val="TitleChar"/>
    <w:uiPriority w:val="10"/>
    <w:qFormat/>
    <w:rsid w:val="00A448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48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48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48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48BA"/>
    <w:pPr>
      <w:spacing w:before="160"/>
      <w:jc w:val="center"/>
    </w:pPr>
    <w:rPr>
      <w:i/>
      <w:iCs/>
      <w:color w:val="404040" w:themeColor="text1" w:themeTint="BF"/>
    </w:rPr>
  </w:style>
  <w:style w:type="character" w:customStyle="1" w:styleId="QuoteChar">
    <w:name w:val="Quote Char"/>
    <w:basedOn w:val="DefaultParagraphFont"/>
    <w:link w:val="Quote"/>
    <w:uiPriority w:val="29"/>
    <w:rsid w:val="00A448BA"/>
    <w:rPr>
      <w:i/>
      <w:iCs/>
      <w:color w:val="404040" w:themeColor="text1" w:themeTint="BF"/>
    </w:rPr>
  </w:style>
  <w:style w:type="paragraph" w:styleId="ListParagraph">
    <w:name w:val="List Paragraph"/>
    <w:basedOn w:val="Normal"/>
    <w:uiPriority w:val="34"/>
    <w:qFormat/>
    <w:rsid w:val="00A448BA"/>
    <w:pPr>
      <w:ind w:left="720"/>
      <w:contextualSpacing/>
    </w:pPr>
  </w:style>
  <w:style w:type="character" w:styleId="IntenseEmphasis">
    <w:name w:val="Intense Emphasis"/>
    <w:basedOn w:val="DefaultParagraphFont"/>
    <w:uiPriority w:val="21"/>
    <w:qFormat/>
    <w:rsid w:val="00A448BA"/>
    <w:rPr>
      <w:i/>
      <w:iCs/>
      <w:color w:val="2F5496" w:themeColor="accent1" w:themeShade="BF"/>
    </w:rPr>
  </w:style>
  <w:style w:type="paragraph" w:styleId="IntenseQuote">
    <w:name w:val="Intense Quote"/>
    <w:basedOn w:val="Normal"/>
    <w:next w:val="Normal"/>
    <w:link w:val="IntenseQuoteChar"/>
    <w:uiPriority w:val="30"/>
    <w:qFormat/>
    <w:rsid w:val="00A448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48BA"/>
    <w:rPr>
      <w:i/>
      <w:iCs/>
      <w:color w:val="2F5496" w:themeColor="accent1" w:themeShade="BF"/>
    </w:rPr>
  </w:style>
  <w:style w:type="character" w:styleId="IntenseReference">
    <w:name w:val="Intense Reference"/>
    <w:basedOn w:val="DefaultParagraphFont"/>
    <w:uiPriority w:val="32"/>
    <w:qFormat/>
    <w:rsid w:val="00A448B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cf453e58328fec31073bd3ee7d904aa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afeb4becee64491c29fba15b49cdb5f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56802BC1-DAE7-4CA1-B127-6F3C5C448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AA6E4F-1E57-4619-B563-4261F89E6CD5}">
  <ds:schemaRefs>
    <ds:schemaRef ds:uri="http://schemas.microsoft.com/sharepoint/v3/contenttype/forms"/>
  </ds:schemaRefs>
</ds:datastoreItem>
</file>

<file path=customXml/itemProps3.xml><?xml version="1.0" encoding="utf-8"?>
<ds:datastoreItem xmlns:ds="http://schemas.openxmlformats.org/officeDocument/2006/customXml" ds:itemID="{1AB0FE71-04AF-4B05-A4A7-90DB3A37A902}">
  <ds:schemaRefs>
    <ds:schemaRef ds:uri="http://purl.org/dc/terms/"/>
    <ds:schemaRef ds:uri="http://purl.org/dc/dcmitype/"/>
    <ds:schemaRef ds:uri="http://schemas.microsoft.com/office/2006/documentManagement/types"/>
    <ds:schemaRef ds:uri="http://schemas.openxmlformats.org/package/2006/metadata/core-properties"/>
    <ds:schemaRef ds:uri="http://www.w3.org/XML/1998/namespace"/>
    <ds:schemaRef ds:uri="ad7316b1-23f1-480c-8fa6-cbf037f4db9c"/>
    <ds:schemaRef ds:uri="http://schemas.microsoft.com/office/2006/metadata/properties"/>
    <ds:schemaRef ds:uri="bd2b2a82-bc2e-4fcc-b8ad-fd63686c78d2"/>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776</Words>
  <Characters>4377</Characters>
  <Application>Microsoft Office Word</Application>
  <DocSecurity>0</DocSecurity>
  <Lines>56</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dc:creator>
  <cp:keywords/>
  <dc:description/>
  <cp:lastModifiedBy>Shannon Davies</cp:lastModifiedBy>
  <cp:revision>1</cp:revision>
  <dcterms:created xsi:type="dcterms:W3CDTF">2024-11-29T23:09:00Z</dcterms:created>
  <dcterms:modified xsi:type="dcterms:W3CDTF">2024-11-29T23:21:00Z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df8e739f-dc6a-4af5-85ca-af3e5c8e9537</vt:lpwstr>
  </property>
  <property fmtid="{D5CDD505-2E9C-101B-9397-08002B2CF9AE}" pid="3" name="ContentTypeId">
    <vt:lpwstr>0x01010096C48B67E562FF45ADD1FE43E2BC7706</vt:lpwstr>
  </property>
</Properties>
</file>