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49873" w14:textId="77777777" w:rsidR="00B30E88" w:rsidRDefault="00B30E88" w:rsidP="00B30E88">
      <w:pPr>
        <w:rPr>
          <w:rFonts w:ascii="Arial" w:hAnsi="Arial" w:cs="Arial"/>
        </w:rPr>
      </w:pPr>
      <w:bookmarkStart w:id="0" w:name="_Hlk133235474"/>
      <w:r>
        <w:rPr>
          <w:rFonts w:ascii="Arial" w:hAnsi="Arial" w:cs="Arial"/>
        </w:rPr>
        <w:t xml:space="preserve">Memorandum </w:t>
      </w:r>
    </w:p>
    <w:p w14:paraId="7CC91DE2" w14:textId="77777777" w:rsidR="00B30E88" w:rsidRDefault="00B30E88" w:rsidP="00B30E88">
      <w:pPr>
        <w:rPr>
          <w:rFonts w:ascii="Arial" w:hAnsi="Arial" w:cs="Arial"/>
        </w:rPr>
      </w:pPr>
      <w:r>
        <w:rPr>
          <w:rFonts w:ascii="Arial" w:hAnsi="Arial" w:cs="Arial"/>
        </w:rPr>
        <w:t xml:space="preserve">To: Bob Braeburn (Managing Director) </w:t>
      </w:r>
    </w:p>
    <w:p w14:paraId="4A8C6A74" w14:textId="77777777" w:rsidR="00B30E88" w:rsidRDefault="00B30E88" w:rsidP="00B30E88">
      <w:pPr>
        <w:rPr>
          <w:rFonts w:ascii="Arial" w:hAnsi="Arial" w:cs="Arial"/>
        </w:rPr>
      </w:pPr>
      <w:r>
        <w:rPr>
          <w:rFonts w:ascii="Arial" w:hAnsi="Arial" w:cs="Arial"/>
        </w:rPr>
        <w:t xml:space="preserve">From: Megan Jones (HR Consultant) </w:t>
      </w:r>
    </w:p>
    <w:p w14:paraId="07DCB60A" w14:textId="77777777" w:rsidR="00B30E88" w:rsidRDefault="00B30E88" w:rsidP="00B30E88">
      <w:pPr>
        <w:rPr>
          <w:rFonts w:ascii="Arial" w:hAnsi="Arial" w:cs="Arial"/>
        </w:rPr>
      </w:pPr>
      <w:r>
        <w:rPr>
          <w:rFonts w:ascii="Arial" w:hAnsi="Arial" w:cs="Arial"/>
        </w:rPr>
        <w:t>Re: ET1 dated 15</w:t>
      </w:r>
      <w:r>
        <w:rPr>
          <w:rFonts w:ascii="Arial" w:hAnsi="Arial" w:cs="Arial"/>
          <w:vertAlign w:val="superscript"/>
        </w:rPr>
        <w:t>th</w:t>
      </w:r>
      <w:r>
        <w:rPr>
          <w:rFonts w:ascii="Arial" w:hAnsi="Arial" w:cs="Arial"/>
        </w:rPr>
        <w:t xml:space="preserve"> of April 2023.</w:t>
      </w:r>
    </w:p>
    <w:p w14:paraId="39406591" w14:textId="77777777" w:rsidR="00B30E88" w:rsidRDefault="00B30E88" w:rsidP="00B30E88">
      <w:pPr>
        <w:rPr>
          <w:rFonts w:ascii="Arial" w:hAnsi="Arial" w:cs="Arial"/>
        </w:rPr>
      </w:pPr>
      <w:r>
        <w:rPr>
          <w:rFonts w:ascii="Arial" w:hAnsi="Arial" w:cs="Arial"/>
        </w:rPr>
        <w:t>Date: 18</w:t>
      </w:r>
      <w:r>
        <w:rPr>
          <w:rFonts w:ascii="Arial" w:hAnsi="Arial" w:cs="Arial"/>
          <w:vertAlign w:val="superscript"/>
        </w:rPr>
        <w:t>th</w:t>
      </w:r>
      <w:r>
        <w:rPr>
          <w:rFonts w:ascii="Arial" w:hAnsi="Arial" w:cs="Arial"/>
        </w:rPr>
        <w:t xml:space="preserve"> of April 2023.</w:t>
      </w:r>
    </w:p>
    <w:p w14:paraId="76852D89" w14:textId="77777777" w:rsidR="00B30E88" w:rsidRDefault="00B30E88" w:rsidP="00B30E88">
      <w:pPr>
        <w:rPr>
          <w:rFonts w:ascii="Arial" w:hAnsi="Arial" w:cs="Arial"/>
          <w:b/>
          <w:bCs/>
          <w:u w:val="single"/>
        </w:rPr>
      </w:pPr>
      <w:r>
        <w:rPr>
          <w:rFonts w:ascii="Arial" w:hAnsi="Arial" w:cs="Arial"/>
          <w:b/>
          <w:bCs/>
          <w:u w:val="single"/>
        </w:rPr>
        <w:t xml:space="preserve">How and When to Respond </w:t>
      </w:r>
    </w:p>
    <w:p w14:paraId="6E30D402" w14:textId="77777777" w:rsidR="00B30E88" w:rsidRDefault="00B30E88" w:rsidP="00B30E88">
      <w:pPr>
        <w:rPr>
          <w:rFonts w:ascii="Arial" w:hAnsi="Arial" w:cs="Arial"/>
        </w:rPr>
      </w:pPr>
      <w:r>
        <w:rPr>
          <w:rFonts w:ascii="Arial" w:hAnsi="Arial" w:cs="Arial"/>
        </w:rPr>
        <w:t xml:space="preserve">In response to the letter received from the Employment Tribunal (ET) and in accordance with current employment law, Scrumpy Cider (SC) should respond to the ET within 28 days from when the copy of the ET1 was sent (The Employment Tribunals Regulations, 2013). You must complete an ET3 form, outlining the basis of your defence, relating to the claim submitted by Alison Ambrosia (The Employment Tribunals Regulations, 2013). A copy will also be sent to the claimant (Wilson Browne Solicitors, 2021). Failing to submit the ET3 form within 28 days could lead to the tribunal issuing a default decision, risking an automatic win for Alison, as shown in </w:t>
      </w:r>
      <w:r>
        <w:rPr>
          <w:rFonts w:ascii="Arial" w:hAnsi="Arial" w:cs="Arial"/>
          <w:i/>
          <w:iCs/>
        </w:rPr>
        <w:t>Office Equipment Systems v Hughes (2016),</w:t>
      </w:r>
      <w:r>
        <w:rPr>
          <w:rFonts w:ascii="Arial" w:hAnsi="Arial" w:cs="Arial"/>
        </w:rPr>
        <w:t xml:space="preserve"> where the claimant was granted £75,000 without a hearing. </w:t>
      </w:r>
    </w:p>
    <w:p w14:paraId="624238A6" w14:textId="77777777" w:rsidR="00B30E88" w:rsidRDefault="00B30E88" w:rsidP="00B30E88">
      <w:pPr>
        <w:rPr>
          <w:rFonts w:ascii="Arial" w:hAnsi="Arial" w:cs="Arial"/>
          <w:b/>
          <w:bCs/>
          <w:u w:val="single"/>
        </w:rPr>
      </w:pPr>
      <w:r>
        <w:rPr>
          <w:rFonts w:ascii="Arial" w:hAnsi="Arial" w:cs="Arial"/>
          <w:b/>
          <w:bCs/>
          <w:u w:val="single"/>
        </w:rPr>
        <w:t>Potential Claims</w:t>
      </w:r>
    </w:p>
    <w:p w14:paraId="2184361D" w14:textId="77777777" w:rsidR="00B30E88" w:rsidRDefault="00B30E88" w:rsidP="00B30E88">
      <w:pPr>
        <w:rPr>
          <w:rFonts w:ascii="Arial" w:hAnsi="Arial" w:cs="Arial"/>
          <w:u w:val="single"/>
          <w:shd w:val="clear" w:color="auto" w:fill="FFFFFF"/>
        </w:rPr>
      </w:pPr>
      <w:r>
        <w:rPr>
          <w:rFonts w:ascii="Arial" w:hAnsi="Arial" w:cs="Arial"/>
          <w:u w:val="single"/>
          <w:shd w:val="clear" w:color="auto" w:fill="FFFFFF"/>
        </w:rPr>
        <w:t xml:space="preserve">Sexual Harassment </w:t>
      </w:r>
    </w:p>
    <w:p w14:paraId="681CA909" w14:textId="77777777" w:rsidR="00B30E88" w:rsidRDefault="00B30E88" w:rsidP="00B30E88">
      <w:pPr>
        <w:rPr>
          <w:rFonts w:ascii="Arial" w:hAnsi="Arial" w:cs="Arial"/>
          <w:shd w:val="clear" w:color="auto" w:fill="FFFFFF"/>
        </w:rPr>
      </w:pPr>
      <w:r>
        <w:rPr>
          <w:rFonts w:ascii="Arial" w:hAnsi="Arial" w:cs="Arial"/>
          <w:shd w:val="clear" w:color="auto" w:fill="FFFFFF"/>
        </w:rPr>
        <w:t xml:space="preserve">Alison Ambrosia(AA) has referred to claims within her ET1 that under employment legislation, could be upheld within an ET. The first of which is sexual harassment, which is described by </w:t>
      </w:r>
      <w:proofErr w:type="spellStart"/>
      <w:r>
        <w:rPr>
          <w:rFonts w:ascii="Arial" w:hAnsi="Arial" w:cs="Arial"/>
          <w:shd w:val="clear" w:color="auto" w:fill="FFFFFF"/>
        </w:rPr>
        <w:t>Acas</w:t>
      </w:r>
      <w:proofErr w:type="spellEnd"/>
      <w:r>
        <w:rPr>
          <w:rFonts w:ascii="Arial" w:hAnsi="Arial" w:cs="Arial"/>
          <w:shd w:val="clear" w:color="auto" w:fill="FFFFFF"/>
        </w:rPr>
        <w:t xml:space="preserve"> (2021a) as an “unwanted behaviour of a sexual nature”, which occurs when someone’s dignity has been violated. Under the Equality Act (2010), the unwanted behaviour is classed as sexual harassment whether it was intended or not. AA claims to have been made to feel ‘uncomfortable’ on numerous occasions due to behaviours by line manager Steve Smith(SS) and client Richard Rees(RR). SS behaviour on the 19</w:t>
      </w:r>
      <w:r>
        <w:rPr>
          <w:rFonts w:ascii="Arial" w:hAnsi="Arial" w:cs="Arial"/>
          <w:shd w:val="clear" w:color="auto" w:fill="FFFFFF"/>
          <w:vertAlign w:val="superscript"/>
        </w:rPr>
        <w:t>th</w:t>
      </w:r>
      <w:r>
        <w:rPr>
          <w:rFonts w:ascii="Arial" w:hAnsi="Arial" w:cs="Arial"/>
          <w:shd w:val="clear" w:color="auto" w:fill="FFFFFF"/>
        </w:rPr>
        <w:t xml:space="preserve"> of December 2022, has potential to be grounds for sexual harassment. The case of </w:t>
      </w:r>
      <w:proofErr w:type="spellStart"/>
      <w:r>
        <w:rPr>
          <w:rFonts w:ascii="Arial" w:hAnsi="Arial" w:cs="Arial"/>
          <w:i/>
          <w:iCs/>
          <w:shd w:val="clear" w:color="auto" w:fill="FFFFFF"/>
        </w:rPr>
        <w:t>Beaney</w:t>
      </w:r>
      <w:proofErr w:type="spellEnd"/>
      <w:r>
        <w:rPr>
          <w:rFonts w:ascii="Arial" w:hAnsi="Arial" w:cs="Arial"/>
          <w:i/>
          <w:iCs/>
          <w:shd w:val="clear" w:color="auto" w:fill="FFFFFF"/>
        </w:rPr>
        <w:t xml:space="preserve"> v Highways England (2017)</w:t>
      </w:r>
      <w:r>
        <w:rPr>
          <w:rFonts w:ascii="Arial" w:hAnsi="Arial" w:cs="Arial"/>
          <w:shd w:val="clear" w:color="auto" w:fill="FFFFFF"/>
        </w:rPr>
        <w:t xml:space="preserve"> emphasises the importance of a business thoroughly investigating sexual harassment claims. Ms Beany was awarded £74,000 for the treatment she received during her employment. </w:t>
      </w:r>
    </w:p>
    <w:p w14:paraId="2E8DA872" w14:textId="77777777" w:rsidR="00B30E88" w:rsidRDefault="00B30E88" w:rsidP="00B30E88">
      <w:pPr>
        <w:rPr>
          <w:rFonts w:ascii="Arial" w:hAnsi="Arial" w:cs="Arial"/>
          <w:shd w:val="clear" w:color="auto" w:fill="FFFFFF"/>
        </w:rPr>
      </w:pPr>
      <w:r>
        <w:rPr>
          <w:rFonts w:ascii="Arial" w:hAnsi="Arial" w:cs="Arial"/>
          <w:shd w:val="clear" w:color="auto" w:fill="FFFFFF"/>
        </w:rPr>
        <w:t>On the 8</w:t>
      </w:r>
      <w:r>
        <w:rPr>
          <w:rFonts w:ascii="Arial" w:hAnsi="Arial" w:cs="Arial"/>
          <w:shd w:val="clear" w:color="auto" w:fill="FFFFFF"/>
          <w:vertAlign w:val="superscript"/>
        </w:rPr>
        <w:t>th</w:t>
      </w:r>
      <w:r>
        <w:rPr>
          <w:rFonts w:ascii="Arial" w:hAnsi="Arial" w:cs="Arial"/>
          <w:shd w:val="clear" w:color="auto" w:fill="FFFFFF"/>
        </w:rPr>
        <w:t xml:space="preserve"> of January, AA informed SS about her encounters with RR where he commented on her legs and figure, and massaged her shoulders, but no support was provided nor was there an investigation into the allegations. This incident could also be grounds for sexual harassment. </w:t>
      </w:r>
      <w:proofErr w:type="spellStart"/>
      <w:r>
        <w:rPr>
          <w:rFonts w:ascii="Arial" w:hAnsi="Arial" w:cs="Arial"/>
          <w:shd w:val="clear" w:color="auto" w:fill="FFFFFF"/>
        </w:rPr>
        <w:t>Acas</w:t>
      </w:r>
      <w:proofErr w:type="spellEnd"/>
      <w:r>
        <w:rPr>
          <w:rFonts w:ascii="Arial" w:hAnsi="Arial" w:cs="Arial"/>
          <w:shd w:val="clear" w:color="auto" w:fill="FFFFFF"/>
        </w:rPr>
        <w:t xml:space="preserve"> (2021a) notes that employers hold a vicarious liability as well as a duty of care over their employees and that by law, failure to do everything possible to protect staff from sexual harassment can lead to a breach of an employee’s contract. </w:t>
      </w:r>
    </w:p>
    <w:p w14:paraId="0B83DFA7" w14:textId="77777777" w:rsidR="00B30E88" w:rsidRDefault="00B30E88" w:rsidP="00B30E88">
      <w:pPr>
        <w:rPr>
          <w:rFonts w:ascii="Arial" w:hAnsi="Arial" w:cs="Arial"/>
          <w:u w:val="single"/>
          <w:shd w:val="clear" w:color="auto" w:fill="FFFFFF"/>
        </w:rPr>
      </w:pPr>
      <w:r>
        <w:rPr>
          <w:rFonts w:ascii="Arial" w:hAnsi="Arial" w:cs="Arial"/>
          <w:u w:val="single"/>
          <w:shd w:val="clear" w:color="auto" w:fill="FFFFFF"/>
        </w:rPr>
        <w:t xml:space="preserve">Direct Sex Discrimination </w:t>
      </w:r>
    </w:p>
    <w:p w14:paraId="5D27D305" w14:textId="77777777" w:rsidR="00B30E88" w:rsidRDefault="00B30E88" w:rsidP="00B30E88">
      <w:pPr>
        <w:rPr>
          <w:rFonts w:ascii="Arial" w:hAnsi="Arial" w:cs="Arial"/>
          <w:shd w:val="clear" w:color="auto" w:fill="FFFFFF"/>
        </w:rPr>
      </w:pPr>
      <w:r>
        <w:rPr>
          <w:rFonts w:ascii="Arial" w:hAnsi="Arial" w:cs="Arial"/>
          <w:shd w:val="clear" w:color="auto" w:fill="FFFFFF"/>
        </w:rPr>
        <w:t xml:space="preserve">AA could also argue direct sex discrimination based on being treated less favourably. We see similar elements in the case of </w:t>
      </w:r>
      <w:r>
        <w:rPr>
          <w:rFonts w:ascii="Arial" w:hAnsi="Arial" w:cs="Arial"/>
          <w:i/>
          <w:iCs/>
          <w:shd w:val="clear" w:color="auto" w:fill="FFFFFF"/>
        </w:rPr>
        <w:t>Smith v Rees (2013)</w:t>
      </w:r>
      <w:r>
        <w:rPr>
          <w:rFonts w:ascii="Arial" w:hAnsi="Arial" w:cs="Arial"/>
          <w:shd w:val="clear" w:color="auto" w:fill="FFFFFF"/>
        </w:rPr>
        <w:t xml:space="preserve"> where a female employee was asked to dress a certain way and concluded that a male employee wouldn’t have been required to do so. Similarly, SS made sexual remarks through comments and suggested AA wore short skirts to work. </w:t>
      </w:r>
      <w:r>
        <w:rPr>
          <w:rFonts w:ascii="Arial" w:hAnsi="Arial" w:cs="Arial"/>
          <w:i/>
          <w:iCs/>
          <w:shd w:val="clear" w:color="auto" w:fill="FFFFFF"/>
        </w:rPr>
        <w:t xml:space="preserve">Munchkins Restaurant v </w:t>
      </w:r>
      <w:proofErr w:type="spellStart"/>
      <w:r>
        <w:rPr>
          <w:rFonts w:ascii="Arial" w:hAnsi="Arial" w:cs="Arial"/>
          <w:i/>
          <w:iCs/>
          <w:shd w:val="clear" w:color="auto" w:fill="FFFFFF"/>
        </w:rPr>
        <w:t>Karmazyn</w:t>
      </w:r>
      <w:proofErr w:type="spellEnd"/>
      <w:r>
        <w:rPr>
          <w:rFonts w:ascii="Arial" w:hAnsi="Arial" w:cs="Arial"/>
          <w:i/>
          <w:iCs/>
          <w:shd w:val="clear" w:color="auto" w:fill="FFFFFF"/>
        </w:rPr>
        <w:t xml:space="preserve"> (2010)</w:t>
      </w:r>
      <w:r>
        <w:rPr>
          <w:rFonts w:ascii="Arial" w:hAnsi="Arial" w:cs="Arial"/>
          <w:shd w:val="clear" w:color="auto" w:fill="FFFFFF"/>
        </w:rPr>
        <w:t xml:space="preserve"> saw similar evidence with all elements noted and consequently saw claims upheld where four women were awarded £15,000 each.</w:t>
      </w:r>
    </w:p>
    <w:p w14:paraId="5BD76059" w14:textId="77777777" w:rsidR="00B30E88" w:rsidRDefault="00B30E88" w:rsidP="00B30E88">
      <w:pPr>
        <w:rPr>
          <w:rFonts w:ascii="Arial" w:hAnsi="Arial" w:cs="Arial"/>
          <w:u w:val="single"/>
        </w:rPr>
      </w:pPr>
      <w:r>
        <w:rPr>
          <w:rFonts w:ascii="Arial" w:hAnsi="Arial" w:cs="Arial"/>
          <w:u w:val="single"/>
        </w:rPr>
        <w:t>Constructive Unfair Dismissal</w:t>
      </w:r>
    </w:p>
    <w:p w14:paraId="709827FF" w14:textId="77777777" w:rsidR="00B30E88" w:rsidRDefault="00B30E88" w:rsidP="00B30E88">
      <w:pPr>
        <w:rPr>
          <w:rFonts w:ascii="Arial" w:hAnsi="Arial" w:cs="Arial"/>
          <w:i/>
          <w:iCs/>
        </w:rPr>
      </w:pPr>
      <w:r>
        <w:rPr>
          <w:rFonts w:ascii="Arial" w:hAnsi="Arial" w:cs="Arial"/>
        </w:rPr>
        <w:lastRenderedPageBreak/>
        <w:t>Subsequently, the sexual harassment claims could lead to claims of constructive dismissal where an employee is forced to leave their job against their will, which can constitute from one incident or a series of incidents (Gov.uk, 2023). As AA holds at least 2 years’ service, this claim could be upheld within an ET (</w:t>
      </w:r>
      <w:proofErr w:type="spellStart"/>
      <w:r>
        <w:rPr>
          <w:rFonts w:ascii="Arial" w:hAnsi="Arial" w:cs="Arial"/>
        </w:rPr>
        <w:t>Acas</w:t>
      </w:r>
      <w:proofErr w:type="spellEnd"/>
      <w:r>
        <w:rPr>
          <w:rFonts w:ascii="Arial" w:hAnsi="Arial" w:cs="Arial"/>
        </w:rPr>
        <w:t xml:space="preserve">, 2022). AA could claim constructive dismissal under the grounds of SC allowing individuals to harass her at work, and by failing to provide a safe work environment (Citizens Advice, 2023). It is also important to note that under section 26 of the Equality Act (2010), a constructive dismissal claim can formulate an act of harassment, meaning the compensation the employee may be awarded could be uncapped as seen in the case of </w:t>
      </w:r>
      <w:r>
        <w:rPr>
          <w:rFonts w:ascii="Arial" w:hAnsi="Arial" w:cs="Arial"/>
          <w:i/>
          <w:iCs/>
        </w:rPr>
        <w:t>Ms M Driscoll (</w:t>
      </w:r>
      <w:proofErr w:type="spellStart"/>
      <w:r>
        <w:rPr>
          <w:rFonts w:ascii="Arial" w:hAnsi="Arial" w:cs="Arial"/>
          <w:i/>
          <w:iCs/>
        </w:rPr>
        <w:t>Nèe</w:t>
      </w:r>
      <w:proofErr w:type="spellEnd"/>
      <w:r>
        <w:rPr>
          <w:rFonts w:ascii="Arial" w:hAnsi="Arial" w:cs="Arial"/>
          <w:i/>
          <w:iCs/>
        </w:rPr>
        <w:t xml:space="preserve"> Cobbing) v 1) V &amp; P Global Ltd 2) Mr F Varela (2021).  </w:t>
      </w:r>
    </w:p>
    <w:p w14:paraId="18435089" w14:textId="77777777" w:rsidR="00B30E88" w:rsidRDefault="00B30E88" w:rsidP="00B30E88">
      <w:pPr>
        <w:rPr>
          <w:rFonts w:ascii="Arial" w:hAnsi="Arial" w:cs="Arial"/>
        </w:rPr>
      </w:pPr>
      <w:r>
        <w:rPr>
          <w:rFonts w:ascii="Arial" w:hAnsi="Arial" w:cs="Arial"/>
        </w:rPr>
        <w:t>When submitting a claim to an ET, the claimant has 3 months minus 1 day from the day they resigned (if no notice was provided) (</w:t>
      </w:r>
      <w:proofErr w:type="spellStart"/>
      <w:r>
        <w:rPr>
          <w:rFonts w:ascii="Arial" w:hAnsi="Arial" w:cs="Arial"/>
        </w:rPr>
        <w:t>Acas</w:t>
      </w:r>
      <w:proofErr w:type="spellEnd"/>
      <w:r>
        <w:rPr>
          <w:rFonts w:ascii="Arial" w:hAnsi="Arial" w:cs="Arial"/>
        </w:rPr>
        <w:t xml:space="preserve">, 2022). AA’s claim was submitted in time in reference to the incidents referred to in the ET1. </w:t>
      </w:r>
    </w:p>
    <w:p w14:paraId="697544A6" w14:textId="77777777" w:rsidR="00B30E88" w:rsidRDefault="00B30E88" w:rsidP="00B30E88">
      <w:pPr>
        <w:tabs>
          <w:tab w:val="left" w:pos="2488"/>
        </w:tabs>
        <w:rPr>
          <w:rFonts w:ascii="Arial" w:hAnsi="Arial" w:cs="Arial"/>
          <w:b/>
          <w:bCs/>
          <w:u w:val="single"/>
        </w:rPr>
      </w:pPr>
      <w:r>
        <w:rPr>
          <w:rFonts w:ascii="Arial" w:hAnsi="Arial" w:cs="Arial"/>
          <w:b/>
          <w:bCs/>
          <w:u w:val="single"/>
        </w:rPr>
        <w:t>Our Potential Defences</w:t>
      </w:r>
    </w:p>
    <w:p w14:paraId="52D78CF0" w14:textId="77777777" w:rsidR="00B30E88" w:rsidRPr="00E670AC" w:rsidRDefault="00B30E88" w:rsidP="00B30E88">
      <w:pPr>
        <w:pStyle w:val="NormalWeb"/>
        <w:shd w:val="clear" w:color="auto" w:fill="FFFFFF"/>
        <w:spacing w:before="0" w:beforeAutospacing="0"/>
        <w:jc w:val="both"/>
        <w:rPr>
          <w:rFonts w:ascii="Arial" w:hAnsi="Arial" w:cs="Arial"/>
          <w:b/>
          <w:bCs/>
        </w:rPr>
      </w:pPr>
      <w:r w:rsidRPr="00E670AC">
        <w:rPr>
          <w:rStyle w:val="Strong"/>
          <w:rFonts w:ascii="Arial" w:hAnsi="Arial" w:cs="Arial"/>
          <w:b w:val="0"/>
          <w:bCs w:val="0"/>
          <w:sz w:val="22"/>
          <w:szCs w:val="22"/>
          <w:u w:val="single"/>
        </w:rPr>
        <w:t xml:space="preserve">Sexual Harassment </w:t>
      </w:r>
    </w:p>
    <w:p w14:paraId="3246BDF6" w14:textId="77777777" w:rsidR="00B30E88" w:rsidRDefault="00B30E88" w:rsidP="00B30E88">
      <w:pPr>
        <w:tabs>
          <w:tab w:val="left" w:pos="2488"/>
        </w:tabs>
        <w:rPr>
          <w:rFonts w:ascii="Arial" w:hAnsi="Arial" w:cs="Arial"/>
        </w:rPr>
      </w:pPr>
      <w:r>
        <w:rPr>
          <w:rFonts w:ascii="Arial" w:hAnsi="Arial" w:cs="Arial"/>
        </w:rPr>
        <w:t>SS admits to touching AA’s leg which could constitute a claim of sexual assault. However, SS claims this was not intended to be sexual. This would be difficult to defend as AA had asked SS to stop, highlighting her discomfort.</w:t>
      </w:r>
    </w:p>
    <w:p w14:paraId="5EF259FC" w14:textId="77777777" w:rsidR="00B30E88" w:rsidRDefault="00B30E88" w:rsidP="00B30E88">
      <w:pPr>
        <w:tabs>
          <w:tab w:val="left" w:pos="2488"/>
        </w:tabs>
        <w:rPr>
          <w:rFonts w:ascii="Arial" w:hAnsi="Arial" w:cs="Arial"/>
        </w:rPr>
      </w:pPr>
      <w:r>
        <w:rPr>
          <w:rFonts w:ascii="Arial" w:hAnsi="Arial" w:cs="Arial"/>
        </w:rPr>
        <w:t>The incident that occurred on the 2</w:t>
      </w:r>
      <w:r>
        <w:rPr>
          <w:rFonts w:ascii="Arial" w:hAnsi="Arial" w:cs="Arial"/>
          <w:vertAlign w:val="superscript"/>
        </w:rPr>
        <w:t>nd</w:t>
      </w:r>
      <w:r>
        <w:rPr>
          <w:rFonts w:ascii="Arial" w:hAnsi="Arial" w:cs="Arial"/>
        </w:rPr>
        <w:t xml:space="preserve"> of March is described by SS as a ‘personal matter’. Sexual conduct outside of the workplace and workhours can be a grey area and an ET tribunal will investigate to determine if there is a correlation between the act and work (</w:t>
      </w:r>
      <w:proofErr w:type="spellStart"/>
      <w:r>
        <w:rPr>
          <w:rFonts w:ascii="Arial" w:hAnsi="Arial" w:cs="Arial"/>
        </w:rPr>
        <w:t>Redmans</w:t>
      </w:r>
      <w:proofErr w:type="spellEnd"/>
      <w:r>
        <w:rPr>
          <w:rFonts w:ascii="Arial" w:hAnsi="Arial" w:cs="Arial"/>
        </w:rPr>
        <w:t xml:space="preserve"> Solicitors, 2022). It is possible to defend this if you were not made aware of it. However, the tribunal could argue that the incident occurred during company time for the purposes of work and as seen in the cases of </w:t>
      </w:r>
      <w:r>
        <w:rPr>
          <w:rFonts w:ascii="Arial" w:hAnsi="Arial" w:cs="Arial"/>
          <w:i/>
          <w:iCs/>
        </w:rPr>
        <w:t>McGuinn-Rowe v Foster’s Daily Democrat (1997)</w:t>
      </w:r>
      <w:r>
        <w:rPr>
          <w:rFonts w:ascii="Arial" w:hAnsi="Arial" w:cs="Arial"/>
        </w:rPr>
        <w:t xml:space="preserve"> and </w:t>
      </w:r>
      <w:r>
        <w:rPr>
          <w:rFonts w:ascii="Arial" w:hAnsi="Arial" w:cs="Arial"/>
          <w:i/>
          <w:iCs/>
        </w:rPr>
        <w:t>Chief Constable of the Lincolnshire Police v Stubbs (1999),</w:t>
      </w:r>
      <w:r>
        <w:rPr>
          <w:rFonts w:ascii="Arial" w:hAnsi="Arial" w:cs="Arial"/>
        </w:rPr>
        <w:t xml:space="preserve"> where the tribunal have supported that an act of sexual harassment outside of the workplace can be an actionable claim.</w:t>
      </w:r>
    </w:p>
    <w:p w14:paraId="12730DAA" w14:textId="77777777" w:rsidR="00B30E88" w:rsidRDefault="00B30E88" w:rsidP="00B30E88">
      <w:pPr>
        <w:tabs>
          <w:tab w:val="left" w:pos="2488"/>
        </w:tabs>
        <w:rPr>
          <w:rFonts w:ascii="Arial" w:hAnsi="Arial" w:cs="Arial"/>
        </w:rPr>
      </w:pPr>
      <w:r>
        <w:rPr>
          <w:rFonts w:ascii="Arial" w:hAnsi="Arial" w:cs="Arial"/>
        </w:rPr>
        <w:t xml:space="preserve">AA’s willingness to go to SS’s room could be brought to question. However, the purpose of the meeting was work related and needing privacy could be deemed as reasonable. </w:t>
      </w:r>
    </w:p>
    <w:p w14:paraId="62DFE28F" w14:textId="77777777" w:rsidR="00B30E88" w:rsidRDefault="00B30E88" w:rsidP="00B30E88">
      <w:pPr>
        <w:tabs>
          <w:tab w:val="left" w:pos="2488"/>
        </w:tabs>
        <w:rPr>
          <w:rFonts w:ascii="Arial" w:hAnsi="Arial" w:cs="Arial"/>
        </w:rPr>
      </w:pPr>
      <w:r>
        <w:rPr>
          <w:rFonts w:ascii="Arial" w:hAnsi="Arial" w:cs="Arial"/>
        </w:rPr>
        <w:t xml:space="preserve">SC could use ‘reasonable steps’ as a defence if able to prove that sufficient training has been provided to avoid the harassment and discrimination. The policies/training will need to be recent and adequate to be used as a defence, as seen in </w:t>
      </w:r>
      <w:r>
        <w:rPr>
          <w:rFonts w:ascii="Arial" w:hAnsi="Arial" w:cs="Arial"/>
          <w:i/>
          <w:iCs/>
        </w:rPr>
        <w:t xml:space="preserve">Allay v </w:t>
      </w:r>
      <w:proofErr w:type="spellStart"/>
      <w:r>
        <w:rPr>
          <w:rFonts w:ascii="Arial" w:hAnsi="Arial" w:cs="Arial"/>
          <w:i/>
          <w:iCs/>
        </w:rPr>
        <w:t>Gehlen</w:t>
      </w:r>
      <w:proofErr w:type="spellEnd"/>
      <w:r>
        <w:rPr>
          <w:rFonts w:ascii="Arial" w:hAnsi="Arial" w:cs="Arial"/>
          <w:i/>
          <w:iCs/>
        </w:rPr>
        <w:t xml:space="preserve"> (2021) </w:t>
      </w:r>
      <w:r>
        <w:rPr>
          <w:rFonts w:ascii="Arial" w:hAnsi="Arial" w:cs="Arial"/>
        </w:rPr>
        <w:t xml:space="preserve">where their policy defence was rejected by the ET for being outdated. </w:t>
      </w:r>
    </w:p>
    <w:p w14:paraId="420383CE" w14:textId="77777777" w:rsidR="00B30E88" w:rsidRPr="00E670AC" w:rsidRDefault="00B30E88" w:rsidP="00B30E88">
      <w:pPr>
        <w:pStyle w:val="NormalWeb"/>
        <w:shd w:val="clear" w:color="auto" w:fill="FFFFFF"/>
        <w:spacing w:before="0" w:beforeAutospacing="0"/>
        <w:jc w:val="both"/>
        <w:rPr>
          <w:rStyle w:val="Strong"/>
          <w:b w:val="0"/>
          <w:bCs w:val="0"/>
          <w:sz w:val="22"/>
          <w:szCs w:val="22"/>
          <w:u w:val="single"/>
        </w:rPr>
      </w:pPr>
      <w:r w:rsidRPr="00E670AC">
        <w:rPr>
          <w:rStyle w:val="Strong"/>
          <w:rFonts w:ascii="Arial" w:hAnsi="Arial" w:cs="Arial"/>
          <w:b w:val="0"/>
          <w:bCs w:val="0"/>
          <w:sz w:val="22"/>
          <w:szCs w:val="22"/>
          <w:u w:val="single"/>
        </w:rPr>
        <w:t xml:space="preserve">Direct Sex Discrimination </w:t>
      </w:r>
    </w:p>
    <w:p w14:paraId="1BE45958" w14:textId="77777777" w:rsidR="00B30E88" w:rsidRDefault="00B30E88" w:rsidP="00B30E88">
      <w:pPr>
        <w:tabs>
          <w:tab w:val="left" w:pos="2488"/>
        </w:tabs>
      </w:pPr>
      <w:r>
        <w:rPr>
          <w:rFonts w:ascii="Arial" w:hAnsi="Arial" w:cs="Arial"/>
        </w:rPr>
        <w:t xml:space="preserve">SS refereed to his comments about AA wearing short skirts as ‘banter’, which is an unpopular word among lawyers and in the ET. However, </w:t>
      </w:r>
      <w:r>
        <w:rPr>
          <w:rFonts w:ascii="Arial" w:hAnsi="Arial" w:cs="Arial"/>
          <w:i/>
          <w:iCs/>
        </w:rPr>
        <w:t>Evans v Xactly Corporation Limited (2018)</w:t>
      </w:r>
      <w:r>
        <w:rPr>
          <w:rFonts w:ascii="Arial" w:hAnsi="Arial" w:cs="Arial"/>
        </w:rPr>
        <w:t xml:space="preserve"> is an example of a case where ‘banter’ was successfully argued as not constituting as harassment under section 26 of the Equality Act (2021). There are however many cases such as </w:t>
      </w:r>
      <w:r>
        <w:rPr>
          <w:rFonts w:ascii="Arial" w:hAnsi="Arial" w:cs="Arial"/>
          <w:i/>
          <w:iCs/>
        </w:rPr>
        <w:t xml:space="preserve">Anca </w:t>
      </w:r>
      <w:proofErr w:type="spellStart"/>
      <w:r>
        <w:rPr>
          <w:rFonts w:ascii="Arial" w:hAnsi="Arial" w:cs="Arial"/>
          <w:i/>
          <w:iCs/>
        </w:rPr>
        <w:t>Lacatus</w:t>
      </w:r>
      <w:proofErr w:type="spellEnd"/>
      <w:r>
        <w:rPr>
          <w:rFonts w:ascii="Arial" w:hAnsi="Arial" w:cs="Arial"/>
          <w:i/>
          <w:iCs/>
        </w:rPr>
        <w:t xml:space="preserve"> v Barclays (2021),</w:t>
      </w:r>
      <w:r>
        <w:rPr>
          <w:rFonts w:ascii="Arial" w:hAnsi="Arial" w:cs="Arial"/>
        </w:rPr>
        <w:t xml:space="preserve"> where it is highlighted, that banter can constitute as discrimination. SS also has a duty to remain professional as AA’s manager, therefore his comments and assumptions on the nature of their relationship would be difficult to defend. </w:t>
      </w:r>
    </w:p>
    <w:p w14:paraId="224440D7" w14:textId="77777777" w:rsidR="00B30E88" w:rsidRPr="00E670AC" w:rsidRDefault="00B30E88" w:rsidP="00B30E88">
      <w:pPr>
        <w:pStyle w:val="NormalWeb"/>
        <w:shd w:val="clear" w:color="auto" w:fill="FFFFFF"/>
        <w:spacing w:before="0" w:beforeAutospacing="0"/>
        <w:jc w:val="both"/>
        <w:rPr>
          <w:rStyle w:val="Strong"/>
          <w:b w:val="0"/>
          <w:bCs w:val="0"/>
          <w:sz w:val="22"/>
          <w:szCs w:val="22"/>
          <w:u w:val="single"/>
        </w:rPr>
      </w:pPr>
      <w:r w:rsidRPr="00E670AC">
        <w:rPr>
          <w:rStyle w:val="Strong"/>
          <w:rFonts w:ascii="Arial" w:hAnsi="Arial" w:cs="Arial"/>
          <w:b w:val="0"/>
          <w:bCs w:val="0"/>
          <w:sz w:val="22"/>
          <w:szCs w:val="22"/>
          <w:u w:val="single"/>
        </w:rPr>
        <w:t>Constructive Unfair Dismissal</w:t>
      </w:r>
    </w:p>
    <w:p w14:paraId="2F78309A" w14:textId="77777777" w:rsidR="00B30E88" w:rsidRDefault="00B30E88" w:rsidP="00B30E88">
      <w:pPr>
        <w:tabs>
          <w:tab w:val="left" w:pos="2488"/>
        </w:tabs>
      </w:pPr>
      <w:r>
        <w:rPr>
          <w:rFonts w:ascii="Arial" w:hAnsi="Arial" w:cs="Arial"/>
        </w:rPr>
        <w:lastRenderedPageBreak/>
        <w:t>Although AA raised her concerns to SS about RR’s behaviour, AA did not provide you as an employer the opportunity to investigate the concerns she had with SS, therefore failed to exhaust internal processes. We could argue that SC could have avoided any further wrongdoings had you been made aware.</w:t>
      </w:r>
    </w:p>
    <w:p w14:paraId="30ED5C23" w14:textId="77777777" w:rsidR="00B30E88" w:rsidRDefault="00B30E88" w:rsidP="00B30E88">
      <w:pPr>
        <w:pStyle w:val="NormalWeb"/>
        <w:shd w:val="clear" w:color="auto" w:fill="FFFFFF"/>
        <w:spacing w:before="0" w:beforeAutospacing="0"/>
        <w:jc w:val="both"/>
        <w:rPr>
          <w:rStyle w:val="Strong"/>
          <w:sz w:val="22"/>
          <w:szCs w:val="22"/>
          <w:highlight w:val="yellow"/>
        </w:rPr>
      </w:pPr>
      <w:r>
        <w:rPr>
          <w:rStyle w:val="Strong"/>
          <w:rFonts w:ascii="Arial" w:hAnsi="Arial" w:cs="Arial"/>
          <w:sz w:val="22"/>
          <w:szCs w:val="22"/>
          <w:u w:val="single"/>
        </w:rPr>
        <w:t>My Analysis</w:t>
      </w:r>
      <w:r>
        <w:rPr>
          <w:rStyle w:val="Strong"/>
          <w:rFonts w:ascii="Arial" w:hAnsi="Arial" w:cs="Arial"/>
          <w:sz w:val="22"/>
          <w:szCs w:val="22"/>
          <w:highlight w:val="yellow"/>
        </w:rPr>
        <w:t xml:space="preserve"> </w:t>
      </w:r>
    </w:p>
    <w:p w14:paraId="1CF47C8A" w14:textId="77777777" w:rsidR="00B30E88" w:rsidRPr="00E670AC" w:rsidRDefault="00B30E88" w:rsidP="00B30E88">
      <w:pPr>
        <w:pStyle w:val="NormalWeb"/>
        <w:shd w:val="clear" w:color="auto" w:fill="FFFFFF"/>
        <w:spacing w:before="0" w:beforeAutospacing="0"/>
        <w:jc w:val="both"/>
        <w:rPr>
          <w:rStyle w:val="Strong"/>
          <w:rFonts w:ascii="Arial" w:hAnsi="Arial" w:cs="Arial"/>
          <w:b w:val="0"/>
          <w:bCs w:val="0"/>
          <w:sz w:val="22"/>
          <w:szCs w:val="22"/>
          <w:u w:val="single"/>
        </w:rPr>
      </w:pPr>
      <w:r w:rsidRPr="00E670AC">
        <w:rPr>
          <w:rStyle w:val="Strong"/>
          <w:rFonts w:ascii="Arial" w:hAnsi="Arial" w:cs="Arial"/>
          <w:b w:val="0"/>
          <w:bCs w:val="0"/>
          <w:sz w:val="22"/>
          <w:szCs w:val="22"/>
          <w:u w:val="single"/>
        </w:rPr>
        <w:t xml:space="preserve">Sexual Harassment </w:t>
      </w:r>
    </w:p>
    <w:p w14:paraId="6A5A7B18" w14:textId="77777777" w:rsidR="00B30E88" w:rsidRDefault="00B30E88" w:rsidP="00B30E88">
      <w:pPr>
        <w:rPr>
          <w:highlight w:val="yellow"/>
        </w:rPr>
      </w:pPr>
      <w:r w:rsidRPr="00B30E88">
        <w:rPr>
          <w:rStyle w:val="Strong"/>
          <w:rFonts w:ascii="Arial" w:hAnsi="Arial" w:cs="Arial"/>
          <w:b w:val="0"/>
          <w:bCs w:val="0"/>
        </w:rPr>
        <w:t>It is clear that SS made comments and gestures of a sexual nature; therefore AA’s sexual harassment claim has a strong potential of being upheld within an ET. AA could claim sexual harassment from both her manager and client, and due to an employer’s vicarious liability and duty of care to protect employees against sexual harassment, the failure to investigate the incidents could be seen as negligence and failing to follow the ACAS code of conduct</w:t>
      </w:r>
      <w:r>
        <w:rPr>
          <w:rStyle w:val="Strong"/>
          <w:rFonts w:ascii="Arial" w:hAnsi="Arial" w:cs="Arial"/>
        </w:rPr>
        <w:t xml:space="preserve">. </w:t>
      </w:r>
      <w:r>
        <w:rPr>
          <w:rFonts w:ascii="Arial" w:hAnsi="Arial" w:cs="Arial"/>
        </w:rPr>
        <w:t>AA told SS she was not comfortable with the client but as her manager she was in a difficult position where he held the power.</w:t>
      </w:r>
    </w:p>
    <w:p w14:paraId="2C313411" w14:textId="77777777" w:rsidR="00B30E88" w:rsidRPr="00E670AC" w:rsidRDefault="00B30E88" w:rsidP="00B30E88">
      <w:pPr>
        <w:pStyle w:val="NormalWeb"/>
        <w:shd w:val="clear" w:color="auto" w:fill="FFFFFF"/>
        <w:spacing w:before="0" w:beforeAutospacing="0"/>
        <w:jc w:val="both"/>
        <w:rPr>
          <w:rStyle w:val="Strong"/>
          <w:b w:val="0"/>
          <w:bCs w:val="0"/>
          <w:sz w:val="22"/>
          <w:szCs w:val="22"/>
          <w:u w:val="single"/>
        </w:rPr>
      </w:pPr>
      <w:r w:rsidRPr="00E670AC">
        <w:rPr>
          <w:rStyle w:val="Strong"/>
          <w:rFonts w:ascii="Arial" w:hAnsi="Arial" w:cs="Arial"/>
          <w:b w:val="0"/>
          <w:bCs w:val="0"/>
          <w:sz w:val="22"/>
          <w:szCs w:val="22"/>
          <w:u w:val="single"/>
        </w:rPr>
        <w:t xml:space="preserve">Direct Sex Discrimination </w:t>
      </w:r>
    </w:p>
    <w:p w14:paraId="76A73CAD" w14:textId="77777777" w:rsidR="00B30E88" w:rsidRP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r w:rsidRPr="00B30E88">
        <w:rPr>
          <w:rStyle w:val="Strong"/>
          <w:rFonts w:ascii="Arial" w:hAnsi="Arial" w:cs="Arial"/>
          <w:b w:val="0"/>
          <w:bCs w:val="0"/>
          <w:sz w:val="22"/>
          <w:szCs w:val="22"/>
        </w:rPr>
        <w:t xml:space="preserve">According to the relevant case law mentioned above, SS’s comments relating to AA’s clothing provide strong evidence of sex discrimination on the basis of less favourable treatment. </w:t>
      </w:r>
    </w:p>
    <w:p w14:paraId="08CFA426" w14:textId="77777777" w:rsidR="00B30E88" w:rsidRPr="00E670AC" w:rsidRDefault="00B30E88" w:rsidP="00B30E88">
      <w:pPr>
        <w:pStyle w:val="NormalWeb"/>
        <w:shd w:val="clear" w:color="auto" w:fill="FFFFFF"/>
        <w:spacing w:before="0" w:beforeAutospacing="0"/>
        <w:jc w:val="both"/>
        <w:rPr>
          <w:rStyle w:val="Strong"/>
          <w:rFonts w:ascii="Arial" w:hAnsi="Arial" w:cs="Arial"/>
          <w:b w:val="0"/>
          <w:bCs w:val="0"/>
          <w:sz w:val="22"/>
          <w:szCs w:val="22"/>
          <w:u w:val="single"/>
        </w:rPr>
      </w:pPr>
      <w:r w:rsidRPr="00E670AC">
        <w:rPr>
          <w:rStyle w:val="Strong"/>
          <w:rFonts w:ascii="Arial" w:hAnsi="Arial" w:cs="Arial"/>
          <w:b w:val="0"/>
          <w:bCs w:val="0"/>
          <w:sz w:val="22"/>
          <w:szCs w:val="22"/>
          <w:u w:val="single"/>
        </w:rPr>
        <w:t>Constructive Unfair Dismissal</w:t>
      </w:r>
    </w:p>
    <w:p w14:paraId="20D8FD7B" w14:textId="77777777" w:rsidR="00B30E88" w:rsidRP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r w:rsidRPr="00B30E88">
        <w:rPr>
          <w:rStyle w:val="Strong"/>
          <w:rFonts w:ascii="Arial" w:hAnsi="Arial" w:cs="Arial"/>
          <w:b w:val="0"/>
          <w:bCs w:val="0"/>
          <w:sz w:val="22"/>
          <w:szCs w:val="22"/>
        </w:rPr>
        <w:t xml:space="preserve">For an ET to determine if AA’s case is eligible for constructive dismissal, AA would need to pass the legal test. AA would need to prove that SC breached her employment contract and that her resignation was in response to this breach, and no other reason (Walker, 2013). Upon reviewing the facts of the case, AA’s claim has strong potential to be upheld due to the incidents and SC’s failure to investigate the incidents. </w:t>
      </w:r>
    </w:p>
    <w:p w14:paraId="3F810996" w14:textId="77777777" w:rsidR="00B30E88" w:rsidRP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r w:rsidRPr="00B30E88">
        <w:rPr>
          <w:rStyle w:val="Strong"/>
          <w:rFonts w:ascii="Arial" w:hAnsi="Arial" w:cs="Arial"/>
          <w:b w:val="0"/>
          <w:bCs w:val="0"/>
          <w:sz w:val="22"/>
          <w:szCs w:val="22"/>
        </w:rPr>
        <w:t xml:space="preserve">However, there are weaknesses in her claim as SC could argue that if a grievance procedure was carried out, and AA had spoken with someone senior to SS about his actions, AA could have avoided resigning and you as an employer could have had the opportunity to rectify the issues internally. </w:t>
      </w:r>
    </w:p>
    <w:p w14:paraId="54599848" w14:textId="77777777" w:rsidR="00B30E88" w:rsidRP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r w:rsidRPr="00B30E88">
        <w:rPr>
          <w:rStyle w:val="Strong"/>
          <w:rFonts w:ascii="Arial" w:hAnsi="Arial" w:cs="Arial"/>
          <w:b w:val="0"/>
          <w:bCs w:val="0"/>
          <w:sz w:val="22"/>
          <w:szCs w:val="22"/>
        </w:rPr>
        <w:t xml:space="preserve">However, from reviewing the investigation carried out following AA leaving the organisation, it seems that only SS’s assessment of the situation was considered, as AA wasn’t interviewed. This could demonstrate a weakness in the organisation’s procedures.  </w:t>
      </w:r>
    </w:p>
    <w:bookmarkEnd w:id="0"/>
    <w:p w14:paraId="0C33E55D"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3DF2E725"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2A9A3F6C"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7A7FE8EC"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1817AC02"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5F2E8F62"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183F8775" w14:textId="77777777" w:rsidR="00B30E88" w:rsidRDefault="00B30E88" w:rsidP="00B30E88">
      <w:pPr>
        <w:pStyle w:val="NormalWeb"/>
        <w:shd w:val="clear" w:color="auto" w:fill="FFFFFF"/>
        <w:spacing w:before="0" w:beforeAutospacing="0"/>
        <w:jc w:val="both"/>
        <w:rPr>
          <w:rStyle w:val="Strong"/>
          <w:rFonts w:ascii="Arial" w:hAnsi="Arial" w:cs="Arial"/>
          <w:b w:val="0"/>
          <w:bCs w:val="0"/>
          <w:sz w:val="22"/>
          <w:szCs w:val="22"/>
        </w:rPr>
      </w:pPr>
    </w:p>
    <w:p w14:paraId="583C59B6" w14:textId="77777777" w:rsidR="00B30E88" w:rsidRDefault="00B30E88" w:rsidP="00B30E88">
      <w:pPr>
        <w:rPr>
          <w:b/>
          <w:bCs/>
          <w:u w:val="single"/>
        </w:rPr>
      </w:pPr>
      <w:r>
        <w:rPr>
          <w:rFonts w:ascii="Arial" w:hAnsi="Arial" w:cs="Arial"/>
          <w:b/>
          <w:bCs/>
          <w:u w:val="single"/>
        </w:rPr>
        <w:lastRenderedPageBreak/>
        <w:t>How the tribunal will determine the amount of an award</w:t>
      </w:r>
    </w:p>
    <w:p w14:paraId="1E4A7C87" w14:textId="77777777" w:rsidR="00B30E88" w:rsidRDefault="00B30E88" w:rsidP="00B30E88">
      <w:pPr>
        <w:rPr>
          <w:rFonts w:ascii="Arial" w:hAnsi="Arial" w:cs="Arial"/>
        </w:rPr>
      </w:pPr>
      <w:r>
        <w:rPr>
          <w:rFonts w:ascii="Arial" w:hAnsi="Arial" w:cs="Arial"/>
        </w:rPr>
        <w:t xml:space="preserve">Any award details outlined below refer to April 2023 statistics. </w:t>
      </w:r>
    </w:p>
    <w:p w14:paraId="2A97FF9E" w14:textId="77777777" w:rsidR="00B30E88" w:rsidRDefault="00B30E88" w:rsidP="00B30E88">
      <w:pPr>
        <w:rPr>
          <w:rFonts w:ascii="Arial" w:hAnsi="Arial" w:cs="Arial"/>
          <w:u w:val="single"/>
        </w:rPr>
      </w:pPr>
      <w:r>
        <w:rPr>
          <w:rFonts w:ascii="Arial" w:hAnsi="Arial" w:cs="Arial"/>
          <w:u w:val="single"/>
        </w:rPr>
        <w:t>Constructive Unfair Dismissal</w:t>
      </w:r>
    </w:p>
    <w:p w14:paraId="24360932" w14:textId="77777777" w:rsidR="00B30E88" w:rsidRDefault="00B30E88" w:rsidP="00B30E88">
      <w:pPr>
        <w:rPr>
          <w:rFonts w:ascii="Arial" w:hAnsi="Arial" w:cs="Arial"/>
        </w:rPr>
      </w:pPr>
      <w:r>
        <w:rPr>
          <w:rFonts w:ascii="Arial" w:hAnsi="Arial" w:cs="Arial"/>
        </w:rPr>
        <w:t xml:space="preserve">If a tribunal decides AA has been unfairly dismissed, the compensation awarded will be split into two awards. </w:t>
      </w:r>
    </w:p>
    <w:p w14:paraId="480B90DD" w14:textId="77777777" w:rsidR="00B30E88" w:rsidRDefault="00B30E88" w:rsidP="00B30E88">
      <w:pPr>
        <w:rPr>
          <w:rFonts w:ascii="Arial" w:hAnsi="Arial" w:cs="Arial"/>
        </w:rPr>
      </w:pPr>
      <w:r>
        <w:rPr>
          <w:rFonts w:ascii="Arial" w:hAnsi="Arial" w:cs="Arial"/>
          <w:b/>
          <w:bCs/>
        </w:rPr>
        <w:t xml:space="preserve">The basic award </w:t>
      </w:r>
      <w:r>
        <w:rPr>
          <w:rFonts w:ascii="Arial" w:hAnsi="Arial" w:cs="Arial"/>
        </w:rPr>
        <w:t xml:space="preserve">is designed to compensate the claimant for the matter of being unfairly dismissed (Torque Law, 2023) and is calculated similarly to a redundancy payment (Landau Law, no date - a). The tribunal will consider AA’s age, length of service at SC and her weekly pay as at the date of termination (Citizens Advice, 2021). Under section 227 of the Employment Rights Act (1996), the tribunal have set a maximum award for a week’s pay which has been capped at £643 (gross). Once this has been calculated, the tribunal will multiply the weekly pay by the duration of time the claimant will be out of work (Citizens Advice, 2021). As AA is 33 years old and between the age of 22 and 40, she would be entitled to one week’s pay for each year of employment (Springhouse Solicitors, no date). AA would be entitled to the maximum basic award on her £34,000 salary, which would equate to £1286. </w:t>
      </w:r>
    </w:p>
    <w:p w14:paraId="7EC155FB" w14:textId="77777777" w:rsidR="00B30E88" w:rsidRDefault="00B30E88" w:rsidP="00B30E88">
      <w:pPr>
        <w:rPr>
          <w:rFonts w:ascii="Arial" w:hAnsi="Arial" w:cs="Arial"/>
        </w:rPr>
      </w:pPr>
      <w:r>
        <w:rPr>
          <w:rFonts w:ascii="Arial" w:hAnsi="Arial" w:cs="Arial"/>
        </w:rPr>
        <w:t>It is the responsibility of the Tribunal to determine if it is appropriate to grant a</w:t>
      </w:r>
      <w:r>
        <w:rPr>
          <w:rFonts w:ascii="Arial" w:hAnsi="Arial" w:cs="Arial"/>
          <w:b/>
          <w:bCs/>
        </w:rPr>
        <w:t xml:space="preserve"> compensatory award</w:t>
      </w:r>
      <w:r>
        <w:rPr>
          <w:rFonts w:ascii="Arial" w:hAnsi="Arial" w:cs="Arial"/>
        </w:rPr>
        <w:t xml:space="preserve"> (Clark, 2022). Under section 124(1) of the Employment Rights Act (1996), the statutory cap for a compensatory award has been set as £105,707 and is awarded by considering the loss sustained because of the unfair dismissal. During 2022, the average award granted for unfair dismissal claims was £13,541 and the highest claim was awarded £165,000 (Hugh James, 2023). </w:t>
      </w:r>
    </w:p>
    <w:p w14:paraId="5A0C8D5F" w14:textId="77777777" w:rsidR="00B30E88" w:rsidRDefault="00B30E88" w:rsidP="00B30E88">
      <w:pPr>
        <w:rPr>
          <w:rFonts w:ascii="Arial" w:hAnsi="Arial" w:cs="Arial"/>
        </w:rPr>
      </w:pPr>
      <w:r>
        <w:rPr>
          <w:rFonts w:ascii="Arial" w:hAnsi="Arial" w:cs="Arial"/>
        </w:rPr>
        <w:t xml:space="preserve"> The losses that can be claimed under the compensatory award include:</w:t>
      </w:r>
    </w:p>
    <w:p w14:paraId="2E9853D9" w14:textId="77777777" w:rsidR="00B30E88" w:rsidRDefault="00B30E88" w:rsidP="00B30E88">
      <w:pPr>
        <w:pStyle w:val="ListParagraph"/>
        <w:numPr>
          <w:ilvl w:val="0"/>
          <w:numId w:val="16"/>
        </w:numPr>
        <w:spacing w:line="254" w:lineRule="auto"/>
        <w:rPr>
          <w:rFonts w:ascii="Arial" w:hAnsi="Arial" w:cs="Arial"/>
          <w:b/>
          <w:bCs/>
        </w:rPr>
      </w:pPr>
      <w:r>
        <w:rPr>
          <w:rFonts w:ascii="Arial" w:hAnsi="Arial" w:cs="Arial"/>
          <w:b/>
          <w:bCs/>
        </w:rPr>
        <w:t>Loss of net earnings</w:t>
      </w:r>
    </w:p>
    <w:p w14:paraId="24D5799C" w14:textId="77777777" w:rsidR="00B30E88" w:rsidRDefault="00B30E88" w:rsidP="00B30E88">
      <w:pPr>
        <w:pStyle w:val="ListParagraph"/>
        <w:rPr>
          <w:rFonts w:ascii="Arial" w:hAnsi="Arial" w:cs="Arial"/>
        </w:rPr>
      </w:pPr>
      <w:r>
        <w:rPr>
          <w:rFonts w:ascii="Arial" w:hAnsi="Arial" w:cs="Arial"/>
        </w:rPr>
        <w:t xml:space="preserve">The maximum gross weekly wage would be multiplied by the number of weeks AA has been out of work since leaving SC including any other loss of employment benefits, for example pension or health insurance etc. </w:t>
      </w:r>
    </w:p>
    <w:p w14:paraId="2CA71DFB" w14:textId="77777777" w:rsidR="00B30E88" w:rsidRDefault="00B30E88" w:rsidP="00B30E88">
      <w:pPr>
        <w:pStyle w:val="ListParagraph"/>
        <w:rPr>
          <w:rFonts w:ascii="Arial" w:hAnsi="Arial" w:cs="Arial"/>
        </w:rPr>
      </w:pPr>
    </w:p>
    <w:p w14:paraId="2235E487" w14:textId="77777777" w:rsidR="00B30E88" w:rsidRDefault="00B30E88" w:rsidP="00B30E88">
      <w:pPr>
        <w:pStyle w:val="ListParagraph"/>
        <w:numPr>
          <w:ilvl w:val="0"/>
          <w:numId w:val="16"/>
        </w:numPr>
        <w:spacing w:line="254" w:lineRule="auto"/>
        <w:rPr>
          <w:rFonts w:ascii="Arial" w:hAnsi="Arial" w:cs="Arial"/>
          <w:b/>
          <w:bCs/>
        </w:rPr>
      </w:pPr>
      <w:r>
        <w:rPr>
          <w:rFonts w:ascii="Arial" w:hAnsi="Arial" w:cs="Arial"/>
          <w:b/>
          <w:bCs/>
        </w:rPr>
        <w:t>Loss of future earnings</w:t>
      </w:r>
    </w:p>
    <w:p w14:paraId="088CC751" w14:textId="77777777" w:rsidR="00B30E88" w:rsidRDefault="00B30E88" w:rsidP="00B30E88">
      <w:pPr>
        <w:pStyle w:val="ListParagraph"/>
        <w:rPr>
          <w:rFonts w:ascii="Arial" w:hAnsi="Arial" w:cs="Arial"/>
        </w:rPr>
      </w:pPr>
      <w:r>
        <w:rPr>
          <w:rFonts w:ascii="Arial" w:hAnsi="Arial" w:cs="Arial"/>
        </w:rPr>
        <w:t xml:space="preserve">The Tribunal will establish AA’s net annual loss and multiply it by an estimation of the number of years until her retirement, to provide a value that will compensate the loss of earnings over the remainder of her working life (Landau Law, no date - a). I note that AA received a promotion within the first 2.5 years of her career with SC because of her performance, therefore it could be argued that AA may have received further promotions should she have stayed with the organisation, which could contribute to her loss of future earnings. </w:t>
      </w:r>
    </w:p>
    <w:p w14:paraId="1BC731B7" w14:textId="77777777" w:rsidR="00B30E88" w:rsidRDefault="00B30E88" w:rsidP="00B30E88">
      <w:pPr>
        <w:pStyle w:val="ListParagraph"/>
        <w:rPr>
          <w:rFonts w:ascii="Arial" w:hAnsi="Arial" w:cs="Arial"/>
          <w:b/>
          <w:bCs/>
        </w:rPr>
      </w:pPr>
    </w:p>
    <w:p w14:paraId="43CAF14D" w14:textId="77777777" w:rsidR="00B30E88" w:rsidRDefault="00B30E88" w:rsidP="00B30E88">
      <w:pPr>
        <w:pStyle w:val="ListParagraph"/>
        <w:numPr>
          <w:ilvl w:val="0"/>
          <w:numId w:val="16"/>
        </w:numPr>
        <w:spacing w:line="254" w:lineRule="auto"/>
        <w:rPr>
          <w:rFonts w:ascii="Arial" w:hAnsi="Arial" w:cs="Arial"/>
        </w:rPr>
      </w:pPr>
      <w:r>
        <w:rPr>
          <w:rFonts w:ascii="Arial" w:hAnsi="Arial" w:cs="Arial"/>
          <w:b/>
          <w:bCs/>
        </w:rPr>
        <w:t>Loss of statutory rights</w:t>
      </w:r>
      <w:r>
        <w:rPr>
          <w:rFonts w:ascii="Arial" w:hAnsi="Arial" w:cs="Arial"/>
        </w:rPr>
        <w:t xml:space="preserve"> </w:t>
      </w:r>
    </w:p>
    <w:p w14:paraId="5B97FD2C" w14:textId="77777777" w:rsidR="00B30E88" w:rsidRDefault="00B30E88" w:rsidP="00B30E88">
      <w:pPr>
        <w:pStyle w:val="ListParagraph"/>
        <w:rPr>
          <w:rFonts w:ascii="Arial" w:hAnsi="Arial" w:cs="Arial"/>
        </w:rPr>
      </w:pPr>
      <w:r>
        <w:rPr>
          <w:rFonts w:ascii="Arial" w:hAnsi="Arial" w:cs="Arial"/>
        </w:rPr>
        <w:t xml:space="preserve">Loss of statutory rights is often awarded to compensate for being unable to claim for unfair dismissal for a further 2 years, or to claim a statutory redundancy payment (Torque Law, 2023). This is typically between £300 and £500 (Citizens Advise, 2021). </w:t>
      </w:r>
    </w:p>
    <w:p w14:paraId="70D877E5" w14:textId="77777777" w:rsidR="00B30E88" w:rsidRDefault="00B30E88" w:rsidP="00B30E88">
      <w:pPr>
        <w:pStyle w:val="ListParagraph"/>
        <w:rPr>
          <w:rFonts w:ascii="Arial" w:hAnsi="Arial" w:cs="Arial"/>
        </w:rPr>
      </w:pPr>
    </w:p>
    <w:p w14:paraId="3B7C7025" w14:textId="77777777" w:rsidR="00B30E88" w:rsidRDefault="00B30E88" w:rsidP="00B30E88">
      <w:pPr>
        <w:rPr>
          <w:rFonts w:ascii="Arial" w:hAnsi="Arial" w:cs="Arial"/>
          <w:u w:val="single"/>
        </w:rPr>
      </w:pPr>
      <w:r>
        <w:rPr>
          <w:rFonts w:ascii="Arial" w:hAnsi="Arial" w:cs="Arial"/>
          <w:u w:val="single"/>
        </w:rPr>
        <w:t>Sexual Harassment &amp; Sex Discrimination</w:t>
      </w:r>
    </w:p>
    <w:p w14:paraId="2FE72145" w14:textId="77777777" w:rsidR="00B30E88" w:rsidRDefault="00B30E88" w:rsidP="00B30E88">
      <w:pPr>
        <w:rPr>
          <w:rFonts w:ascii="Arial" w:hAnsi="Arial" w:cs="Arial"/>
        </w:rPr>
      </w:pPr>
      <w:r>
        <w:rPr>
          <w:rFonts w:ascii="Arial" w:hAnsi="Arial" w:cs="Arial"/>
        </w:rPr>
        <w:lastRenderedPageBreak/>
        <w:t xml:space="preserve">If AA is successful in her claim for sexual harassment, the tribunal will calculate the award based on: </w:t>
      </w:r>
    </w:p>
    <w:p w14:paraId="50F42823" w14:textId="77777777" w:rsidR="00B30E88" w:rsidRDefault="00B30E88" w:rsidP="00B30E88">
      <w:pPr>
        <w:pStyle w:val="ListParagraph"/>
        <w:numPr>
          <w:ilvl w:val="0"/>
          <w:numId w:val="17"/>
        </w:numPr>
        <w:spacing w:line="254" w:lineRule="auto"/>
        <w:rPr>
          <w:rFonts w:ascii="Arial" w:hAnsi="Arial" w:cs="Arial"/>
          <w:b/>
          <w:bCs/>
        </w:rPr>
      </w:pPr>
      <w:r>
        <w:rPr>
          <w:rFonts w:ascii="Arial" w:hAnsi="Arial" w:cs="Arial"/>
          <w:b/>
          <w:bCs/>
        </w:rPr>
        <w:t>Loss of earnings</w:t>
      </w:r>
    </w:p>
    <w:p w14:paraId="41B498E9" w14:textId="77777777" w:rsidR="00B30E88" w:rsidRDefault="00B30E88" w:rsidP="00B30E88">
      <w:pPr>
        <w:ind w:firstLine="360"/>
        <w:rPr>
          <w:rFonts w:ascii="Arial" w:hAnsi="Arial" w:cs="Arial"/>
        </w:rPr>
      </w:pPr>
      <w:r>
        <w:rPr>
          <w:rFonts w:ascii="Arial" w:hAnsi="Arial" w:cs="Arial"/>
        </w:rPr>
        <w:t xml:space="preserve">Similarly, to constructive dismissal, AA could claim for her loss of earnings. </w:t>
      </w:r>
    </w:p>
    <w:p w14:paraId="485B0673" w14:textId="77777777" w:rsidR="00B30E88" w:rsidRDefault="00B30E88" w:rsidP="00B30E88">
      <w:pPr>
        <w:pStyle w:val="ListParagraph"/>
        <w:numPr>
          <w:ilvl w:val="0"/>
          <w:numId w:val="17"/>
        </w:numPr>
        <w:spacing w:line="254" w:lineRule="auto"/>
        <w:rPr>
          <w:rFonts w:ascii="Arial" w:hAnsi="Arial" w:cs="Arial"/>
          <w:b/>
          <w:bCs/>
        </w:rPr>
      </w:pPr>
      <w:r>
        <w:rPr>
          <w:rFonts w:ascii="Arial" w:hAnsi="Arial" w:cs="Arial"/>
          <w:b/>
          <w:bCs/>
        </w:rPr>
        <w:t xml:space="preserve">Injury to feelings </w:t>
      </w:r>
    </w:p>
    <w:p w14:paraId="67134184" w14:textId="77777777" w:rsidR="00B30E88" w:rsidRDefault="00B30E88" w:rsidP="00B30E88">
      <w:pPr>
        <w:ind w:left="360"/>
        <w:rPr>
          <w:rFonts w:ascii="Arial" w:hAnsi="Arial" w:cs="Arial"/>
        </w:rPr>
      </w:pPr>
      <w:r>
        <w:rPr>
          <w:rFonts w:ascii="Arial" w:hAnsi="Arial" w:cs="Arial"/>
        </w:rPr>
        <w:t xml:space="preserve">The Vento guidelines derive from the case of </w:t>
      </w:r>
      <w:r>
        <w:rPr>
          <w:rFonts w:ascii="Arial" w:hAnsi="Arial" w:cs="Arial"/>
          <w:i/>
          <w:iCs/>
        </w:rPr>
        <w:t>Vento v The Chief Constable of West Yorkshire Police (2003)</w:t>
      </w:r>
      <w:r>
        <w:rPr>
          <w:rFonts w:ascii="Arial" w:hAnsi="Arial" w:cs="Arial"/>
        </w:rPr>
        <w:t xml:space="preserve"> which concluded that injury to feelings can be used as a compensation for worry, anxiety, and stress, where the claimant won £18,000 for injury to feelings for unfair dismissal and sex discrimination. The bands range from £990 (less serious claim), £11,200 - £33,700 (middle band cases), to over £49,300 (exceptional cases) (Irons, 2023). As AA was signed off work with stress, there is a high chance the Tribunal could award her a large compensation. Under similar circumstances, the case of </w:t>
      </w:r>
      <w:r>
        <w:rPr>
          <w:rFonts w:ascii="Arial" w:hAnsi="Arial" w:cs="Arial"/>
          <w:i/>
          <w:iCs/>
        </w:rPr>
        <w:t>Miss S Joyce v Mr M England (2019)</w:t>
      </w:r>
      <w:r>
        <w:rPr>
          <w:rFonts w:ascii="Arial" w:hAnsi="Arial" w:cs="Arial"/>
        </w:rPr>
        <w:t xml:space="preserve"> saw Miss Joyce awarded £14,108.79 because of her being sexually harassed.  </w:t>
      </w:r>
    </w:p>
    <w:p w14:paraId="68C559B0" w14:textId="77777777" w:rsidR="00B30E88" w:rsidRDefault="00B30E88" w:rsidP="00B30E88">
      <w:pPr>
        <w:pStyle w:val="ListParagraph"/>
        <w:numPr>
          <w:ilvl w:val="0"/>
          <w:numId w:val="17"/>
        </w:numPr>
        <w:spacing w:line="254" w:lineRule="auto"/>
        <w:rPr>
          <w:rFonts w:ascii="Arial" w:hAnsi="Arial" w:cs="Arial"/>
          <w:b/>
          <w:bCs/>
        </w:rPr>
      </w:pPr>
      <w:r>
        <w:rPr>
          <w:rFonts w:ascii="Arial" w:hAnsi="Arial" w:cs="Arial"/>
          <w:b/>
          <w:bCs/>
        </w:rPr>
        <w:t>Personal injury</w:t>
      </w:r>
    </w:p>
    <w:p w14:paraId="760EB4FD" w14:textId="77777777" w:rsidR="00B30E88" w:rsidRDefault="00B30E88" w:rsidP="00B30E88">
      <w:pPr>
        <w:ind w:left="360"/>
        <w:rPr>
          <w:rFonts w:ascii="Arial" w:hAnsi="Arial" w:cs="Arial"/>
        </w:rPr>
      </w:pPr>
      <w:r>
        <w:rPr>
          <w:rFonts w:ascii="Arial" w:hAnsi="Arial" w:cs="Arial"/>
        </w:rPr>
        <w:t xml:space="preserve">AA could claim a depreciation in her mental health due to effects of the incidents. AA would need a medical report to confirm this. </w:t>
      </w:r>
    </w:p>
    <w:p w14:paraId="2D423803" w14:textId="77777777" w:rsidR="00B30E88" w:rsidRDefault="00B30E88" w:rsidP="00B30E88">
      <w:pPr>
        <w:pStyle w:val="ListParagraph"/>
        <w:numPr>
          <w:ilvl w:val="0"/>
          <w:numId w:val="17"/>
        </w:numPr>
        <w:spacing w:line="254" w:lineRule="auto"/>
        <w:rPr>
          <w:rFonts w:ascii="Arial" w:hAnsi="Arial" w:cs="Arial"/>
          <w:b/>
          <w:bCs/>
        </w:rPr>
      </w:pPr>
      <w:r>
        <w:rPr>
          <w:rFonts w:ascii="Arial" w:hAnsi="Arial" w:cs="Arial"/>
          <w:b/>
          <w:bCs/>
        </w:rPr>
        <w:t xml:space="preserve">Aggravated damages </w:t>
      </w:r>
    </w:p>
    <w:p w14:paraId="606B865B" w14:textId="77777777" w:rsidR="00B30E88" w:rsidRDefault="00B30E88" w:rsidP="00B30E88">
      <w:pPr>
        <w:ind w:left="360"/>
        <w:rPr>
          <w:rFonts w:ascii="Arial" w:hAnsi="Arial" w:cs="Arial"/>
          <w:highlight w:val="yellow"/>
        </w:rPr>
      </w:pPr>
      <w:r>
        <w:rPr>
          <w:rFonts w:ascii="Arial" w:hAnsi="Arial" w:cs="Arial"/>
        </w:rPr>
        <w:t>Aggravated damages are rare but are awarded when the employer’s behaviour has been exceptionally poor (Spencer Shaw, 2023).</w:t>
      </w:r>
    </w:p>
    <w:p w14:paraId="180E44E7" w14:textId="77777777" w:rsidR="00B30E88" w:rsidRDefault="00B30E88" w:rsidP="00B30E88">
      <w:pPr>
        <w:rPr>
          <w:rFonts w:ascii="Arial" w:hAnsi="Arial" w:cs="Arial"/>
          <w:b/>
          <w:bCs/>
        </w:rPr>
      </w:pPr>
      <w:r>
        <w:rPr>
          <w:rFonts w:ascii="Arial" w:hAnsi="Arial" w:cs="Arial"/>
          <w:b/>
          <w:bCs/>
        </w:rPr>
        <w:t xml:space="preserve">Other factors to consider </w:t>
      </w:r>
    </w:p>
    <w:p w14:paraId="7675FE59" w14:textId="77777777" w:rsidR="00B30E88" w:rsidRDefault="00B30E88" w:rsidP="00B30E88">
      <w:pPr>
        <w:ind w:left="360"/>
        <w:rPr>
          <w:rFonts w:ascii="Arial" w:hAnsi="Arial" w:cs="Arial"/>
        </w:rPr>
      </w:pPr>
      <w:r>
        <w:rPr>
          <w:rFonts w:ascii="Arial" w:hAnsi="Arial" w:cs="Arial"/>
        </w:rPr>
        <w:t xml:space="preserve">Other factors could include management costs and time, own legal costs and adverse publicity costs. </w:t>
      </w:r>
    </w:p>
    <w:p w14:paraId="27AB9186" w14:textId="77777777" w:rsidR="00B30E88" w:rsidRDefault="00B30E88" w:rsidP="00B30E88">
      <w:pPr>
        <w:rPr>
          <w:rFonts w:ascii="Arial" w:hAnsi="Arial" w:cs="Arial"/>
          <w:b/>
          <w:bCs/>
          <w:highlight w:val="yellow"/>
        </w:rPr>
      </w:pPr>
    </w:p>
    <w:p w14:paraId="7BFA7873" w14:textId="77777777" w:rsidR="00B30E88" w:rsidRDefault="00B30E88" w:rsidP="00B30E88">
      <w:pPr>
        <w:rPr>
          <w:rFonts w:ascii="Arial" w:hAnsi="Arial" w:cs="Arial"/>
          <w:b/>
          <w:bCs/>
          <w:highlight w:val="yellow"/>
        </w:rPr>
      </w:pPr>
    </w:p>
    <w:p w14:paraId="52EBCB83" w14:textId="77777777" w:rsidR="00B30E88" w:rsidRDefault="00B30E88" w:rsidP="00B30E88">
      <w:pPr>
        <w:rPr>
          <w:rFonts w:ascii="Arial" w:hAnsi="Arial" w:cs="Arial"/>
          <w:b/>
          <w:bCs/>
          <w:highlight w:val="yellow"/>
        </w:rPr>
      </w:pPr>
    </w:p>
    <w:p w14:paraId="3AEB449F" w14:textId="77777777" w:rsidR="00B30E88" w:rsidRDefault="00B30E88" w:rsidP="00B30E88">
      <w:pPr>
        <w:rPr>
          <w:rFonts w:ascii="Arial" w:hAnsi="Arial" w:cs="Arial"/>
          <w:b/>
          <w:bCs/>
          <w:highlight w:val="yellow"/>
        </w:rPr>
      </w:pPr>
    </w:p>
    <w:p w14:paraId="6EB44E0B" w14:textId="77777777" w:rsidR="00B30E88" w:rsidRDefault="00B30E88" w:rsidP="00B30E88">
      <w:pPr>
        <w:rPr>
          <w:rFonts w:ascii="Arial" w:hAnsi="Arial" w:cs="Arial"/>
          <w:b/>
          <w:bCs/>
          <w:highlight w:val="yellow"/>
        </w:rPr>
      </w:pPr>
    </w:p>
    <w:p w14:paraId="1622E460" w14:textId="77777777" w:rsidR="00B30E88" w:rsidRDefault="00B30E88" w:rsidP="00B30E88">
      <w:pPr>
        <w:rPr>
          <w:rFonts w:ascii="Arial" w:hAnsi="Arial" w:cs="Arial"/>
          <w:b/>
          <w:bCs/>
          <w:highlight w:val="yellow"/>
        </w:rPr>
      </w:pPr>
    </w:p>
    <w:p w14:paraId="539FEB66" w14:textId="77777777" w:rsidR="00B30E88" w:rsidRDefault="00B30E88" w:rsidP="00B30E88">
      <w:pPr>
        <w:rPr>
          <w:rFonts w:ascii="Arial" w:hAnsi="Arial" w:cs="Arial"/>
          <w:b/>
          <w:bCs/>
          <w:highlight w:val="yellow"/>
        </w:rPr>
      </w:pPr>
    </w:p>
    <w:p w14:paraId="39168E8F" w14:textId="77777777" w:rsidR="00B30E88" w:rsidRDefault="00B30E88" w:rsidP="00B30E88">
      <w:pPr>
        <w:rPr>
          <w:rFonts w:ascii="Arial" w:hAnsi="Arial" w:cs="Arial"/>
          <w:b/>
          <w:bCs/>
          <w:highlight w:val="yellow"/>
        </w:rPr>
      </w:pPr>
    </w:p>
    <w:p w14:paraId="3167CA02" w14:textId="77777777" w:rsidR="00B30E88" w:rsidRDefault="00B30E88" w:rsidP="00B30E88">
      <w:pPr>
        <w:rPr>
          <w:rFonts w:ascii="Arial" w:hAnsi="Arial" w:cs="Arial"/>
          <w:b/>
          <w:bCs/>
          <w:highlight w:val="yellow"/>
        </w:rPr>
      </w:pPr>
    </w:p>
    <w:p w14:paraId="75BD8232" w14:textId="77777777" w:rsidR="00B30E88" w:rsidRDefault="00B30E88" w:rsidP="00B30E88">
      <w:pPr>
        <w:rPr>
          <w:rFonts w:ascii="Arial" w:hAnsi="Arial" w:cs="Arial"/>
          <w:b/>
          <w:bCs/>
          <w:highlight w:val="yellow"/>
        </w:rPr>
      </w:pPr>
    </w:p>
    <w:p w14:paraId="02389F58" w14:textId="77777777" w:rsidR="00B30E88" w:rsidRDefault="00B30E88" w:rsidP="00B30E88">
      <w:pPr>
        <w:rPr>
          <w:rFonts w:ascii="Arial" w:hAnsi="Arial" w:cs="Arial"/>
          <w:b/>
          <w:bCs/>
          <w:highlight w:val="yellow"/>
        </w:rPr>
      </w:pPr>
    </w:p>
    <w:p w14:paraId="5145AB17" w14:textId="77777777" w:rsidR="00B30E88" w:rsidRDefault="00B30E88" w:rsidP="00B30E88">
      <w:pPr>
        <w:rPr>
          <w:rFonts w:ascii="Arial" w:hAnsi="Arial" w:cs="Arial"/>
          <w:b/>
          <w:bCs/>
          <w:highlight w:val="yellow"/>
        </w:rPr>
      </w:pPr>
    </w:p>
    <w:p w14:paraId="78C16D11" w14:textId="77777777" w:rsidR="00B30E88" w:rsidRDefault="00B30E88" w:rsidP="00B30E88">
      <w:pPr>
        <w:rPr>
          <w:rFonts w:ascii="Arial" w:hAnsi="Arial" w:cs="Arial"/>
          <w:b/>
          <w:bCs/>
          <w:highlight w:val="yellow"/>
        </w:rPr>
      </w:pPr>
    </w:p>
    <w:p w14:paraId="2F82229B" w14:textId="77777777" w:rsidR="00B30E88" w:rsidRDefault="00B30E88" w:rsidP="00B30E88">
      <w:pPr>
        <w:rPr>
          <w:rFonts w:ascii="Arial" w:hAnsi="Arial" w:cs="Arial"/>
          <w:b/>
          <w:bCs/>
          <w:highlight w:val="yellow"/>
        </w:rPr>
      </w:pPr>
    </w:p>
    <w:p w14:paraId="2E7670D9" w14:textId="77777777" w:rsidR="00B30E88" w:rsidRDefault="00B30E88" w:rsidP="00B30E88">
      <w:pPr>
        <w:rPr>
          <w:rFonts w:ascii="Arial" w:hAnsi="Arial" w:cs="Arial"/>
          <w:b/>
          <w:bCs/>
          <w:u w:val="single"/>
        </w:rPr>
      </w:pPr>
      <w:r>
        <w:rPr>
          <w:rFonts w:ascii="Arial" w:hAnsi="Arial" w:cs="Arial"/>
          <w:b/>
          <w:bCs/>
          <w:u w:val="single"/>
        </w:rPr>
        <w:lastRenderedPageBreak/>
        <w:t>Factors that Could Reduce or Increase the Level of Award</w:t>
      </w:r>
    </w:p>
    <w:p w14:paraId="10D3F4D3" w14:textId="77777777" w:rsidR="00B30E88" w:rsidRDefault="00B30E88" w:rsidP="00B30E88">
      <w:pPr>
        <w:pStyle w:val="ListParagraph"/>
        <w:numPr>
          <w:ilvl w:val="0"/>
          <w:numId w:val="18"/>
        </w:numPr>
        <w:spacing w:line="254" w:lineRule="auto"/>
        <w:rPr>
          <w:rFonts w:ascii="Arial" w:hAnsi="Arial" w:cs="Arial"/>
        </w:rPr>
      </w:pPr>
      <w:r>
        <w:rPr>
          <w:rFonts w:ascii="Arial" w:hAnsi="Arial" w:cs="Arial"/>
        </w:rPr>
        <w:t xml:space="preserve">SC could risk the tribunal increasing the compensatory award by 10-25% for failing to follow the ACAS Code of Practice (Citizens Advice, 2021). This is derived from the facts of the case of </w:t>
      </w:r>
      <w:proofErr w:type="spellStart"/>
      <w:r>
        <w:rPr>
          <w:rFonts w:ascii="Arial" w:hAnsi="Arial" w:cs="Arial"/>
          <w:i/>
          <w:iCs/>
        </w:rPr>
        <w:t>Couston</w:t>
      </w:r>
      <w:proofErr w:type="spellEnd"/>
      <w:r>
        <w:rPr>
          <w:rFonts w:ascii="Arial" w:hAnsi="Arial" w:cs="Arial"/>
          <w:i/>
          <w:iCs/>
        </w:rPr>
        <w:t xml:space="preserve"> v </w:t>
      </w:r>
      <w:proofErr w:type="spellStart"/>
      <w:r>
        <w:rPr>
          <w:rFonts w:ascii="Arial" w:hAnsi="Arial" w:cs="Arial"/>
          <w:i/>
          <w:iCs/>
        </w:rPr>
        <w:t>RentPlus</w:t>
      </w:r>
      <w:proofErr w:type="spellEnd"/>
      <w:r>
        <w:rPr>
          <w:rFonts w:ascii="Arial" w:hAnsi="Arial" w:cs="Arial"/>
          <w:i/>
          <w:iCs/>
        </w:rPr>
        <w:t xml:space="preserve"> UK Ltd (2022),</w:t>
      </w:r>
      <w:r>
        <w:rPr>
          <w:rFonts w:ascii="Arial" w:hAnsi="Arial" w:cs="Arial"/>
        </w:rPr>
        <w:t xml:space="preserve"> where the tribunal issued a maximum 25% uplift due to the employer failing to follow the ACAS Disciplinary and Grievance Procedures. Failing to interview AA during the investigation could affect this.</w:t>
      </w:r>
    </w:p>
    <w:p w14:paraId="2E63FAC6" w14:textId="77777777" w:rsidR="00B30E88" w:rsidRDefault="00B30E88" w:rsidP="00B30E88">
      <w:pPr>
        <w:pStyle w:val="ListParagraph"/>
        <w:numPr>
          <w:ilvl w:val="0"/>
          <w:numId w:val="18"/>
        </w:numPr>
        <w:spacing w:line="254" w:lineRule="auto"/>
        <w:rPr>
          <w:rFonts w:ascii="Arial" w:hAnsi="Arial" w:cs="Arial"/>
        </w:rPr>
      </w:pPr>
      <w:r>
        <w:rPr>
          <w:rFonts w:ascii="Arial" w:hAnsi="Arial" w:cs="Arial"/>
        </w:rPr>
        <w:t xml:space="preserve">Under section 18 of the Employment Rights Act (1996), AA could also be granted an additional 2 or 4 weeks’ pay if you cannot show evidence of providing a written contract of employment (Citizens Advice, 2021). </w:t>
      </w:r>
    </w:p>
    <w:p w14:paraId="4C9859A4" w14:textId="77777777" w:rsidR="00B30E88" w:rsidRDefault="00B30E88" w:rsidP="00B30E88">
      <w:pPr>
        <w:pStyle w:val="ListParagraph"/>
        <w:rPr>
          <w:rFonts w:ascii="Arial" w:hAnsi="Arial" w:cs="Arial"/>
        </w:rPr>
      </w:pPr>
    </w:p>
    <w:p w14:paraId="0BB3CF02" w14:textId="77777777" w:rsidR="00B30E88" w:rsidRDefault="00B30E88" w:rsidP="00B30E88">
      <w:pPr>
        <w:pStyle w:val="ListParagraph"/>
        <w:numPr>
          <w:ilvl w:val="0"/>
          <w:numId w:val="19"/>
        </w:numPr>
        <w:spacing w:line="254" w:lineRule="auto"/>
        <w:rPr>
          <w:rFonts w:ascii="Arial" w:hAnsi="Arial" w:cs="Arial"/>
        </w:rPr>
      </w:pPr>
      <w:r>
        <w:rPr>
          <w:rFonts w:ascii="Arial" w:hAnsi="Arial" w:cs="Arial"/>
        </w:rPr>
        <w:t xml:space="preserve">The tribunal will also look at if AA is to blame for the dismissal and consider whether she has undertaken actions to reduce her losses, which is referred to as ‘mitigating your loss’. AA should have been actively seeking alternative employment since leaving SC. </w:t>
      </w:r>
    </w:p>
    <w:p w14:paraId="0C193ED2" w14:textId="77777777" w:rsidR="00B30E88" w:rsidRDefault="00B30E88" w:rsidP="00B30E88">
      <w:pPr>
        <w:pStyle w:val="ListParagraph"/>
        <w:numPr>
          <w:ilvl w:val="0"/>
          <w:numId w:val="19"/>
        </w:numPr>
        <w:spacing w:line="254" w:lineRule="auto"/>
        <w:rPr>
          <w:rFonts w:ascii="Arial" w:hAnsi="Arial" w:cs="Arial"/>
          <w:i/>
          <w:iCs/>
        </w:rPr>
      </w:pPr>
      <w:r>
        <w:rPr>
          <w:rFonts w:ascii="Arial" w:hAnsi="Arial" w:cs="Arial"/>
        </w:rPr>
        <w:t xml:space="preserve">As a disciplinary or grievance procedure was not carried out, The Tribunal could argue that the compensatory award be reduced by up to 25% as the dismissal could’ve been fair had SC had the opportunity to follow correct procedures and followed ACAS guidance, as seen in </w:t>
      </w:r>
      <w:proofErr w:type="spellStart"/>
      <w:r>
        <w:rPr>
          <w:rFonts w:ascii="Arial" w:hAnsi="Arial" w:cs="Arial"/>
          <w:i/>
          <w:iCs/>
        </w:rPr>
        <w:t>Polkey</w:t>
      </w:r>
      <w:proofErr w:type="spellEnd"/>
      <w:r>
        <w:rPr>
          <w:rFonts w:ascii="Arial" w:hAnsi="Arial" w:cs="Arial"/>
          <w:i/>
          <w:iCs/>
        </w:rPr>
        <w:t xml:space="preserve"> v AE Dayton Services (1987). </w:t>
      </w:r>
    </w:p>
    <w:p w14:paraId="3F8BAF84" w14:textId="77777777" w:rsidR="00B30E88" w:rsidRDefault="00B30E88" w:rsidP="00B30E88">
      <w:pPr>
        <w:pStyle w:val="ListParagraph"/>
        <w:rPr>
          <w:rFonts w:ascii="Arial" w:hAnsi="Arial" w:cs="Arial"/>
        </w:rPr>
      </w:pPr>
    </w:p>
    <w:p w14:paraId="6CD941C1" w14:textId="77777777" w:rsidR="00B30E88" w:rsidRDefault="00B30E88" w:rsidP="00B30E88">
      <w:pPr>
        <w:rPr>
          <w:rFonts w:ascii="Arial" w:hAnsi="Arial" w:cs="Arial"/>
          <w:b/>
          <w:bCs/>
          <w:u w:val="single"/>
        </w:rPr>
      </w:pPr>
      <w:r>
        <w:rPr>
          <w:rFonts w:ascii="Arial" w:hAnsi="Arial" w:cs="Arial"/>
          <w:b/>
          <w:bCs/>
          <w:u w:val="single"/>
        </w:rPr>
        <w:t>My Advice</w:t>
      </w:r>
    </w:p>
    <w:p w14:paraId="65BC6B0B" w14:textId="77777777" w:rsidR="00B30E88" w:rsidRDefault="00B30E88" w:rsidP="00B30E88">
      <w:pPr>
        <w:rPr>
          <w:rFonts w:ascii="Arial" w:hAnsi="Arial" w:cs="Arial"/>
          <w:u w:val="single"/>
        </w:rPr>
      </w:pPr>
      <w:r>
        <w:rPr>
          <w:rFonts w:ascii="Arial" w:hAnsi="Arial" w:cs="Arial"/>
          <w:u w:val="single"/>
        </w:rPr>
        <w:t>Option 1 – Tribunal</w:t>
      </w:r>
    </w:p>
    <w:p w14:paraId="08636E6D" w14:textId="77777777" w:rsidR="00B30E88" w:rsidRDefault="00B30E88" w:rsidP="00B30E88">
      <w:pPr>
        <w:rPr>
          <w:rFonts w:ascii="Arial" w:hAnsi="Arial" w:cs="Arial"/>
          <w:i/>
          <w:iCs/>
        </w:rPr>
      </w:pPr>
      <w:r>
        <w:rPr>
          <w:rFonts w:ascii="Arial" w:hAnsi="Arial" w:cs="Arial"/>
          <w:i/>
          <w:iCs/>
        </w:rPr>
        <w:t>Advantages</w:t>
      </w:r>
    </w:p>
    <w:p w14:paraId="698FEE83" w14:textId="77777777" w:rsidR="00B30E88" w:rsidRDefault="00B30E88" w:rsidP="00B30E88">
      <w:pPr>
        <w:pStyle w:val="ListParagraph"/>
        <w:numPr>
          <w:ilvl w:val="0"/>
          <w:numId w:val="20"/>
        </w:numPr>
        <w:spacing w:line="254" w:lineRule="auto"/>
        <w:rPr>
          <w:rFonts w:ascii="Arial" w:hAnsi="Arial" w:cs="Arial"/>
        </w:rPr>
      </w:pPr>
      <w:r>
        <w:rPr>
          <w:rFonts w:ascii="Arial" w:hAnsi="Arial" w:cs="Arial"/>
        </w:rPr>
        <w:t xml:space="preserve">If SC were to win the case, it would protect your business’ reputation as the public would be able to access the published documents, demonstrating the claims against the organisation were unfounded.  </w:t>
      </w:r>
    </w:p>
    <w:p w14:paraId="51BE0A28" w14:textId="77777777" w:rsidR="00B30E88" w:rsidRDefault="00B30E88" w:rsidP="00B30E88">
      <w:pPr>
        <w:rPr>
          <w:rFonts w:ascii="Arial" w:hAnsi="Arial" w:cs="Arial"/>
          <w:i/>
          <w:iCs/>
        </w:rPr>
      </w:pPr>
      <w:r>
        <w:rPr>
          <w:rFonts w:ascii="Arial" w:hAnsi="Arial" w:cs="Arial"/>
          <w:i/>
          <w:iCs/>
        </w:rPr>
        <w:t>Disadvantages</w:t>
      </w:r>
    </w:p>
    <w:p w14:paraId="02986FF6" w14:textId="77777777" w:rsidR="00B30E88" w:rsidRDefault="00B30E88" w:rsidP="00B30E88">
      <w:pPr>
        <w:pStyle w:val="ListParagraph"/>
        <w:numPr>
          <w:ilvl w:val="0"/>
          <w:numId w:val="20"/>
        </w:numPr>
        <w:spacing w:line="254" w:lineRule="auto"/>
        <w:rPr>
          <w:rFonts w:ascii="Arial" w:hAnsi="Arial" w:cs="Arial"/>
        </w:rPr>
      </w:pPr>
      <w:r>
        <w:rPr>
          <w:rFonts w:ascii="Arial" w:hAnsi="Arial" w:cs="Arial"/>
        </w:rPr>
        <w:t xml:space="preserve">Tribunals can be extremely costly in legal fees, averaging from £1000 - £3000 per day (Hains &amp; Lewis Solicitors, 2023).  If AA was to win the case, SC would also be liable for a high award amount. A tribunal procedure can be very time-consuming; therefore, SC would need to assign certain members of staff to the case which could also accrue high management costs. </w:t>
      </w:r>
    </w:p>
    <w:p w14:paraId="2D0BD229" w14:textId="77777777" w:rsidR="00B30E88" w:rsidRDefault="00B30E88" w:rsidP="00B30E88">
      <w:pPr>
        <w:pStyle w:val="ListParagraph"/>
        <w:numPr>
          <w:ilvl w:val="0"/>
          <w:numId w:val="20"/>
        </w:numPr>
        <w:spacing w:line="254" w:lineRule="auto"/>
        <w:rPr>
          <w:rFonts w:ascii="Arial" w:hAnsi="Arial" w:cs="Arial"/>
        </w:rPr>
      </w:pPr>
      <w:r>
        <w:rPr>
          <w:rFonts w:ascii="Arial" w:hAnsi="Arial" w:cs="Arial"/>
        </w:rPr>
        <w:t xml:space="preserve">SC risk facing harm to their organisations reputation to customers if decided to proceed to a tribunal. Unlike a settlement agreement, the details of an ET case will be published online, available for anyone to read (Lightburn, 2022). Consequently, existing staff members could also read it, causing unsettlement. </w:t>
      </w:r>
    </w:p>
    <w:p w14:paraId="398A45AA" w14:textId="77777777" w:rsidR="00B30E88" w:rsidRDefault="00B30E88" w:rsidP="00B30E88">
      <w:pPr>
        <w:rPr>
          <w:rFonts w:ascii="Arial" w:hAnsi="Arial" w:cs="Arial"/>
          <w:u w:val="single"/>
        </w:rPr>
      </w:pPr>
      <w:r>
        <w:rPr>
          <w:rFonts w:ascii="Arial" w:hAnsi="Arial" w:cs="Arial"/>
          <w:u w:val="single"/>
        </w:rPr>
        <w:t>Option 2 - Settlement</w:t>
      </w:r>
    </w:p>
    <w:p w14:paraId="089F6247" w14:textId="77777777" w:rsidR="00B30E88" w:rsidRDefault="00B30E88" w:rsidP="00B30E88">
      <w:pPr>
        <w:rPr>
          <w:rFonts w:ascii="Arial" w:hAnsi="Arial" w:cs="Arial"/>
          <w:i/>
          <w:iCs/>
        </w:rPr>
      </w:pPr>
      <w:r>
        <w:rPr>
          <w:rFonts w:ascii="Arial" w:hAnsi="Arial" w:cs="Arial"/>
          <w:i/>
          <w:iCs/>
        </w:rPr>
        <w:t xml:space="preserve">Advantages </w:t>
      </w:r>
    </w:p>
    <w:p w14:paraId="6589F743" w14:textId="77777777" w:rsidR="00B30E88" w:rsidRDefault="00B30E88" w:rsidP="00B30E88">
      <w:pPr>
        <w:pStyle w:val="ListParagraph"/>
        <w:numPr>
          <w:ilvl w:val="0"/>
          <w:numId w:val="21"/>
        </w:numPr>
        <w:spacing w:line="254" w:lineRule="auto"/>
        <w:rPr>
          <w:rFonts w:ascii="Arial" w:hAnsi="Arial" w:cs="Arial"/>
        </w:rPr>
      </w:pPr>
      <w:r>
        <w:rPr>
          <w:rFonts w:ascii="Arial" w:hAnsi="Arial" w:cs="Arial"/>
        </w:rPr>
        <w:t xml:space="preserve">A settlement agreement could be utilised to ensure AA does not bring legal charges against SC, in return for a settlement fee (CIPD, 2022). Under section 111A of the Employment Rights Act (1996), settlement agreements cannot be used as evidence in an ET. To ensure the agreement reached is legally binding, it must be outlined in either a “settlement agreement which complies with all legal requirements” or a COT3 agreement and AA would be required to seek legal advice as the claim is a statutory claim of constructive dismissal (CIPD, 2022). </w:t>
      </w:r>
    </w:p>
    <w:p w14:paraId="78DFAB64" w14:textId="77777777" w:rsidR="00B30E88" w:rsidRDefault="00B30E88" w:rsidP="00B30E88">
      <w:pPr>
        <w:pStyle w:val="ListParagraph"/>
        <w:numPr>
          <w:ilvl w:val="0"/>
          <w:numId w:val="21"/>
        </w:numPr>
        <w:spacing w:line="254" w:lineRule="auto"/>
        <w:rPr>
          <w:rFonts w:ascii="Arial" w:hAnsi="Arial" w:cs="Arial"/>
        </w:rPr>
      </w:pPr>
      <w:r>
        <w:rPr>
          <w:rFonts w:ascii="Arial" w:hAnsi="Arial" w:cs="Arial"/>
        </w:rPr>
        <w:lastRenderedPageBreak/>
        <w:t>A settlement agreement would provide SC with certainty; an ET can be unpredictable and extremely time consuming (John Fowlers, 2022), whereas settlement agreements tend to be a quicker process. However, it is important to note that AA would need to be provided with at least 10 calendar days to consider the settlement offer, failing to do so could be seen as acting improperly and could be used as evidence if led to an ET (</w:t>
      </w:r>
      <w:proofErr w:type="spellStart"/>
      <w:r>
        <w:rPr>
          <w:rFonts w:ascii="Arial" w:hAnsi="Arial" w:cs="Arial"/>
        </w:rPr>
        <w:t>Acas</w:t>
      </w:r>
      <w:proofErr w:type="spellEnd"/>
      <w:r>
        <w:rPr>
          <w:rFonts w:ascii="Arial" w:hAnsi="Arial" w:cs="Arial"/>
        </w:rPr>
        <w:t xml:space="preserve">, 2018). </w:t>
      </w:r>
    </w:p>
    <w:p w14:paraId="37BF044E" w14:textId="77777777" w:rsidR="00B30E88" w:rsidRDefault="00B30E88" w:rsidP="00B30E88">
      <w:pPr>
        <w:pStyle w:val="ListParagraph"/>
        <w:numPr>
          <w:ilvl w:val="0"/>
          <w:numId w:val="21"/>
        </w:numPr>
        <w:spacing w:line="254" w:lineRule="auto"/>
        <w:rPr>
          <w:rFonts w:ascii="Arial" w:hAnsi="Arial" w:cs="Arial"/>
        </w:rPr>
      </w:pPr>
      <w:r>
        <w:rPr>
          <w:rFonts w:ascii="Arial" w:hAnsi="Arial" w:cs="Arial"/>
        </w:rPr>
        <w:t>An unfair constructive dismissal claim is led by a harassment claim, then AA’s compensation could be uncapped (</w:t>
      </w:r>
      <w:proofErr w:type="spellStart"/>
      <w:r>
        <w:rPr>
          <w:rFonts w:ascii="Arial" w:hAnsi="Arial" w:cs="Arial"/>
        </w:rPr>
        <w:t>Larter</w:t>
      </w:r>
      <w:proofErr w:type="spellEnd"/>
      <w:r>
        <w:rPr>
          <w:rFonts w:ascii="Arial" w:hAnsi="Arial" w:cs="Arial"/>
        </w:rPr>
        <w:t xml:space="preserve">, Wigan and Fuller, 2021). As seen within the case between </w:t>
      </w:r>
      <w:r>
        <w:rPr>
          <w:rFonts w:ascii="Arial" w:hAnsi="Arial" w:cs="Arial"/>
          <w:i/>
          <w:iCs/>
        </w:rPr>
        <w:t>Kim Beany v Highways England (2018),</w:t>
      </w:r>
      <w:r>
        <w:rPr>
          <w:rFonts w:ascii="Arial" w:hAnsi="Arial" w:cs="Arial"/>
        </w:rPr>
        <w:t xml:space="preserve"> where Kim was awarded £74,000, sexual harassment claims can be an enormous financial implication for employers. If AA won the case under grounds of constructive dismissal, as mentioned, you could risk paying out up to £105,707 (Employment Relations Act, 1996). </w:t>
      </w:r>
    </w:p>
    <w:p w14:paraId="3614EA3F" w14:textId="77777777" w:rsidR="00B30E88" w:rsidRDefault="00B30E88" w:rsidP="00B30E88">
      <w:pPr>
        <w:rPr>
          <w:rFonts w:ascii="Arial" w:hAnsi="Arial" w:cs="Arial"/>
          <w:i/>
          <w:iCs/>
        </w:rPr>
      </w:pPr>
      <w:r>
        <w:rPr>
          <w:rFonts w:ascii="Arial" w:hAnsi="Arial" w:cs="Arial"/>
          <w:i/>
          <w:iCs/>
        </w:rPr>
        <w:t>Disadvantages</w:t>
      </w:r>
    </w:p>
    <w:p w14:paraId="5B6B386B" w14:textId="77777777" w:rsidR="00B30E88" w:rsidRDefault="00B30E88" w:rsidP="00B30E88">
      <w:pPr>
        <w:pStyle w:val="ListParagraph"/>
        <w:numPr>
          <w:ilvl w:val="0"/>
          <w:numId w:val="22"/>
        </w:numPr>
        <w:spacing w:line="254" w:lineRule="auto"/>
        <w:rPr>
          <w:rFonts w:ascii="Arial" w:hAnsi="Arial" w:cs="Arial"/>
        </w:rPr>
      </w:pPr>
      <w:r>
        <w:rPr>
          <w:rFonts w:ascii="Arial" w:hAnsi="Arial" w:cs="Arial"/>
        </w:rPr>
        <w:t>Research in favour of ET’s has shown that employers who settle cases, do so in a way that causes them to avoid rectifying an issue that is still there (CIPD, 2022). This can be seen as SC accepting the poor behaviour, highlighting a weak and negative culture.</w:t>
      </w:r>
    </w:p>
    <w:p w14:paraId="3B60504A" w14:textId="77777777" w:rsidR="00B30E88" w:rsidRDefault="00B30E88" w:rsidP="00B30E88">
      <w:pPr>
        <w:pStyle w:val="ListParagraph"/>
        <w:numPr>
          <w:ilvl w:val="0"/>
          <w:numId w:val="22"/>
        </w:numPr>
        <w:spacing w:line="254" w:lineRule="auto"/>
        <w:rPr>
          <w:rFonts w:ascii="Arial" w:hAnsi="Arial" w:cs="Arial"/>
        </w:rPr>
      </w:pPr>
      <w:r>
        <w:rPr>
          <w:rFonts w:ascii="Arial" w:hAnsi="Arial" w:cs="Arial"/>
        </w:rPr>
        <w:t xml:space="preserve">By deciding to settle, you could risk paying an unnecessary settlement fee if SC won the case at tribunal. </w:t>
      </w:r>
    </w:p>
    <w:p w14:paraId="78F5048A" w14:textId="77777777" w:rsidR="00B30E88" w:rsidRDefault="00B30E88" w:rsidP="00B30E88">
      <w:pPr>
        <w:rPr>
          <w:rFonts w:ascii="Arial" w:hAnsi="Arial" w:cs="Arial"/>
          <w:i/>
          <w:iCs/>
        </w:rPr>
      </w:pPr>
      <w:r>
        <w:rPr>
          <w:rFonts w:ascii="Arial" w:hAnsi="Arial" w:cs="Arial"/>
          <w:i/>
          <w:iCs/>
        </w:rPr>
        <w:t>Conclusion</w:t>
      </w:r>
    </w:p>
    <w:p w14:paraId="6ABC2448" w14:textId="77777777" w:rsidR="00B30E88" w:rsidRDefault="00B30E88" w:rsidP="00B30E88">
      <w:pPr>
        <w:rPr>
          <w:rFonts w:ascii="Arial" w:hAnsi="Arial" w:cs="Arial"/>
        </w:rPr>
      </w:pPr>
      <w:r>
        <w:rPr>
          <w:rFonts w:ascii="Arial" w:hAnsi="Arial" w:cs="Arial"/>
        </w:rPr>
        <w:t xml:space="preserve">By applying a cost benefit analysis, to avoid potential major financial implications and months of stress and uncertainty, I strongly recommended that we look at a settlement proposal for this case and avoid proceeding to a tribunal at all costs. </w:t>
      </w:r>
    </w:p>
    <w:p w14:paraId="4EC8CBA0" w14:textId="77777777" w:rsidR="00B30E88" w:rsidRDefault="00B30E88" w:rsidP="00B30E88">
      <w:pPr>
        <w:rPr>
          <w:rFonts w:ascii="Arial" w:hAnsi="Arial" w:cs="Arial"/>
        </w:rPr>
      </w:pPr>
      <w:r>
        <w:rPr>
          <w:rFonts w:ascii="Arial" w:hAnsi="Arial" w:cs="Arial"/>
        </w:rPr>
        <w:t xml:space="preserve">The value of a settlement is usually based on 2-3 months’ salary, which in this instance would equate to £5,666 - £8500. However, due to the number and severity of the claims, AA could argue that this amount isn’t sufficient. I would suggest firstly offering a provisional offer of £20,000 as it is common that a claimant will reject the first offer. The maximum offer I would recommend would be a year’s salary of £34,000. Although it seems a substantial amount, it is a fraction of what SC risk paying if we proceed to a tribunal. If AA provides an unreasonable counteroffer, we can then explore the option of proceeding to tribunal. </w:t>
      </w:r>
    </w:p>
    <w:p w14:paraId="0838A16E" w14:textId="77777777" w:rsidR="00B30E88" w:rsidRDefault="00B30E88" w:rsidP="00B30E88">
      <w:pPr>
        <w:rPr>
          <w:rFonts w:ascii="Arial" w:hAnsi="Arial" w:cs="Arial"/>
        </w:rPr>
      </w:pPr>
      <w:r>
        <w:rPr>
          <w:rFonts w:ascii="Arial" w:hAnsi="Arial" w:cs="Arial"/>
        </w:rPr>
        <w:t>I also suggest a further investigation be carried out on SS, even if AA decides she does not wish to return. The statement from the previous employee shows similar evidence of SS’s poor behaviour, therefore I would suggest instigating a disciplinary process against him. You want to avoid the perception that this is an accepted culture.</w:t>
      </w:r>
    </w:p>
    <w:p w14:paraId="7F95A670" w14:textId="77777777" w:rsidR="00B30E88" w:rsidRDefault="00B30E88" w:rsidP="00B30E88">
      <w:pPr>
        <w:rPr>
          <w:rFonts w:ascii="Arial" w:hAnsi="Arial" w:cs="Arial"/>
          <w:b/>
          <w:bCs/>
          <w:highlight w:val="yellow"/>
        </w:rPr>
      </w:pPr>
    </w:p>
    <w:p w14:paraId="2B1F20B5" w14:textId="77777777" w:rsidR="00B30E88" w:rsidRDefault="00B30E88" w:rsidP="00B30E88">
      <w:pPr>
        <w:rPr>
          <w:rFonts w:ascii="Arial" w:hAnsi="Arial" w:cs="Arial"/>
          <w:b/>
          <w:bCs/>
          <w:highlight w:val="yellow"/>
        </w:rPr>
      </w:pPr>
    </w:p>
    <w:p w14:paraId="643689B5" w14:textId="77777777" w:rsidR="00B30E88" w:rsidRDefault="00B30E88" w:rsidP="00B30E88">
      <w:pPr>
        <w:rPr>
          <w:rFonts w:ascii="Arial" w:hAnsi="Arial" w:cs="Arial"/>
          <w:b/>
          <w:bCs/>
        </w:rPr>
      </w:pPr>
    </w:p>
    <w:p w14:paraId="1B4DC94F" w14:textId="77777777" w:rsidR="00B30E88" w:rsidRDefault="00B30E88" w:rsidP="00B30E88">
      <w:pPr>
        <w:rPr>
          <w:rFonts w:ascii="Arial" w:hAnsi="Arial" w:cs="Arial"/>
          <w:b/>
          <w:bCs/>
        </w:rPr>
      </w:pPr>
    </w:p>
    <w:p w14:paraId="1230AC66" w14:textId="77777777" w:rsidR="00B30E88" w:rsidRDefault="00B30E88" w:rsidP="00B30E88">
      <w:pPr>
        <w:rPr>
          <w:rFonts w:ascii="Arial" w:hAnsi="Arial" w:cs="Arial"/>
          <w:b/>
          <w:bCs/>
        </w:rPr>
      </w:pPr>
    </w:p>
    <w:p w14:paraId="70529094" w14:textId="77777777" w:rsidR="00B30E88" w:rsidRDefault="00B30E88" w:rsidP="00B30E88">
      <w:pPr>
        <w:rPr>
          <w:rFonts w:ascii="Arial" w:hAnsi="Arial" w:cs="Arial"/>
          <w:b/>
          <w:bCs/>
        </w:rPr>
      </w:pPr>
    </w:p>
    <w:p w14:paraId="2A818191" w14:textId="77777777" w:rsidR="00B30E88" w:rsidRDefault="00B30E88" w:rsidP="00B30E88">
      <w:pPr>
        <w:rPr>
          <w:rFonts w:ascii="Arial" w:hAnsi="Arial" w:cs="Arial"/>
          <w:b/>
          <w:bCs/>
        </w:rPr>
      </w:pPr>
    </w:p>
    <w:p w14:paraId="45545EA2"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lastRenderedPageBreak/>
        <w:t>Briefing note</w:t>
      </w:r>
    </w:p>
    <w:p w14:paraId="50BF4737"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Bob Braeburn, MD</w:t>
      </w:r>
    </w:p>
    <w:p w14:paraId="551BE511"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4</w:t>
      </w:r>
      <w:r>
        <w:rPr>
          <w:rFonts w:ascii="Arial" w:hAnsi="Arial" w:cs="Arial"/>
          <w:sz w:val="22"/>
          <w:szCs w:val="22"/>
          <w:vertAlign w:val="superscript"/>
        </w:rPr>
        <w:t>th</w:t>
      </w:r>
      <w:r>
        <w:rPr>
          <w:rFonts w:ascii="Arial" w:hAnsi="Arial" w:cs="Arial"/>
          <w:sz w:val="22"/>
          <w:szCs w:val="22"/>
        </w:rPr>
        <w:t xml:space="preserve"> of April 2023</w:t>
      </w:r>
    </w:p>
    <w:p w14:paraId="2A2FA015"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 xml:space="preserve">Re: Insource IT and Payroll Functions </w:t>
      </w:r>
    </w:p>
    <w:p w14:paraId="001D167B"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Megan Jones, HR Consultant</w:t>
      </w:r>
    </w:p>
    <w:p w14:paraId="76F41FC8" w14:textId="77777777" w:rsidR="00B30E88" w:rsidRDefault="00B30E88" w:rsidP="00B30E88">
      <w:pPr>
        <w:pStyle w:val="NormalWeb"/>
        <w:spacing w:after="240" w:afterAutospacing="0"/>
        <w:rPr>
          <w:rFonts w:ascii="Arial" w:hAnsi="Arial" w:cs="Arial"/>
          <w:b/>
          <w:bCs/>
          <w:sz w:val="22"/>
          <w:szCs w:val="22"/>
        </w:rPr>
      </w:pPr>
      <w:r>
        <w:rPr>
          <w:rFonts w:ascii="Arial" w:hAnsi="Arial" w:cs="Arial"/>
          <w:b/>
          <w:bCs/>
          <w:sz w:val="22"/>
          <w:szCs w:val="22"/>
        </w:rPr>
        <w:t>Legal Implications</w:t>
      </w:r>
    </w:p>
    <w:p w14:paraId="0E743738"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 xml:space="preserve">If Scrumpy Cider (SC) were to begin insourcing the payroll and IT functions, there are certainly legal factors that need considering. </w:t>
      </w:r>
    </w:p>
    <w:p w14:paraId="1B770F13"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Payment Providers may disclose that they have delegated a group of individuals to specifically perform SC’s IT and payroll activities, which may result in an inevitable TUPE transfer. A TUPE transfer often occurs when a service provision returns ‘in-house’ (</w:t>
      </w:r>
      <w:proofErr w:type="spellStart"/>
      <w:r>
        <w:rPr>
          <w:rFonts w:ascii="Arial" w:hAnsi="Arial" w:cs="Arial"/>
          <w:sz w:val="22"/>
          <w:szCs w:val="22"/>
        </w:rPr>
        <w:t>Acas</w:t>
      </w:r>
      <w:proofErr w:type="spellEnd"/>
      <w:r>
        <w:rPr>
          <w:rFonts w:ascii="Arial" w:hAnsi="Arial" w:cs="Arial"/>
          <w:sz w:val="22"/>
          <w:szCs w:val="22"/>
        </w:rPr>
        <w:t xml:space="preserve">, 2021b). The eligibility of a TUPE transfer will rely on the employees performing most of their activities on those particular functions for SC, which is typically 50% or more (Shepherd Wedderburn, 2008). Importantly, the activities carried out by the transferor are fundamentally the same as the activities carried out by the transferee (Department for Business Innovation &amp; Skills, 2014). </w:t>
      </w:r>
    </w:p>
    <w:p w14:paraId="418A1A6D"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 xml:space="preserve">If eligible for a TUPE transfer, the employees will be provided with employment protection </w:t>
      </w:r>
      <w:r>
        <w:rPr>
          <w:rFonts w:ascii="Arial" w:hAnsi="Arial" w:cs="Arial"/>
          <w:sz w:val="22"/>
          <w:szCs w:val="22"/>
          <w:shd w:val="clear" w:color="auto" w:fill="FFFFFF"/>
        </w:rPr>
        <w:t xml:space="preserve">under the Transfer of Undertakings regulations </w:t>
      </w:r>
      <w:r>
        <w:rPr>
          <w:rFonts w:ascii="Arial" w:hAnsi="Arial" w:cs="Arial"/>
          <w:sz w:val="22"/>
          <w:szCs w:val="22"/>
        </w:rPr>
        <w:t xml:space="preserve">and the employees contractual benefits will automatically transfer over, including their continuous service, right to unfair dismissal, and redundancy payment. The employees, however, hold the right to object to the transfer which will be the equivalent of resigning (Gov.uk, no date). </w:t>
      </w:r>
    </w:p>
    <w:p w14:paraId="6A24AF39"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Therefore, SC may inadvertently inherit new staff members if deciding to restore the payroll and IT activities in-house. I must note that this is not certain and that often, organisations won’t just carry out the payroll and IT activities for one business.</w:t>
      </w:r>
    </w:p>
    <w:p w14:paraId="1C62FF91" w14:textId="77777777" w:rsidR="00B30E88" w:rsidRDefault="00B30E88" w:rsidP="00B30E88">
      <w:pPr>
        <w:pStyle w:val="NormalWeb"/>
        <w:spacing w:after="240" w:afterAutospacing="0"/>
        <w:rPr>
          <w:rFonts w:ascii="Arial" w:hAnsi="Arial" w:cs="Arial"/>
          <w:b/>
          <w:bCs/>
          <w:sz w:val="22"/>
          <w:szCs w:val="22"/>
        </w:rPr>
      </w:pPr>
      <w:r>
        <w:rPr>
          <w:rFonts w:ascii="Arial" w:hAnsi="Arial" w:cs="Arial"/>
          <w:b/>
          <w:bCs/>
          <w:sz w:val="22"/>
          <w:szCs w:val="22"/>
        </w:rPr>
        <w:t>My Advice</w:t>
      </w:r>
    </w:p>
    <w:p w14:paraId="1CF319B2" w14:textId="77777777" w:rsidR="00B30E88" w:rsidRDefault="00B30E88" w:rsidP="00B30E88">
      <w:pPr>
        <w:pStyle w:val="NormalWeb"/>
        <w:spacing w:after="240" w:afterAutospacing="0"/>
        <w:rPr>
          <w:rFonts w:ascii="Arial" w:hAnsi="Arial" w:cs="Arial"/>
          <w:sz w:val="22"/>
          <w:szCs w:val="22"/>
        </w:rPr>
      </w:pPr>
      <w:r>
        <w:rPr>
          <w:rFonts w:ascii="Arial" w:hAnsi="Arial" w:cs="Arial"/>
          <w:sz w:val="22"/>
          <w:szCs w:val="22"/>
        </w:rPr>
        <w:t>My suggestions at this stage:</w:t>
      </w:r>
    </w:p>
    <w:p w14:paraId="352D8819" w14:textId="77777777" w:rsidR="00B30E88" w:rsidRDefault="00B30E88" w:rsidP="00B30E88">
      <w:pPr>
        <w:numPr>
          <w:ilvl w:val="0"/>
          <w:numId w:val="23"/>
        </w:numPr>
        <w:spacing w:before="100" w:beforeAutospacing="1" w:after="240" w:line="240" w:lineRule="auto"/>
        <w:rPr>
          <w:rFonts w:ascii="Arial" w:hAnsi="Arial" w:cs="Arial"/>
        </w:rPr>
      </w:pPr>
      <w:r>
        <w:rPr>
          <w:rFonts w:ascii="Arial" w:hAnsi="Arial" w:cs="Arial"/>
        </w:rPr>
        <w:t>Identify how many employees perform the activities for SC</w:t>
      </w:r>
    </w:p>
    <w:p w14:paraId="2ECAF708" w14:textId="77777777" w:rsidR="00B30E88" w:rsidRDefault="00B30E88" w:rsidP="00B30E88">
      <w:pPr>
        <w:numPr>
          <w:ilvl w:val="0"/>
          <w:numId w:val="23"/>
        </w:numPr>
        <w:spacing w:before="100" w:beforeAutospacing="1" w:after="240" w:line="240" w:lineRule="auto"/>
        <w:rPr>
          <w:rFonts w:ascii="Arial" w:hAnsi="Arial" w:cs="Arial"/>
        </w:rPr>
      </w:pPr>
      <w:r>
        <w:rPr>
          <w:rFonts w:ascii="Arial" w:hAnsi="Arial" w:cs="Arial"/>
        </w:rPr>
        <w:t xml:space="preserve">Determine if they perform 50% or more of their activities for SC alone and if their contractual duties align with those that would be carried out under SC’s employment, to establish if they are in scope for TUPE transfer. </w:t>
      </w:r>
    </w:p>
    <w:p w14:paraId="3B73C07A" w14:textId="77777777" w:rsidR="00B30E88" w:rsidRDefault="00B30E88" w:rsidP="00B30E88">
      <w:pPr>
        <w:numPr>
          <w:ilvl w:val="0"/>
          <w:numId w:val="23"/>
        </w:numPr>
        <w:spacing w:before="100" w:beforeAutospacing="1" w:after="240" w:line="240" w:lineRule="auto"/>
        <w:rPr>
          <w:rFonts w:ascii="Arial" w:hAnsi="Arial" w:cs="Arial"/>
          <w:sz w:val="24"/>
          <w:szCs w:val="24"/>
        </w:rPr>
      </w:pPr>
      <w:r>
        <w:rPr>
          <w:rFonts w:ascii="Arial" w:hAnsi="Arial" w:cs="Arial"/>
        </w:rPr>
        <w:t xml:space="preserve">Review the employees’ contracts and clauses to ensure they can be met by SC. </w:t>
      </w:r>
    </w:p>
    <w:p w14:paraId="43CA0958" w14:textId="29B8BA40" w:rsidR="00EA7DCB" w:rsidRPr="00DB4B22" w:rsidRDefault="00EA7DCB" w:rsidP="005239C2">
      <w:pPr>
        <w:rPr>
          <w:rFonts w:ascii="Arial" w:hAnsi="Arial" w:cs="Arial"/>
        </w:rPr>
      </w:pPr>
    </w:p>
    <w:p w14:paraId="2ECDE0B3" w14:textId="77777777" w:rsidR="00D474B2" w:rsidRPr="00DB4B22" w:rsidRDefault="00D474B2" w:rsidP="005239C2">
      <w:pPr>
        <w:rPr>
          <w:rFonts w:ascii="Arial" w:hAnsi="Arial" w:cs="Arial"/>
        </w:rPr>
      </w:pPr>
    </w:p>
    <w:p w14:paraId="677CEC8E" w14:textId="3E8BE930" w:rsidR="00EA7DCB" w:rsidRPr="00DB4B22" w:rsidRDefault="00EA7DCB" w:rsidP="005239C2">
      <w:pPr>
        <w:rPr>
          <w:rFonts w:ascii="Arial" w:hAnsi="Arial" w:cs="Arial"/>
        </w:rPr>
      </w:pPr>
    </w:p>
    <w:p w14:paraId="187DBBF8" w14:textId="77777777" w:rsidR="00EA7DCB" w:rsidRPr="00DB4B22" w:rsidRDefault="00EA7DCB" w:rsidP="005239C2">
      <w:pPr>
        <w:rPr>
          <w:rFonts w:ascii="Arial" w:hAnsi="Arial" w:cs="Arial"/>
        </w:rPr>
      </w:pPr>
    </w:p>
    <w:p w14:paraId="11285866" w14:textId="77777777" w:rsidR="008919E5" w:rsidRPr="00DB4B22" w:rsidRDefault="008919E5" w:rsidP="008919E5">
      <w:pPr>
        <w:rPr>
          <w:rFonts w:ascii="Arial" w:hAnsi="Arial" w:cs="Arial"/>
          <w:b/>
          <w:bCs/>
          <w:u w:val="single"/>
        </w:rPr>
      </w:pPr>
      <w:r w:rsidRPr="00DB4B22">
        <w:rPr>
          <w:rFonts w:ascii="Arial" w:hAnsi="Arial" w:cs="Arial"/>
          <w:b/>
          <w:bCs/>
          <w:u w:val="single"/>
        </w:rPr>
        <w:lastRenderedPageBreak/>
        <w:t>References</w:t>
      </w:r>
    </w:p>
    <w:p w14:paraId="4261097E" w14:textId="6A227971" w:rsidR="00B13F68" w:rsidRPr="00DB4B22" w:rsidRDefault="00B13F68" w:rsidP="00446260">
      <w:pPr>
        <w:rPr>
          <w:rFonts w:ascii="Arial" w:hAnsi="Arial" w:cs="Arial"/>
        </w:rPr>
      </w:pPr>
      <w:proofErr w:type="spellStart"/>
      <w:r w:rsidRPr="00DB4B22">
        <w:rPr>
          <w:rFonts w:ascii="Arial" w:hAnsi="Arial" w:cs="Arial"/>
        </w:rPr>
        <w:t>Acas</w:t>
      </w:r>
      <w:proofErr w:type="spellEnd"/>
      <w:r w:rsidRPr="00DB4B22">
        <w:rPr>
          <w:rFonts w:ascii="Arial" w:hAnsi="Arial" w:cs="Arial"/>
        </w:rPr>
        <w:t xml:space="preserve"> (2018) </w:t>
      </w:r>
      <w:r w:rsidRPr="00DB4B22">
        <w:rPr>
          <w:rFonts w:ascii="Arial" w:hAnsi="Arial" w:cs="Arial"/>
          <w:i/>
          <w:iCs/>
        </w:rPr>
        <w:t xml:space="preserve">Settlement Agreements. </w:t>
      </w:r>
      <w:r w:rsidRPr="00DB4B22">
        <w:rPr>
          <w:rFonts w:ascii="Arial" w:hAnsi="Arial" w:cs="Arial"/>
        </w:rPr>
        <w:t xml:space="preserve">Available at:(Accessed: 13 March 2023) </w:t>
      </w:r>
    </w:p>
    <w:p w14:paraId="1FB608B5" w14:textId="77777777" w:rsidR="00B13F68" w:rsidRPr="00DB4B22" w:rsidRDefault="00B13F68" w:rsidP="00446260">
      <w:pPr>
        <w:rPr>
          <w:rFonts w:ascii="Arial" w:hAnsi="Arial" w:cs="Arial"/>
        </w:rPr>
      </w:pPr>
      <w:proofErr w:type="spellStart"/>
      <w:r w:rsidRPr="00DB4B22">
        <w:rPr>
          <w:rFonts w:ascii="Arial" w:hAnsi="Arial" w:cs="Arial"/>
        </w:rPr>
        <w:t>Acas</w:t>
      </w:r>
      <w:proofErr w:type="spellEnd"/>
      <w:r w:rsidRPr="00DB4B22">
        <w:rPr>
          <w:rFonts w:ascii="Arial" w:hAnsi="Arial" w:cs="Arial"/>
        </w:rPr>
        <w:t xml:space="preserve"> (2021a) </w:t>
      </w:r>
      <w:r w:rsidRPr="00DB4B22">
        <w:rPr>
          <w:rFonts w:ascii="Arial" w:hAnsi="Arial" w:cs="Arial"/>
          <w:i/>
          <w:iCs/>
        </w:rPr>
        <w:t xml:space="preserve">Sexual Harassment. </w:t>
      </w:r>
      <w:r w:rsidRPr="00DB4B22">
        <w:rPr>
          <w:rFonts w:ascii="Arial" w:hAnsi="Arial" w:cs="Arial"/>
        </w:rPr>
        <w:t xml:space="preserve"> Available at: </w:t>
      </w:r>
      <w:hyperlink r:id="rId7" w:history="1">
        <w:r w:rsidRPr="00DB4B22">
          <w:rPr>
            <w:rStyle w:val="Hyperlink"/>
            <w:rFonts w:ascii="Arial" w:hAnsi="Arial" w:cs="Arial"/>
            <w:color w:val="auto"/>
          </w:rPr>
          <w:t>https://www.acas.org.uk/sexual-harassment</w:t>
        </w:r>
      </w:hyperlink>
      <w:r w:rsidRPr="00DB4B22">
        <w:rPr>
          <w:rFonts w:ascii="Arial" w:hAnsi="Arial" w:cs="Arial"/>
        </w:rPr>
        <w:t xml:space="preserve"> (Accessed: 6 March 2023) </w:t>
      </w:r>
    </w:p>
    <w:p w14:paraId="2578CABE" w14:textId="77777777" w:rsidR="00B13F68" w:rsidRPr="00DB4B22" w:rsidRDefault="00B13F68" w:rsidP="00446260">
      <w:pPr>
        <w:rPr>
          <w:rFonts w:ascii="Arial" w:hAnsi="Arial" w:cs="Arial"/>
        </w:rPr>
      </w:pPr>
      <w:proofErr w:type="spellStart"/>
      <w:r w:rsidRPr="00DB4B22">
        <w:rPr>
          <w:rFonts w:ascii="Arial" w:hAnsi="Arial" w:cs="Arial"/>
        </w:rPr>
        <w:t>Acas</w:t>
      </w:r>
      <w:proofErr w:type="spellEnd"/>
      <w:r w:rsidRPr="00DB4B22">
        <w:rPr>
          <w:rFonts w:ascii="Arial" w:hAnsi="Arial" w:cs="Arial"/>
        </w:rPr>
        <w:t xml:space="preserve"> (2021b) </w:t>
      </w:r>
      <w:r w:rsidRPr="00DB4B22">
        <w:rPr>
          <w:rFonts w:ascii="Arial" w:hAnsi="Arial" w:cs="Arial"/>
          <w:i/>
          <w:iCs/>
        </w:rPr>
        <w:t xml:space="preserve">Employee rights during a TUPE transfer. </w:t>
      </w:r>
      <w:r w:rsidRPr="00DB4B22">
        <w:rPr>
          <w:rFonts w:ascii="Arial" w:hAnsi="Arial" w:cs="Arial"/>
        </w:rPr>
        <w:t xml:space="preserve">Available at: </w:t>
      </w:r>
      <w:hyperlink r:id="rId8" w:history="1">
        <w:r w:rsidRPr="00DB4B22">
          <w:rPr>
            <w:rStyle w:val="Hyperlink"/>
            <w:rFonts w:ascii="Arial" w:hAnsi="Arial" w:cs="Arial"/>
            <w:color w:val="auto"/>
          </w:rPr>
          <w:t>https://www.acas.org.uk/employee-rights-during-a-tupe-transfer/when-tupe-regulations-apply</w:t>
        </w:r>
      </w:hyperlink>
      <w:r w:rsidRPr="00DB4B22">
        <w:rPr>
          <w:rFonts w:ascii="Arial" w:hAnsi="Arial" w:cs="Arial"/>
        </w:rPr>
        <w:t xml:space="preserve"> (Accessed: 2 April 2023). </w:t>
      </w:r>
    </w:p>
    <w:p w14:paraId="26069D56" w14:textId="7ABB6072" w:rsidR="00B13F68" w:rsidRPr="00DB4B22" w:rsidRDefault="00B13F68" w:rsidP="00446260">
      <w:pPr>
        <w:rPr>
          <w:rFonts w:ascii="Arial" w:hAnsi="Arial" w:cs="Arial"/>
        </w:rPr>
      </w:pPr>
      <w:proofErr w:type="spellStart"/>
      <w:r w:rsidRPr="00DB4B22">
        <w:rPr>
          <w:rFonts w:ascii="Arial" w:hAnsi="Arial" w:cs="Arial"/>
        </w:rPr>
        <w:t>Acas</w:t>
      </w:r>
      <w:proofErr w:type="spellEnd"/>
      <w:r w:rsidRPr="00DB4B22">
        <w:rPr>
          <w:rFonts w:ascii="Arial" w:hAnsi="Arial" w:cs="Arial"/>
        </w:rPr>
        <w:t xml:space="preserve"> (2022) </w:t>
      </w:r>
      <w:r w:rsidRPr="00DB4B22">
        <w:rPr>
          <w:rFonts w:ascii="Arial" w:hAnsi="Arial" w:cs="Arial"/>
          <w:i/>
          <w:iCs/>
        </w:rPr>
        <w:t>Dismissals</w:t>
      </w:r>
      <w:r w:rsidRPr="00DB4B22">
        <w:rPr>
          <w:rFonts w:ascii="Arial" w:hAnsi="Arial" w:cs="Arial"/>
        </w:rPr>
        <w:t xml:space="preserve">. Available at: </w:t>
      </w:r>
      <w:hyperlink r:id="rId9" w:history="1">
        <w:r w:rsidRPr="00DB4B22">
          <w:rPr>
            <w:rStyle w:val="Hyperlink"/>
            <w:rFonts w:ascii="Arial" w:hAnsi="Arial" w:cs="Arial"/>
            <w:color w:val="auto"/>
          </w:rPr>
          <w:t>https://www.acas.org.uk/dismissals/constructive-dismissal</w:t>
        </w:r>
      </w:hyperlink>
      <w:r w:rsidRPr="00DB4B22">
        <w:rPr>
          <w:rFonts w:ascii="Arial" w:hAnsi="Arial" w:cs="Arial"/>
        </w:rPr>
        <w:t xml:space="preserve"> (Accessed: 9 March 2023) </w:t>
      </w:r>
    </w:p>
    <w:p w14:paraId="016FF924" w14:textId="233CD361" w:rsidR="00FF5AEA" w:rsidRPr="00DB4B22" w:rsidRDefault="00FF5AEA" w:rsidP="00446260">
      <w:pPr>
        <w:rPr>
          <w:rFonts w:ascii="Arial" w:hAnsi="Arial" w:cs="Arial"/>
        </w:rPr>
      </w:pPr>
      <w:r w:rsidRPr="00DB4B22">
        <w:rPr>
          <w:rFonts w:ascii="Arial" w:hAnsi="Arial" w:cs="Arial"/>
        </w:rPr>
        <w:t xml:space="preserve">‘Allay (UK) v </w:t>
      </w:r>
      <w:proofErr w:type="spellStart"/>
      <w:r w:rsidRPr="00DB4B22">
        <w:rPr>
          <w:rFonts w:ascii="Arial" w:hAnsi="Arial" w:cs="Arial"/>
        </w:rPr>
        <w:t>Gehlen</w:t>
      </w:r>
      <w:proofErr w:type="spellEnd"/>
      <w:r w:rsidRPr="00DB4B22">
        <w:rPr>
          <w:rFonts w:ascii="Arial" w:hAnsi="Arial" w:cs="Arial"/>
        </w:rPr>
        <w:t xml:space="preserve">’ (2021) </w:t>
      </w:r>
      <w:r w:rsidR="00BB4BB3" w:rsidRPr="00DB4B22">
        <w:rPr>
          <w:rFonts w:ascii="Arial" w:hAnsi="Arial" w:cs="Arial"/>
        </w:rPr>
        <w:t xml:space="preserve">Appeal. London, appeal 0031. </w:t>
      </w:r>
      <w:r w:rsidR="00BB4BB3" w:rsidRPr="00DB4B22">
        <w:rPr>
          <w:rFonts w:ascii="Arial" w:hAnsi="Arial" w:cs="Arial"/>
          <w:i/>
          <w:iCs/>
        </w:rPr>
        <w:t xml:space="preserve">Gov.uk. </w:t>
      </w:r>
      <w:r w:rsidR="00BB4BB3" w:rsidRPr="00DB4B22">
        <w:rPr>
          <w:rFonts w:ascii="Arial" w:hAnsi="Arial" w:cs="Arial"/>
        </w:rPr>
        <w:t>Available at:</w:t>
      </w:r>
      <w:r w:rsidR="00BB4BB3" w:rsidRPr="00DB4B22">
        <w:t xml:space="preserve"> </w:t>
      </w:r>
      <w:hyperlink r:id="rId10" w:history="1">
        <w:r w:rsidR="00BB4BB3" w:rsidRPr="00DB4B22">
          <w:rPr>
            <w:rStyle w:val="Hyperlink"/>
            <w:rFonts w:ascii="Arial" w:hAnsi="Arial" w:cs="Arial"/>
            <w:color w:val="auto"/>
          </w:rPr>
          <w:t>https://assets.publishing.service.gov.uk/media/601bc9e3e90e07128691d2c2/Allay__UK__Ltd_v_Mr_S_Gehlen_UKEAT_0031_20_AT.pdf</w:t>
        </w:r>
      </w:hyperlink>
      <w:r w:rsidR="00BB4BB3" w:rsidRPr="00DB4B22">
        <w:rPr>
          <w:rFonts w:ascii="Arial" w:hAnsi="Arial" w:cs="Arial"/>
        </w:rPr>
        <w:t xml:space="preserve"> (Accessed: 22 March 2023)</w:t>
      </w:r>
    </w:p>
    <w:p w14:paraId="67894032" w14:textId="0B0E5A56" w:rsidR="002761AF" w:rsidRPr="00DB4B22" w:rsidRDefault="005E0F40" w:rsidP="00446260">
      <w:pPr>
        <w:rPr>
          <w:rFonts w:ascii="Arial" w:hAnsi="Arial" w:cs="Arial"/>
        </w:rPr>
      </w:pPr>
      <w:r w:rsidRPr="00DB4B22">
        <w:rPr>
          <w:rFonts w:ascii="Arial" w:hAnsi="Arial" w:cs="Arial"/>
        </w:rPr>
        <w:t>‘</w:t>
      </w:r>
      <w:r w:rsidR="002761AF" w:rsidRPr="00DB4B22">
        <w:rPr>
          <w:rFonts w:ascii="Arial" w:hAnsi="Arial" w:cs="Arial"/>
        </w:rPr>
        <w:t xml:space="preserve">Anca </w:t>
      </w:r>
      <w:proofErr w:type="spellStart"/>
      <w:r w:rsidR="002761AF" w:rsidRPr="00DB4B22">
        <w:rPr>
          <w:rFonts w:ascii="Arial" w:hAnsi="Arial" w:cs="Arial"/>
        </w:rPr>
        <w:t>Lacatus</w:t>
      </w:r>
      <w:proofErr w:type="spellEnd"/>
      <w:r w:rsidR="002761AF" w:rsidRPr="00DB4B22">
        <w:rPr>
          <w:rFonts w:ascii="Arial" w:hAnsi="Arial" w:cs="Arial"/>
        </w:rPr>
        <w:t xml:space="preserve"> v Barclays</w:t>
      </w:r>
      <w:r w:rsidRPr="00DB4B22">
        <w:rPr>
          <w:rFonts w:ascii="Arial" w:hAnsi="Arial" w:cs="Arial"/>
        </w:rPr>
        <w:t>’</w:t>
      </w:r>
      <w:r w:rsidR="002761AF" w:rsidRPr="00DB4B22">
        <w:rPr>
          <w:rFonts w:ascii="Arial" w:hAnsi="Arial" w:cs="Arial"/>
        </w:rPr>
        <w:t xml:space="preserve"> (2021) </w:t>
      </w:r>
      <w:r w:rsidRPr="00DB4B22">
        <w:rPr>
          <w:rFonts w:ascii="Arial" w:hAnsi="Arial" w:cs="Arial"/>
        </w:rPr>
        <w:t xml:space="preserve">East London Hearing Centre, case 3201295. </w:t>
      </w:r>
      <w:r w:rsidRPr="00DB4B22">
        <w:rPr>
          <w:rFonts w:ascii="Arial" w:hAnsi="Arial" w:cs="Arial"/>
          <w:i/>
          <w:iCs/>
        </w:rPr>
        <w:t xml:space="preserve">Gov.uk. </w:t>
      </w:r>
      <w:r w:rsidRPr="00DB4B22">
        <w:rPr>
          <w:rFonts w:ascii="Arial" w:hAnsi="Arial" w:cs="Arial"/>
        </w:rPr>
        <w:t xml:space="preserve">Available at: </w:t>
      </w:r>
      <w:hyperlink r:id="rId11" w:history="1">
        <w:r w:rsidRPr="00DB4B22">
          <w:rPr>
            <w:rStyle w:val="Hyperlink"/>
            <w:rFonts w:ascii="Arial" w:hAnsi="Arial" w:cs="Arial"/>
            <w:color w:val="auto"/>
          </w:rPr>
          <w:t>https://assets.publishing.service.gov.uk/media/6142fecee90e070437d8baeb/Ms_A_Lacatus_-v-_Barclays_Execution_Services_Limited___Ors_-_3201295_2019___Or_-_Judgment.pdf</w:t>
        </w:r>
      </w:hyperlink>
      <w:r w:rsidR="002761AF" w:rsidRPr="00DB4B22">
        <w:rPr>
          <w:rFonts w:ascii="Arial" w:hAnsi="Arial" w:cs="Arial"/>
        </w:rPr>
        <w:t xml:space="preserve"> </w:t>
      </w:r>
      <w:r w:rsidRPr="00DB4B22">
        <w:rPr>
          <w:rFonts w:ascii="Arial" w:hAnsi="Arial" w:cs="Arial"/>
        </w:rPr>
        <w:t>(Accessed: 13 March 2023)</w:t>
      </w:r>
    </w:p>
    <w:p w14:paraId="7F6AB841" w14:textId="5AED1762" w:rsidR="00B13F68" w:rsidRPr="00DB4B22" w:rsidRDefault="00B13F68" w:rsidP="00446260">
      <w:pPr>
        <w:rPr>
          <w:rFonts w:ascii="Arial" w:hAnsi="Arial" w:cs="Arial"/>
        </w:rPr>
      </w:pPr>
      <w:r w:rsidRPr="00DB4B22">
        <w:rPr>
          <w:rFonts w:ascii="Arial" w:hAnsi="Arial" w:cs="Arial"/>
        </w:rPr>
        <w:t xml:space="preserve">‘Office Equipment Systems v Hughes’ (2016) </w:t>
      </w:r>
      <w:r w:rsidR="00E51BEC" w:rsidRPr="00DB4B22">
        <w:rPr>
          <w:rFonts w:ascii="Arial" w:hAnsi="Arial" w:cs="Arial"/>
        </w:rPr>
        <w:t xml:space="preserve">Appeal. London, appeal 0183. </w:t>
      </w:r>
      <w:r w:rsidR="00E51BEC" w:rsidRPr="00DB4B22">
        <w:rPr>
          <w:rFonts w:ascii="Arial" w:hAnsi="Arial" w:cs="Arial"/>
          <w:i/>
          <w:iCs/>
        </w:rPr>
        <w:t xml:space="preserve">Gov.uk. </w:t>
      </w:r>
      <w:r w:rsidR="00E51BEC" w:rsidRPr="00DB4B22">
        <w:rPr>
          <w:rFonts w:ascii="Arial" w:hAnsi="Arial" w:cs="Arial"/>
        </w:rPr>
        <w:t xml:space="preserve">Available at: </w:t>
      </w:r>
      <w:hyperlink r:id="rId12" w:history="1">
        <w:r w:rsidR="00E51BEC" w:rsidRPr="00DB4B22">
          <w:rPr>
            <w:rStyle w:val="Hyperlink"/>
            <w:rFonts w:ascii="Arial" w:hAnsi="Arial" w:cs="Arial"/>
            <w:color w:val="auto"/>
          </w:rPr>
          <w:t>https://assets.publishing.service.gov.uk/media/58b84f7ee5274a2a5c0000d2/Office_Equipment_Systems_Ltd_v_Miss_J_Hughes_UKEAT_0183_16_JOJ.pdf</w:t>
        </w:r>
      </w:hyperlink>
      <w:r w:rsidRPr="00DB4B22">
        <w:rPr>
          <w:rFonts w:ascii="Arial" w:hAnsi="Arial" w:cs="Arial"/>
        </w:rPr>
        <w:t xml:space="preserve"> </w:t>
      </w:r>
      <w:r w:rsidR="00E51BEC" w:rsidRPr="00DB4B22">
        <w:rPr>
          <w:rFonts w:ascii="Arial" w:hAnsi="Arial" w:cs="Arial"/>
        </w:rPr>
        <w:t>(Accessed: 17 March 2023)</w:t>
      </w:r>
    </w:p>
    <w:p w14:paraId="09BFBCA2" w14:textId="3DCDCF59" w:rsidR="00470548" w:rsidRPr="00DB4B22" w:rsidRDefault="005E0F40" w:rsidP="00446260">
      <w:pPr>
        <w:rPr>
          <w:rFonts w:ascii="Arial" w:hAnsi="Arial" w:cs="Arial"/>
        </w:rPr>
      </w:pPr>
      <w:r w:rsidRPr="00DB4B22">
        <w:rPr>
          <w:rFonts w:ascii="Arial" w:hAnsi="Arial" w:cs="Arial"/>
        </w:rPr>
        <w:t>‘</w:t>
      </w:r>
      <w:r w:rsidR="00470548" w:rsidRPr="00DB4B22">
        <w:rPr>
          <w:rFonts w:ascii="Arial" w:hAnsi="Arial" w:cs="Arial"/>
        </w:rPr>
        <w:t>Chief Constable of the Lincolnshire Police v Stubbs</w:t>
      </w:r>
      <w:r w:rsidRPr="00DB4B22">
        <w:rPr>
          <w:rFonts w:ascii="Arial" w:hAnsi="Arial" w:cs="Arial"/>
        </w:rPr>
        <w:t>’</w:t>
      </w:r>
      <w:r w:rsidR="00470548" w:rsidRPr="00DB4B22">
        <w:rPr>
          <w:rFonts w:ascii="Arial" w:hAnsi="Arial" w:cs="Arial"/>
        </w:rPr>
        <w:t xml:space="preserve"> (1999) </w:t>
      </w:r>
      <w:r w:rsidR="00034E90" w:rsidRPr="00DB4B22">
        <w:rPr>
          <w:rFonts w:ascii="Arial" w:hAnsi="Arial" w:cs="Arial"/>
          <w:i/>
          <w:iCs/>
        </w:rPr>
        <w:t xml:space="preserve">Gaby Hardwicke. </w:t>
      </w:r>
      <w:r w:rsidR="00034E90" w:rsidRPr="00DB4B22">
        <w:rPr>
          <w:rFonts w:ascii="Arial" w:hAnsi="Arial" w:cs="Arial"/>
        </w:rPr>
        <w:t xml:space="preserve">Available at: </w:t>
      </w:r>
      <w:hyperlink r:id="rId13" w:anchor=":~:text=In%20the%20Chief%20Constable%20of,extension%20of%20the%20claimant%27s%20employment" w:history="1">
        <w:r w:rsidR="00034E90" w:rsidRPr="00DB4B22">
          <w:rPr>
            <w:rStyle w:val="Hyperlink"/>
            <w:rFonts w:ascii="Arial" w:hAnsi="Arial" w:cs="Arial"/>
            <w:color w:val="auto"/>
          </w:rPr>
          <w:t>https://www.lexology.com/library/detail.aspx?g=5968704c-9346-4d92-9d42-d95b8049cd9c#:~:text=In%20the%20Chief%20Constable%20of,extension%20of%20the%20claimant%27s%20employment</w:t>
        </w:r>
      </w:hyperlink>
      <w:r w:rsidR="00034E90" w:rsidRPr="00DB4B22">
        <w:rPr>
          <w:rFonts w:ascii="Arial" w:hAnsi="Arial" w:cs="Arial"/>
        </w:rPr>
        <w:t xml:space="preserve"> (Accessed: 17 March 2023)</w:t>
      </w:r>
    </w:p>
    <w:p w14:paraId="3C2BA0FB" w14:textId="77777777" w:rsidR="00B13F68" w:rsidRPr="00DB4B22" w:rsidRDefault="00B13F68" w:rsidP="00446260">
      <w:pPr>
        <w:rPr>
          <w:rFonts w:ascii="Arial" w:hAnsi="Arial" w:cs="Arial"/>
        </w:rPr>
      </w:pPr>
      <w:r w:rsidRPr="00DB4B22">
        <w:rPr>
          <w:rFonts w:ascii="Arial" w:hAnsi="Arial" w:cs="Arial"/>
        </w:rPr>
        <w:t xml:space="preserve">CIPD (2022) </w:t>
      </w:r>
      <w:r w:rsidRPr="00DB4B22">
        <w:rPr>
          <w:rFonts w:ascii="Arial" w:hAnsi="Arial" w:cs="Arial"/>
          <w:i/>
          <w:iCs/>
        </w:rPr>
        <w:t>Settlement and Compromise Agreements Q&amp;As</w:t>
      </w:r>
      <w:r w:rsidRPr="00DB4B22">
        <w:rPr>
          <w:rFonts w:ascii="Arial" w:hAnsi="Arial" w:cs="Arial"/>
        </w:rPr>
        <w:t xml:space="preserve">. Available at: </w:t>
      </w:r>
      <w:hyperlink r:id="rId14" w:history="1">
        <w:r w:rsidRPr="00DB4B22">
          <w:rPr>
            <w:rStyle w:val="Hyperlink"/>
            <w:rFonts w:ascii="Arial" w:hAnsi="Arial" w:cs="Arial"/>
            <w:color w:val="auto"/>
          </w:rPr>
          <w:t>https://www.cipd.co.uk/knowledge/fundamentals/emp-law/dismissal/settlement-compromise-agreements-questions</w:t>
        </w:r>
      </w:hyperlink>
      <w:r w:rsidRPr="00DB4B22">
        <w:rPr>
          <w:rFonts w:ascii="Arial" w:hAnsi="Arial" w:cs="Arial"/>
        </w:rPr>
        <w:t xml:space="preserve"> (Accessed: 19 March 2023). </w:t>
      </w:r>
    </w:p>
    <w:p w14:paraId="70CB9153" w14:textId="77777777" w:rsidR="00B13F68" w:rsidRPr="00DB4B22" w:rsidRDefault="00B13F68" w:rsidP="00446260">
      <w:pPr>
        <w:rPr>
          <w:rFonts w:ascii="Arial" w:hAnsi="Arial" w:cs="Arial"/>
        </w:rPr>
      </w:pPr>
      <w:r w:rsidRPr="00DB4B22">
        <w:rPr>
          <w:rFonts w:ascii="Arial" w:hAnsi="Arial" w:cs="Arial"/>
        </w:rPr>
        <w:t xml:space="preserve">Citizens Advice (2021) </w:t>
      </w:r>
      <w:r w:rsidRPr="00DB4B22">
        <w:rPr>
          <w:rFonts w:ascii="Arial" w:hAnsi="Arial" w:cs="Arial"/>
          <w:i/>
          <w:iCs/>
        </w:rPr>
        <w:t xml:space="preserve">Check what compensation you can get for unfair dismissal. </w:t>
      </w:r>
      <w:r w:rsidRPr="00DB4B22">
        <w:rPr>
          <w:rFonts w:ascii="Arial" w:hAnsi="Arial" w:cs="Arial"/>
        </w:rPr>
        <w:t xml:space="preserve"> Available at: </w:t>
      </w:r>
      <w:hyperlink r:id="rId15" w:anchor=":~:text=An%20employment%20tribunal%20might%20reduce,d%20followed%20the%20right%20procedure" w:history="1">
        <w:r w:rsidRPr="00DB4B22">
          <w:rPr>
            <w:rStyle w:val="Hyperlink"/>
            <w:rFonts w:ascii="Arial" w:hAnsi="Arial" w:cs="Arial"/>
            <w:color w:val="auto"/>
          </w:rPr>
          <w:t>https://www.citizensadvice.org.uk/work/employment-tribunals/employment-tribunals/before-you-go-to-the-tribunal/check-what-compensation-you-can-get-for-unfair-dismissal/#:~:text=An%20employment%20tribunal%20might%20reduce,d%20followed%20the%20right%20procedure</w:t>
        </w:r>
      </w:hyperlink>
      <w:r w:rsidRPr="00DB4B22">
        <w:rPr>
          <w:rFonts w:ascii="Arial" w:hAnsi="Arial" w:cs="Arial"/>
        </w:rPr>
        <w:t xml:space="preserve"> (Accessed: 25 March 2023). </w:t>
      </w:r>
    </w:p>
    <w:p w14:paraId="4C931CAE" w14:textId="77777777" w:rsidR="00B13F68" w:rsidRPr="00DB4B22" w:rsidRDefault="00B13F68" w:rsidP="00446260">
      <w:pPr>
        <w:rPr>
          <w:rFonts w:ascii="Arial" w:hAnsi="Arial" w:cs="Arial"/>
        </w:rPr>
      </w:pPr>
      <w:r w:rsidRPr="00DB4B22">
        <w:rPr>
          <w:rFonts w:ascii="Arial" w:hAnsi="Arial" w:cs="Arial"/>
        </w:rPr>
        <w:t xml:space="preserve">Citizens Advice (2023) </w:t>
      </w:r>
      <w:r w:rsidRPr="00DB4B22">
        <w:rPr>
          <w:rFonts w:ascii="Arial" w:hAnsi="Arial" w:cs="Arial"/>
          <w:i/>
          <w:iCs/>
        </w:rPr>
        <w:t xml:space="preserve">Claiming Constructive Dismissal. </w:t>
      </w:r>
      <w:r w:rsidRPr="00DB4B22">
        <w:rPr>
          <w:rFonts w:ascii="Arial" w:hAnsi="Arial" w:cs="Arial"/>
        </w:rPr>
        <w:t xml:space="preserve">Available at: </w:t>
      </w:r>
      <w:hyperlink r:id="rId16" w:anchor=":~:text=You%20can%20also%20only%20usually,includes%20your%20statutory%20notice%20period" w:history="1">
        <w:r w:rsidRPr="00DB4B22">
          <w:rPr>
            <w:rStyle w:val="Hyperlink"/>
            <w:rFonts w:ascii="Arial" w:hAnsi="Arial" w:cs="Arial"/>
            <w:color w:val="auto"/>
          </w:rPr>
          <w:t>https://www.citizensadvice.org.uk/work/dismissal/check-your-rights-if-youre-dismissed/dismissal/claiming-constructive-dismissal/#:~:text=You%20can%20also%20only%20usually,includes%20your%20statutory%20notice%20period</w:t>
        </w:r>
      </w:hyperlink>
      <w:r w:rsidRPr="00DB4B22">
        <w:rPr>
          <w:rFonts w:ascii="Arial" w:hAnsi="Arial" w:cs="Arial"/>
        </w:rPr>
        <w:t xml:space="preserve"> (Accessed: 7 March 2023) </w:t>
      </w:r>
    </w:p>
    <w:p w14:paraId="42C01F0B" w14:textId="4C1D3D0A" w:rsidR="00B13F68" w:rsidRPr="00DB4B22" w:rsidRDefault="00B13F68" w:rsidP="00446260">
      <w:pPr>
        <w:rPr>
          <w:rFonts w:ascii="Arial" w:hAnsi="Arial" w:cs="Arial"/>
        </w:rPr>
      </w:pPr>
      <w:r w:rsidRPr="00DB4B22">
        <w:rPr>
          <w:rFonts w:ascii="Arial" w:hAnsi="Arial" w:cs="Arial"/>
        </w:rPr>
        <w:t xml:space="preserve">Clark, I. (2022) </w:t>
      </w:r>
      <w:r w:rsidRPr="00DB4B22">
        <w:rPr>
          <w:rFonts w:ascii="Arial" w:hAnsi="Arial" w:cs="Arial"/>
          <w:i/>
          <w:iCs/>
        </w:rPr>
        <w:t xml:space="preserve">Employment Tribunal. </w:t>
      </w:r>
      <w:r w:rsidRPr="00DB4B22">
        <w:rPr>
          <w:rFonts w:ascii="Arial" w:hAnsi="Arial" w:cs="Arial"/>
        </w:rPr>
        <w:t xml:space="preserve">Available at: </w:t>
      </w:r>
      <w:hyperlink r:id="rId17" w:history="1">
        <w:r w:rsidRPr="00DB4B22">
          <w:rPr>
            <w:rStyle w:val="Hyperlink"/>
            <w:rFonts w:ascii="Arial" w:hAnsi="Arial" w:cs="Arial"/>
            <w:color w:val="auto"/>
          </w:rPr>
          <w:t>https://www.morton-fraser.com/insights/employment-tribunal-awards</w:t>
        </w:r>
      </w:hyperlink>
      <w:r w:rsidRPr="00DB4B22">
        <w:rPr>
          <w:rFonts w:ascii="Arial" w:hAnsi="Arial" w:cs="Arial"/>
        </w:rPr>
        <w:t xml:space="preserve"> (Accessed: 27 March 2023) </w:t>
      </w:r>
    </w:p>
    <w:p w14:paraId="6C9A6CDA" w14:textId="77777777" w:rsidR="00E51BEC" w:rsidRPr="00DB4B22" w:rsidRDefault="00E51BEC" w:rsidP="00446260">
      <w:pPr>
        <w:rPr>
          <w:rFonts w:ascii="Arial" w:hAnsi="Arial" w:cs="Arial"/>
        </w:rPr>
      </w:pPr>
      <w:r w:rsidRPr="00DB4B22">
        <w:rPr>
          <w:rFonts w:ascii="Arial" w:hAnsi="Arial" w:cs="Arial"/>
        </w:rPr>
        <w:lastRenderedPageBreak/>
        <w:t>‘</w:t>
      </w:r>
      <w:proofErr w:type="spellStart"/>
      <w:r w:rsidRPr="00DB4B22">
        <w:rPr>
          <w:rFonts w:ascii="Arial" w:hAnsi="Arial" w:cs="Arial"/>
        </w:rPr>
        <w:t>Couston</w:t>
      </w:r>
      <w:proofErr w:type="spellEnd"/>
      <w:r w:rsidRPr="00DB4B22">
        <w:rPr>
          <w:rFonts w:ascii="Arial" w:hAnsi="Arial" w:cs="Arial"/>
        </w:rPr>
        <w:t xml:space="preserve"> v </w:t>
      </w:r>
      <w:proofErr w:type="spellStart"/>
      <w:r w:rsidRPr="00DB4B22">
        <w:rPr>
          <w:rFonts w:ascii="Arial" w:hAnsi="Arial" w:cs="Arial"/>
        </w:rPr>
        <w:t>RentPlus</w:t>
      </w:r>
      <w:proofErr w:type="spellEnd"/>
      <w:r w:rsidRPr="00DB4B22">
        <w:rPr>
          <w:rFonts w:ascii="Arial" w:hAnsi="Arial" w:cs="Arial"/>
        </w:rPr>
        <w:t xml:space="preserve"> UK Ltd’ (2022) Appeal. London, case 000809. </w:t>
      </w:r>
      <w:r w:rsidRPr="00DB4B22">
        <w:rPr>
          <w:rFonts w:ascii="Arial" w:hAnsi="Arial" w:cs="Arial"/>
          <w:i/>
          <w:iCs/>
        </w:rPr>
        <w:t xml:space="preserve">Gov.uk. </w:t>
      </w:r>
      <w:r w:rsidRPr="00DB4B22">
        <w:rPr>
          <w:rFonts w:ascii="Arial" w:hAnsi="Arial" w:cs="Arial"/>
        </w:rPr>
        <w:t xml:space="preserve">Available at: </w:t>
      </w:r>
      <w:hyperlink r:id="rId18" w:history="1">
        <w:r w:rsidRPr="00DB4B22">
          <w:rPr>
            <w:rStyle w:val="Hyperlink"/>
            <w:rFonts w:ascii="Arial" w:hAnsi="Arial" w:cs="Arial"/>
            <w:color w:val="auto"/>
          </w:rPr>
          <w:t>https://www.gov.uk/employment-appeal-tribunal-decisions/rentplus-uk-ltd-v-ms-susan-coulson-2022-eat-81</w:t>
        </w:r>
      </w:hyperlink>
      <w:r w:rsidRPr="00DB4B22">
        <w:rPr>
          <w:rFonts w:ascii="Arial" w:hAnsi="Arial" w:cs="Arial"/>
        </w:rPr>
        <w:t xml:space="preserve"> (Accessed: 15 March 2023). </w:t>
      </w:r>
    </w:p>
    <w:p w14:paraId="5F73CF0C" w14:textId="5363A8C4" w:rsidR="00B13F68" w:rsidRPr="00DB4B22" w:rsidRDefault="00B13F68" w:rsidP="00446260">
      <w:pPr>
        <w:rPr>
          <w:rFonts w:ascii="Arial" w:hAnsi="Arial" w:cs="Arial"/>
        </w:rPr>
      </w:pPr>
      <w:r w:rsidRPr="00DB4B22">
        <w:rPr>
          <w:rFonts w:ascii="Arial" w:hAnsi="Arial" w:cs="Arial"/>
        </w:rPr>
        <w:t xml:space="preserve">Department for Business Innovation &amp; Skills (2014) </w:t>
      </w:r>
      <w:r w:rsidRPr="00DB4B22">
        <w:rPr>
          <w:rFonts w:ascii="Arial" w:hAnsi="Arial" w:cs="Arial"/>
          <w:i/>
          <w:iCs/>
        </w:rPr>
        <w:t xml:space="preserve">Employment Rights on the Transfer of an Undertaking (TUPE). </w:t>
      </w:r>
      <w:r w:rsidRPr="00DB4B22">
        <w:rPr>
          <w:rFonts w:ascii="Arial" w:hAnsi="Arial" w:cs="Arial"/>
        </w:rPr>
        <w:t xml:space="preserve">Available at: </w:t>
      </w:r>
      <w:hyperlink r:id="rId19" w:history="1">
        <w:r w:rsidRPr="00DB4B22">
          <w:rPr>
            <w:rStyle w:val="Hyperlink"/>
            <w:rFonts w:ascii="Arial" w:hAnsi="Arial" w:cs="Arial"/>
            <w:color w:val="auto"/>
          </w:rPr>
          <w:t>https://assets.publishing.service.gov.uk/government/uploads/system/uploads/attachment_data/file/275252/bis-14-502-employment-rights-on-the-transfer-of-an-undertaking.pdf</w:t>
        </w:r>
      </w:hyperlink>
      <w:r w:rsidRPr="00DB4B22">
        <w:rPr>
          <w:rFonts w:ascii="Arial" w:hAnsi="Arial" w:cs="Arial"/>
        </w:rPr>
        <w:t xml:space="preserve"> (Accessed: 8 April 2023). </w:t>
      </w:r>
    </w:p>
    <w:p w14:paraId="78DAE855" w14:textId="4E506EA4" w:rsidR="00B13F68" w:rsidRPr="00DB4B22" w:rsidRDefault="00B13F68" w:rsidP="00446260">
      <w:pPr>
        <w:rPr>
          <w:rFonts w:ascii="Arial" w:hAnsi="Arial" w:cs="Arial"/>
        </w:rPr>
      </w:pPr>
      <w:r w:rsidRPr="00DB4B22">
        <w:rPr>
          <w:rStyle w:val="Hyperlink"/>
          <w:rFonts w:ascii="Arial" w:hAnsi="Arial" w:cs="Arial"/>
          <w:i/>
          <w:iCs/>
          <w:color w:val="auto"/>
          <w:u w:val="none"/>
        </w:rPr>
        <w:t>Employment Rights Act</w:t>
      </w:r>
      <w:r w:rsidRPr="00DB4B22">
        <w:rPr>
          <w:rFonts w:ascii="Arial" w:hAnsi="Arial" w:cs="Arial"/>
          <w:i/>
          <w:iCs/>
        </w:rPr>
        <w:t>, 1996, c.18</w:t>
      </w:r>
      <w:r w:rsidRPr="00DB4B22">
        <w:rPr>
          <w:rFonts w:ascii="Arial" w:hAnsi="Arial" w:cs="Arial"/>
        </w:rPr>
        <w:t xml:space="preserve">. Available at: </w:t>
      </w:r>
      <w:hyperlink r:id="rId20" w:history="1">
        <w:r w:rsidRPr="00DB4B22">
          <w:rPr>
            <w:rStyle w:val="Hyperlink"/>
            <w:rFonts w:ascii="Arial" w:hAnsi="Arial" w:cs="Arial"/>
            <w:color w:val="auto"/>
          </w:rPr>
          <w:t>https://www.legislation.gov.uk/ukpga/1996/18/part/X/chapter/II/crossheading/compensation</w:t>
        </w:r>
      </w:hyperlink>
      <w:r w:rsidRPr="00DB4B22">
        <w:rPr>
          <w:rFonts w:ascii="Arial" w:hAnsi="Arial" w:cs="Arial"/>
        </w:rPr>
        <w:t xml:space="preserve"> (Accessed: 23 March 2023). </w:t>
      </w:r>
    </w:p>
    <w:p w14:paraId="79115114" w14:textId="77777777" w:rsidR="00E51BEC" w:rsidRPr="00DB4B22" w:rsidRDefault="00E51BEC" w:rsidP="00446260">
      <w:pPr>
        <w:rPr>
          <w:rFonts w:ascii="Arial" w:hAnsi="Arial" w:cs="Arial"/>
        </w:rPr>
      </w:pPr>
      <w:r w:rsidRPr="00DB4B22">
        <w:rPr>
          <w:rFonts w:ascii="Arial" w:hAnsi="Arial" w:cs="Arial"/>
        </w:rPr>
        <w:t xml:space="preserve">‘Evans v Xactly Corporation Limited’ (2018) Appeal. London, appeal 0128/18. </w:t>
      </w:r>
      <w:r w:rsidRPr="00DB4B22">
        <w:rPr>
          <w:rFonts w:ascii="Arial" w:hAnsi="Arial" w:cs="Arial"/>
          <w:i/>
          <w:iCs/>
        </w:rPr>
        <w:t xml:space="preserve">Gov.uk. </w:t>
      </w:r>
      <w:r w:rsidRPr="00DB4B22">
        <w:rPr>
          <w:rFonts w:ascii="Arial" w:hAnsi="Arial" w:cs="Arial"/>
        </w:rPr>
        <w:t xml:space="preserve">Available at: </w:t>
      </w:r>
      <w:hyperlink r:id="rId21" w:history="1">
        <w:r w:rsidRPr="00DB4B22">
          <w:rPr>
            <w:rStyle w:val="Hyperlink"/>
            <w:rFonts w:ascii="Arial" w:hAnsi="Arial" w:cs="Arial"/>
            <w:color w:val="auto"/>
          </w:rPr>
          <w:t>https://assets.publishing.service.gov.uk/media/5bcf210fed915d78aaef7e00/Mr_D_P_Evans_v_Xactly_Corporation_Ltd_UKEATPA_0128_18_LA.pdf</w:t>
        </w:r>
      </w:hyperlink>
      <w:r w:rsidRPr="00DB4B22">
        <w:rPr>
          <w:rFonts w:ascii="Arial" w:hAnsi="Arial" w:cs="Arial"/>
        </w:rPr>
        <w:t xml:space="preserve"> (Accessed: 17 March 2023)</w:t>
      </w:r>
    </w:p>
    <w:p w14:paraId="010FF114" w14:textId="77777777" w:rsidR="00B13F68" w:rsidRPr="00DB4B22" w:rsidRDefault="00B13F68" w:rsidP="00446260">
      <w:pPr>
        <w:rPr>
          <w:rFonts w:ascii="Arial" w:hAnsi="Arial" w:cs="Arial"/>
        </w:rPr>
      </w:pPr>
      <w:r w:rsidRPr="00DB4B22">
        <w:rPr>
          <w:rFonts w:ascii="Arial" w:hAnsi="Arial" w:cs="Arial"/>
          <w:i/>
          <w:iCs/>
        </w:rPr>
        <w:t xml:space="preserve">Equality Act 2010, c.15. </w:t>
      </w:r>
      <w:r w:rsidRPr="00DB4B22">
        <w:rPr>
          <w:rFonts w:ascii="Arial" w:hAnsi="Arial" w:cs="Arial"/>
        </w:rPr>
        <w:t xml:space="preserve">Available at: </w:t>
      </w:r>
      <w:hyperlink r:id="rId22" w:history="1">
        <w:r w:rsidRPr="00DB4B22">
          <w:rPr>
            <w:rStyle w:val="Hyperlink"/>
            <w:rFonts w:ascii="Arial" w:hAnsi="Arial" w:cs="Arial"/>
            <w:color w:val="auto"/>
          </w:rPr>
          <w:t>https://www.legislation.gov.uk/ukpga/2010/15/contents</w:t>
        </w:r>
      </w:hyperlink>
      <w:r w:rsidRPr="00DB4B22">
        <w:rPr>
          <w:rFonts w:ascii="Arial" w:hAnsi="Arial" w:cs="Arial"/>
        </w:rPr>
        <w:t xml:space="preserve"> (Accessed: 20 March 2023). </w:t>
      </w:r>
    </w:p>
    <w:p w14:paraId="5BA04AD4" w14:textId="0CF38F7E" w:rsidR="00B13F68" w:rsidRPr="00DB4B22" w:rsidRDefault="00B13F68" w:rsidP="00446260">
      <w:pPr>
        <w:rPr>
          <w:rFonts w:ascii="Arial" w:hAnsi="Arial" w:cs="Arial"/>
        </w:rPr>
      </w:pPr>
      <w:r w:rsidRPr="00DB4B22">
        <w:rPr>
          <w:rFonts w:ascii="Arial" w:hAnsi="Arial" w:cs="Arial"/>
        </w:rPr>
        <w:t xml:space="preserve">Gov.uk (2023) </w:t>
      </w:r>
      <w:r w:rsidRPr="00DB4B22">
        <w:rPr>
          <w:rFonts w:ascii="Arial" w:hAnsi="Arial" w:cs="Arial"/>
          <w:i/>
          <w:iCs/>
        </w:rPr>
        <w:t xml:space="preserve">Dismissal: your rights. </w:t>
      </w:r>
      <w:r w:rsidRPr="00DB4B22">
        <w:rPr>
          <w:rFonts w:ascii="Arial" w:hAnsi="Arial" w:cs="Arial"/>
        </w:rPr>
        <w:t xml:space="preserve">Available at: </w:t>
      </w:r>
      <w:hyperlink r:id="rId23" w:anchor=":~:text=Constructive%20dismissal%20is%20when%20you,demote%20you%20for%20no%20reason" w:history="1">
        <w:r w:rsidRPr="00DB4B22">
          <w:rPr>
            <w:rStyle w:val="Hyperlink"/>
            <w:rFonts w:ascii="Arial" w:hAnsi="Arial" w:cs="Arial"/>
            <w:color w:val="auto"/>
          </w:rPr>
          <w:t>https://www.gov.uk/dismissal/unfair-and-constructive-dismissal#:~:text=Constructive%20dismissal%20is%20when%20you,demote%20you%20for%20no%20reason</w:t>
        </w:r>
      </w:hyperlink>
      <w:r w:rsidRPr="00DB4B22">
        <w:rPr>
          <w:rFonts w:ascii="Arial" w:hAnsi="Arial" w:cs="Arial"/>
        </w:rPr>
        <w:t xml:space="preserve"> (Accessed: 10 March 2023). </w:t>
      </w:r>
    </w:p>
    <w:p w14:paraId="76D48194" w14:textId="540399CC" w:rsidR="00927964" w:rsidRPr="00DB4B22" w:rsidRDefault="00927964" w:rsidP="00446260">
      <w:pPr>
        <w:rPr>
          <w:rFonts w:ascii="Arial" w:hAnsi="Arial" w:cs="Arial"/>
        </w:rPr>
      </w:pPr>
      <w:r w:rsidRPr="00DB4B22">
        <w:rPr>
          <w:rFonts w:ascii="Arial" w:hAnsi="Arial" w:cs="Arial"/>
        </w:rPr>
        <w:t xml:space="preserve">Gov.uk </w:t>
      </w:r>
      <w:r w:rsidR="005E0F40" w:rsidRPr="00DB4B22">
        <w:rPr>
          <w:rFonts w:ascii="Arial" w:hAnsi="Arial" w:cs="Arial"/>
        </w:rPr>
        <w:t>(</w:t>
      </w:r>
      <w:r w:rsidRPr="00DB4B22">
        <w:rPr>
          <w:rFonts w:ascii="Arial" w:hAnsi="Arial" w:cs="Arial"/>
        </w:rPr>
        <w:t>no date)</w:t>
      </w:r>
      <w:r w:rsidR="005E0F40" w:rsidRPr="00DB4B22">
        <w:rPr>
          <w:rFonts w:ascii="Arial" w:hAnsi="Arial" w:cs="Arial"/>
        </w:rPr>
        <w:t xml:space="preserve"> </w:t>
      </w:r>
      <w:r w:rsidR="005E0F40" w:rsidRPr="00DB4B22">
        <w:rPr>
          <w:rFonts w:ascii="Arial" w:hAnsi="Arial" w:cs="Arial"/>
          <w:i/>
          <w:iCs/>
        </w:rPr>
        <w:t xml:space="preserve">Business Transfers and TUPE. </w:t>
      </w:r>
      <w:r w:rsidR="005E0F40" w:rsidRPr="00DB4B22">
        <w:rPr>
          <w:rFonts w:ascii="Arial" w:hAnsi="Arial" w:cs="Arial"/>
        </w:rPr>
        <w:t>Available at:</w:t>
      </w:r>
      <w:r w:rsidRPr="00DB4B22">
        <w:rPr>
          <w:rFonts w:ascii="Arial" w:hAnsi="Arial" w:cs="Arial"/>
        </w:rPr>
        <w:t xml:space="preserve"> </w:t>
      </w:r>
      <w:hyperlink r:id="rId24" w:history="1">
        <w:r w:rsidRPr="00DB4B22">
          <w:rPr>
            <w:rStyle w:val="Hyperlink"/>
            <w:rFonts w:ascii="Arial" w:hAnsi="Arial" w:cs="Arial"/>
            <w:color w:val="auto"/>
          </w:rPr>
          <w:t>https://www.gov.uk/transfers-takeovers/transfers-of-employment-contracts</w:t>
        </w:r>
      </w:hyperlink>
      <w:r w:rsidRPr="00DB4B22">
        <w:rPr>
          <w:rFonts w:ascii="Arial" w:hAnsi="Arial" w:cs="Arial"/>
        </w:rPr>
        <w:t xml:space="preserve"> </w:t>
      </w:r>
      <w:r w:rsidR="005E0F40" w:rsidRPr="00DB4B22">
        <w:rPr>
          <w:rFonts w:ascii="Arial" w:hAnsi="Arial" w:cs="Arial"/>
        </w:rPr>
        <w:t xml:space="preserve">(Accessed 13 March 2023). </w:t>
      </w:r>
    </w:p>
    <w:p w14:paraId="1A117CDB" w14:textId="7FBD621A" w:rsidR="00477FA9" w:rsidRPr="00DB4B22" w:rsidRDefault="00477FA9" w:rsidP="00446260">
      <w:pPr>
        <w:rPr>
          <w:rFonts w:ascii="Arial" w:hAnsi="Arial" w:cs="Arial"/>
        </w:rPr>
      </w:pPr>
      <w:r w:rsidRPr="00DB4B22">
        <w:rPr>
          <w:rFonts w:ascii="Arial" w:hAnsi="Arial" w:cs="Arial"/>
        </w:rPr>
        <w:t>Hains &amp; Lewis Solicitors</w:t>
      </w:r>
      <w:r w:rsidR="005E0F40" w:rsidRPr="00DB4B22">
        <w:rPr>
          <w:rFonts w:ascii="Arial" w:hAnsi="Arial" w:cs="Arial"/>
        </w:rPr>
        <w:t xml:space="preserve"> (</w:t>
      </w:r>
      <w:r w:rsidRPr="00DB4B22">
        <w:rPr>
          <w:rFonts w:ascii="Arial" w:hAnsi="Arial" w:cs="Arial"/>
        </w:rPr>
        <w:t>2023)</w:t>
      </w:r>
      <w:r w:rsidR="005E0F40" w:rsidRPr="00DB4B22">
        <w:rPr>
          <w:rFonts w:ascii="Arial" w:hAnsi="Arial" w:cs="Arial"/>
        </w:rPr>
        <w:t xml:space="preserve"> </w:t>
      </w:r>
      <w:r w:rsidR="005E0F40" w:rsidRPr="00DB4B22">
        <w:rPr>
          <w:rFonts w:ascii="Arial" w:hAnsi="Arial" w:cs="Arial"/>
          <w:i/>
          <w:iCs/>
        </w:rPr>
        <w:t xml:space="preserve">Employment Tribunal Pricing for Employees. </w:t>
      </w:r>
      <w:r w:rsidR="005E0F40" w:rsidRPr="00DB4B22">
        <w:rPr>
          <w:rFonts w:ascii="Arial" w:hAnsi="Arial" w:cs="Arial"/>
        </w:rPr>
        <w:t>Available at:</w:t>
      </w:r>
      <w:r w:rsidRPr="00DB4B22">
        <w:rPr>
          <w:rFonts w:ascii="Arial" w:hAnsi="Arial" w:cs="Arial"/>
        </w:rPr>
        <w:t xml:space="preserve">  </w:t>
      </w:r>
      <w:hyperlink r:id="rId25" w:history="1">
        <w:r w:rsidRPr="00DB4B22">
          <w:rPr>
            <w:rStyle w:val="Hyperlink"/>
            <w:rFonts w:ascii="Arial" w:hAnsi="Arial" w:cs="Arial"/>
            <w:color w:val="auto"/>
          </w:rPr>
          <w:t>https://www.hainsandlewis.co.uk/site/pricing/tribunal-pricing-employees/</w:t>
        </w:r>
      </w:hyperlink>
      <w:r w:rsidRPr="00DB4B22">
        <w:rPr>
          <w:rFonts w:ascii="Arial" w:hAnsi="Arial" w:cs="Arial"/>
        </w:rPr>
        <w:t xml:space="preserve"> </w:t>
      </w:r>
      <w:r w:rsidR="005E0F40" w:rsidRPr="00DB4B22">
        <w:rPr>
          <w:rFonts w:ascii="Arial" w:hAnsi="Arial" w:cs="Arial"/>
        </w:rPr>
        <w:t xml:space="preserve">(Accessed: 15 March 2023). </w:t>
      </w:r>
    </w:p>
    <w:p w14:paraId="1F6988CB" w14:textId="3438B5DA" w:rsidR="00DF66B9" w:rsidRPr="00DB4B22" w:rsidRDefault="00DF66B9" w:rsidP="00446260">
      <w:pPr>
        <w:rPr>
          <w:rFonts w:ascii="Arial" w:hAnsi="Arial" w:cs="Arial"/>
        </w:rPr>
      </w:pPr>
      <w:r w:rsidRPr="00DB4B22">
        <w:rPr>
          <w:rFonts w:ascii="Arial" w:hAnsi="Arial" w:cs="Arial"/>
        </w:rPr>
        <w:t xml:space="preserve">Hugh James (2023) </w:t>
      </w:r>
      <w:r w:rsidRPr="00DB4B22">
        <w:rPr>
          <w:rFonts w:ascii="Arial" w:hAnsi="Arial" w:cs="Arial"/>
          <w:i/>
          <w:iCs/>
        </w:rPr>
        <w:t>CIPD Wales on Tour</w:t>
      </w:r>
      <w:r w:rsidRPr="00DB4B22">
        <w:rPr>
          <w:rFonts w:ascii="Arial" w:hAnsi="Arial" w:cs="Arial"/>
        </w:rPr>
        <w:t xml:space="preserve">. Carmarthen, 25 April 2023. </w:t>
      </w:r>
    </w:p>
    <w:p w14:paraId="55D73916" w14:textId="5CA554BB" w:rsidR="003C5E7C" w:rsidRPr="00DB4B22" w:rsidRDefault="003C5E7C" w:rsidP="00446260">
      <w:pPr>
        <w:rPr>
          <w:rFonts w:ascii="Arial" w:hAnsi="Arial" w:cs="Arial"/>
        </w:rPr>
      </w:pPr>
      <w:r w:rsidRPr="00DB4B22">
        <w:rPr>
          <w:rFonts w:ascii="Arial" w:hAnsi="Arial" w:cs="Arial"/>
        </w:rPr>
        <w:t>Irons, G. (2023)</w:t>
      </w:r>
      <w:r w:rsidR="00034E90" w:rsidRPr="00DB4B22">
        <w:rPr>
          <w:rFonts w:ascii="Arial" w:hAnsi="Arial" w:cs="Arial"/>
        </w:rPr>
        <w:t xml:space="preserve"> </w:t>
      </w:r>
      <w:r w:rsidR="00034E90" w:rsidRPr="00DB4B22">
        <w:rPr>
          <w:rFonts w:ascii="Arial" w:hAnsi="Arial" w:cs="Arial"/>
          <w:i/>
          <w:iCs/>
        </w:rPr>
        <w:t xml:space="preserve">Updated Vento Bands 2023. </w:t>
      </w:r>
      <w:r w:rsidR="00034E90" w:rsidRPr="00DB4B22">
        <w:rPr>
          <w:rFonts w:ascii="Arial" w:hAnsi="Arial" w:cs="Arial"/>
        </w:rPr>
        <w:t xml:space="preserve">Available at: </w:t>
      </w:r>
      <w:hyperlink r:id="rId26" w:history="1">
        <w:r w:rsidRPr="00DB4B22">
          <w:rPr>
            <w:rStyle w:val="Hyperlink"/>
            <w:rFonts w:ascii="Arial" w:hAnsi="Arial" w:cs="Arial"/>
            <w:color w:val="auto"/>
          </w:rPr>
          <w:t>https://www.howespercival.com/articles/updated-vento-bands-2023/</w:t>
        </w:r>
      </w:hyperlink>
      <w:r w:rsidRPr="00DB4B22">
        <w:rPr>
          <w:rFonts w:ascii="Arial" w:hAnsi="Arial" w:cs="Arial"/>
        </w:rPr>
        <w:t xml:space="preserve"> </w:t>
      </w:r>
      <w:r w:rsidR="00034E90" w:rsidRPr="00DB4B22">
        <w:rPr>
          <w:rFonts w:ascii="Arial" w:hAnsi="Arial" w:cs="Arial"/>
        </w:rPr>
        <w:t>(Accessed: 14 March 2023)</w:t>
      </w:r>
    </w:p>
    <w:p w14:paraId="2F639A8F" w14:textId="0CEA0086" w:rsidR="00B13F68" w:rsidRPr="00DB4B22" w:rsidRDefault="00B13F68" w:rsidP="00446260">
      <w:pPr>
        <w:rPr>
          <w:rFonts w:ascii="Arial" w:hAnsi="Arial" w:cs="Arial"/>
        </w:rPr>
      </w:pPr>
      <w:r w:rsidRPr="00DB4B22">
        <w:rPr>
          <w:rFonts w:ascii="Arial" w:hAnsi="Arial" w:cs="Arial"/>
        </w:rPr>
        <w:t xml:space="preserve">John Fowlers (2022) </w:t>
      </w:r>
      <w:r w:rsidRPr="00DB4B22">
        <w:rPr>
          <w:rFonts w:ascii="Arial" w:hAnsi="Arial" w:cs="Arial"/>
          <w:i/>
          <w:iCs/>
        </w:rPr>
        <w:t xml:space="preserve">The Benefits of Employment Settlement Agreements. </w:t>
      </w:r>
      <w:r w:rsidRPr="00DB4B22">
        <w:rPr>
          <w:rFonts w:ascii="Arial" w:hAnsi="Arial" w:cs="Arial"/>
        </w:rPr>
        <w:t xml:space="preserve">Available at: </w:t>
      </w:r>
      <w:hyperlink r:id="rId27" w:history="1">
        <w:r w:rsidRPr="00DB4B22">
          <w:rPr>
            <w:rStyle w:val="Hyperlink"/>
            <w:rFonts w:ascii="Arial" w:hAnsi="Arial" w:cs="Arial"/>
            <w:color w:val="auto"/>
          </w:rPr>
          <w:t>https://www.johnfowlers.co.uk/latest-news/the-benefits-of-employment-settlement-agreements</w:t>
        </w:r>
      </w:hyperlink>
      <w:r w:rsidRPr="00DB4B22">
        <w:rPr>
          <w:rFonts w:ascii="Arial" w:hAnsi="Arial" w:cs="Arial"/>
        </w:rPr>
        <w:t xml:space="preserve"> (Accessed: 28 March 2023). </w:t>
      </w:r>
    </w:p>
    <w:p w14:paraId="3A3FEE60" w14:textId="77777777" w:rsidR="00B13F68" w:rsidRPr="00DB4B22" w:rsidRDefault="00B13F68" w:rsidP="00446260">
      <w:pPr>
        <w:rPr>
          <w:rFonts w:ascii="Arial" w:hAnsi="Arial" w:cs="Arial"/>
        </w:rPr>
      </w:pPr>
      <w:r w:rsidRPr="00DB4B22">
        <w:rPr>
          <w:rFonts w:ascii="Arial" w:hAnsi="Arial" w:cs="Arial"/>
        </w:rPr>
        <w:t xml:space="preserve">‘Kim Beany v Highways England’ (2018) Nottingham, case 2601027. </w:t>
      </w:r>
      <w:r w:rsidRPr="00DB4B22">
        <w:rPr>
          <w:rFonts w:ascii="Arial" w:hAnsi="Arial" w:cs="Arial"/>
          <w:i/>
          <w:iCs/>
        </w:rPr>
        <w:t xml:space="preserve">Gov.uk. </w:t>
      </w:r>
      <w:r w:rsidRPr="00DB4B22">
        <w:rPr>
          <w:rFonts w:ascii="Arial" w:hAnsi="Arial" w:cs="Arial"/>
        </w:rPr>
        <w:t xml:space="preserve">Available at: </w:t>
      </w:r>
      <w:hyperlink r:id="rId28" w:history="1">
        <w:r w:rsidRPr="00DB4B22">
          <w:rPr>
            <w:rStyle w:val="Hyperlink"/>
            <w:rFonts w:ascii="Arial" w:hAnsi="Arial" w:cs="Arial"/>
            <w:color w:val="auto"/>
          </w:rPr>
          <w:t>https://assets.publishing.service.gov.uk/media/5d5bb55ce5274a07640aefcd/Miss_K_Beaney_v_Highways_England_and_Others_2601027_2017_Reserved.pdf</w:t>
        </w:r>
      </w:hyperlink>
      <w:r w:rsidRPr="00DB4B22">
        <w:rPr>
          <w:rFonts w:ascii="Arial" w:hAnsi="Arial" w:cs="Arial"/>
        </w:rPr>
        <w:t xml:space="preserve"> (Accessed: 21 March 2023) </w:t>
      </w:r>
    </w:p>
    <w:p w14:paraId="1B2D2257" w14:textId="77777777" w:rsidR="00B13F68" w:rsidRPr="00DB4B22" w:rsidRDefault="00B13F68" w:rsidP="00446260">
      <w:pPr>
        <w:rPr>
          <w:rFonts w:ascii="Arial" w:hAnsi="Arial" w:cs="Arial"/>
        </w:rPr>
      </w:pPr>
      <w:r w:rsidRPr="00DB4B22">
        <w:rPr>
          <w:rFonts w:ascii="Arial" w:hAnsi="Arial" w:cs="Arial"/>
        </w:rPr>
        <w:t xml:space="preserve">Landau Law (no date – b) </w:t>
      </w:r>
      <w:r w:rsidRPr="00DB4B22">
        <w:rPr>
          <w:rFonts w:ascii="Arial" w:hAnsi="Arial" w:cs="Arial"/>
          <w:i/>
          <w:iCs/>
        </w:rPr>
        <w:t xml:space="preserve">What deductions are made to an unfair dismissal award of damages? </w:t>
      </w:r>
      <w:r w:rsidRPr="00DB4B22">
        <w:rPr>
          <w:rFonts w:ascii="Arial" w:hAnsi="Arial" w:cs="Arial"/>
        </w:rPr>
        <w:t xml:space="preserve">Available at:  </w:t>
      </w:r>
      <w:hyperlink r:id="rId29" w:history="1">
        <w:r w:rsidRPr="00DB4B22">
          <w:rPr>
            <w:rStyle w:val="Hyperlink"/>
            <w:rFonts w:ascii="Arial" w:hAnsi="Arial" w:cs="Arial"/>
            <w:color w:val="auto"/>
          </w:rPr>
          <w:t>https://landaulaw.co.uk/deductions-made-unfair-dismissal-award-damages/</w:t>
        </w:r>
      </w:hyperlink>
      <w:r w:rsidRPr="00DB4B22">
        <w:rPr>
          <w:rFonts w:ascii="Arial" w:hAnsi="Arial" w:cs="Arial"/>
        </w:rPr>
        <w:t xml:space="preserve"> (Accessed: 22 March 2023) </w:t>
      </w:r>
    </w:p>
    <w:p w14:paraId="2D8B1489" w14:textId="77777777" w:rsidR="00B13F68" w:rsidRPr="00DB4B22" w:rsidRDefault="00B13F68" w:rsidP="00446260">
      <w:pPr>
        <w:rPr>
          <w:rStyle w:val="Hyperlink"/>
          <w:rFonts w:ascii="Arial" w:hAnsi="Arial" w:cs="Arial"/>
          <w:color w:val="auto"/>
        </w:rPr>
      </w:pPr>
      <w:r w:rsidRPr="00DB4B22">
        <w:rPr>
          <w:rFonts w:ascii="Arial" w:hAnsi="Arial" w:cs="Arial"/>
        </w:rPr>
        <w:t xml:space="preserve">Landau Law (no </w:t>
      </w:r>
      <w:proofErr w:type="spellStart"/>
      <w:r w:rsidRPr="00DB4B22">
        <w:rPr>
          <w:rFonts w:ascii="Arial" w:hAnsi="Arial" w:cs="Arial"/>
        </w:rPr>
        <w:t>date,a</w:t>
      </w:r>
      <w:proofErr w:type="spellEnd"/>
      <w:r w:rsidRPr="00DB4B22">
        <w:rPr>
          <w:rFonts w:ascii="Arial" w:hAnsi="Arial" w:cs="Arial"/>
        </w:rPr>
        <w:t xml:space="preserve">) </w:t>
      </w:r>
      <w:r w:rsidRPr="00DB4B22">
        <w:rPr>
          <w:rFonts w:ascii="Arial" w:hAnsi="Arial" w:cs="Arial"/>
          <w:i/>
          <w:iCs/>
        </w:rPr>
        <w:t xml:space="preserve">What Compensation Would you Receive in a Constructive Dismissal Claim? </w:t>
      </w:r>
      <w:r w:rsidRPr="00DB4B22">
        <w:rPr>
          <w:rFonts w:ascii="Arial" w:hAnsi="Arial" w:cs="Arial"/>
        </w:rPr>
        <w:t xml:space="preserve">Available at: </w:t>
      </w:r>
      <w:hyperlink r:id="rId30" w:history="1">
        <w:r w:rsidRPr="00DB4B22">
          <w:rPr>
            <w:rStyle w:val="Hyperlink"/>
            <w:rFonts w:ascii="Arial" w:hAnsi="Arial" w:cs="Arial"/>
            <w:color w:val="auto"/>
          </w:rPr>
          <w:t>https://landaulaw.co.uk/faqs/what-compensation-would-you-receive-in-a-constructive-dismissal-claim/</w:t>
        </w:r>
      </w:hyperlink>
      <w:r w:rsidRPr="00DB4B22">
        <w:rPr>
          <w:rFonts w:ascii="Arial" w:hAnsi="Arial" w:cs="Arial"/>
        </w:rPr>
        <w:t xml:space="preserve"> (Accessed: 18 March 2023) </w:t>
      </w:r>
    </w:p>
    <w:p w14:paraId="4B9F96B3" w14:textId="21D57394" w:rsidR="00B13F68" w:rsidRPr="00DB4B22" w:rsidRDefault="00B13F68" w:rsidP="00446260">
      <w:pPr>
        <w:rPr>
          <w:rFonts w:ascii="Arial" w:hAnsi="Arial" w:cs="Arial"/>
        </w:rPr>
      </w:pPr>
      <w:proofErr w:type="spellStart"/>
      <w:r w:rsidRPr="00DB4B22">
        <w:rPr>
          <w:rFonts w:ascii="Arial" w:hAnsi="Arial" w:cs="Arial"/>
        </w:rPr>
        <w:lastRenderedPageBreak/>
        <w:t>Larter</w:t>
      </w:r>
      <w:proofErr w:type="spellEnd"/>
      <w:r w:rsidRPr="00DB4B22">
        <w:rPr>
          <w:rFonts w:ascii="Arial" w:hAnsi="Arial" w:cs="Arial"/>
        </w:rPr>
        <w:t xml:space="preserve">. H., Wigan, Z., and Fuller, C. 2021) </w:t>
      </w:r>
      <w:r w:rsidRPr="00DB4B22">
        <w:rPr>
          <w:rFonts w:ascii="Arial" w:hAnsi="Arial" w:cs="Arial"/>
          <w:i/>
          <w:iCs/>
        </w:rPr>
        <w:t xml:space="preserve">Harassment: Constructive Dismissal can amount to an act of unlawful harassment. </w:t>
      </w:r>
      <w:r w:rsidRPr="00DB4B22">
        <w:rPr>
          <w:rFonts w:ascii="Arial" w:hAnsi="Arial" w:cs="Arial"/>
        </w:rPr>
        <w:t xml:space="preserve">Available at: </w:t>
      </w:r>
      <w:hyperlink r:id="rId31" w:history="1">
        <w:r w:rsidRPr="00DB4B22">
          <w:rPr>
            <w:rStyle w:val="Hyperlink"/>
            <w:rFonts w:ascii="Arial" w:hAnsi="Arial" w:cs="Arial"/>
            <w:color w:val="auto"/>
          </w:rPr>
          <w:t>https://www.dacbeachcroft.com/es/gb/articles/2021/august/harassment-constructive-dismissal-can-amount-to-an-act-of-unlawful-harassment/</w:t>
        </w:r>
      </w:hyperlink>
      <w:r w:rsidRPr="00DB4B22">
        <w:rPr>
          <w:rFonts w:ascii="Arial" w:hAnsi="Arial" w:cs="Arial"/>
        </w:rPr>
        <w:t xml:space="preserve"> (Accessed: 13 March 2023). </w:t>
      </w:r>
    </w:p>
    <w:p w14:paraId="14BFAAF1" w14:textId="1371AAE4" w:rsidR="004C50F3" w:rsidRPr="00DB4B22" w:rsidRDefault="005E0F40" w:rsidP="00446260">
      <w:pPr>
        <w:rPr>
          <w:rFonts w:ascii="Arial" w:hAnsi="Arial" w:cs="Arial"/>
        </w:rPr>
      </w:pPr>
      <w:r w:rsidRPr="00DB4B22">
        <w:rPr>
          <w:rFonts w:ascii="Arial" w:hAnsi="Arial" w:cs="Arial"/>
        </w:rPr>
        <w:t>‘</w:t>
      </w:r>
      <w:r w:rsidR="004C50F3" w:rsidRPr="00DB4B22">
        <w:rPr>
          <w:rFonts w:ascii="Arial" w:hAnsi="Arial" w:cs="Arial"/>
        </w:rPr>
        <w:t>McGuinn-Rowe v Foster’s Daily Democrat</w:t>
      </w:r>
      <w:r w:rsidRPr="00DB4B22">
        <w:rPr>
          <w:rFonts w:ascii="Arial" w:hAnsi="Arial" w:cs="Arial"/>
        </w:rPr>
        <w:t>’</w:t>
      </w:r>
      <w:r w:rsidR="004C50F3" w:rsidRPr="00DB4B22">
        <w:rPr>
          <w:rFonts w:ascii="Arial" w:hAnsi="Arial" w:cs="Arial"/>
        </w:rPr>
        <w:t xml:space="preserve"> (1997) </w:t>
      </w:r>
      <w:r w:rsidRPr="00DB4B22">
        <w:rPr>
          <w:rFonts w:ascii="Arial" w:hAnsi="Arial" w:cs="Arial"/>
        </w:rPr>
        <w:t xml:space="preserve">United States District Court for The District of New Hampshire. </w:t>
      </w:r>
      <w:r w:rsidRPr="00DB4B22">
        <w:rPr>
          <w:rFonts w:ascii="Arial" w:hAnsi="Arial" w:cs="Arial"/>
          <w:i/>
          <w:iCs/>
        </w:rPr>
        <w:t xml:space="preserve">Gov.uk. </w:t>
      </w:r>
      <w:r w:rsidRPr="00DB4B22">
        <w:rPr>
          <w:rFonts w:ascii="Arial" w:hAnsi="Arial" w:cs="Arial"/>
        </w:rPr>
        <w:t xml:space="preserve">Available at: </w:t>
      </w:r>
      <w:hyperlink r:id="rId32" w:history="1">
        <w:r w:rsidRPr="00DB4B22">
          <w:rPr>
            <w:rStyle w:val="Hyperlink"/>
            <w:rFonts w:ascii="Arial" w:hAnsi="Arial" w:cs="Arial"/>
            <w:color w:val="auto"/>
          </w:rPr>
          <w:t>https://www.nhd.uscourts.gov/sites/default/files/Opinions/97/97SD064.pdf</w:t>
        </w:r>
      </w:hyperlink>
      <w:r w:rsidR="004C50F3" w:rsidRPr="00DB4B22">
        <w:rPr>
          <w:rFonts w:ascii="Arial" w:hAnsi="Arial" w:cs="Arial"/>
        </w:rPr>
        <w:t xml:space="preserve"> </w:t>
      </w:r>
      <w:r w:rsidRPr="00DB4B22">
        <w:rPr>
          <w:rFonts w:ascii="Arial" w:hAnsi="Arial" w:cs="Arial"/>
        </w:rPr>
        <w:t>(Accessed: 12 march 2023)</w:t>
      </w:r>
    </w:p>
    <w:p w14:paraId="22187F01" w14:textId="16564788" w:rsidR="00B13F68" w:rsidRPr="00DB4B22" w:rsidRDefault="00B13F68" w:rsidP="00446260">
      <w:pPr>
        <w:rPr>
          <w:rFonts w:ascii="Arial" w:hAnsi="Arial" w:cs="Arial"/>
        </w:rPr>
      </w:pPr>
      <w:r w:rsidRPr="00DB4B22">
        <w:rPr>
          <w:rFonts w:ascii="Arial" w:hAnsi="Arial" w:cs="Arial"/>
        </w:rPr>
        <w:t xml:space="preserve">‘Miss S Joyce v Mr M England’ (2019) Cardiff, case 1601693. </w:t>
      </w:r>
      <w:r w:rsidRPr="00DB4B22">
        <w:rPr>
          <w:rFonts w:ascii="Arial" w:hAnsi="Arial" w:cs="Arial"/>
          <w:i/>
          <w:iCs/>
        </w:rPr>
        <w:t xml:space="preserve">Gov.uk. </w:t>
      </w:r>
      <w:r w:rsidRPr="00DB4B22">
        <w:rPr>
          <w:rFonts w:ascii="Arial" w:hAnsi="Arial" w:cs="Arial"/>
        </w:rPr>
        <w:t xml:space="preserve">Available at: </w:t>
      </w:r>
      <w:hyperlink r:id="rId33" w:history="1">
        <w:r w:rsidRPr="00DB4B22">
          <w:rPr>
            <w:rStyle w:val="Hyperlink"/>
            <w:rFonts w:ascii="Arial" w:hAnsi="Arial" w:cs="Arial"/>
            <w:color w:val="auto"/>
          </w:rPr>
          <w:t>https://www.gov.uk/employment-tribunal-decisions/miss-s-joyce-v-mr-m-england-1601693-slash-2019</w:t>
        </w:r>
      </w:hyperlink>
      <w:r w:rsidRPr="00DB4B22">
        <w:rPr>
          <w:rFonts w:ascii="Arial" w:hAnsi="Arial" w:cs="Arial"/>
        </w:rPr>
        <w:t xml:space="preserve"> (Accessed: 14 March 2023)</w:t>
      </w:r>
    </w:p>
    <w:p w14:paraId="1827E6AD" w14:textId="77777777" w:rsidR="00E51BEC" w:rsidRPr="00DB4B22" w:rsidRDefault="00E51BEC" w:rsidP="00446260">
      <w:pPr>
        <w:rPr>
          <w:rFonts w:ascii="Arial" w:hAnsi="Arial" w:cs="Arial"/>
          <w:b/>
          <w:bCs/>
          <w:u w:val="single"/>
        </w:rPr>
      </w:pPr>
      <w:r w:rsidRPr="00DB4B22">
        <w:rPr>
          <w:rFonts w:ascii="Arial" w:hAnsi="Arial" w:cs="Arial"/>
        </w:rPr>
        <w:t>‘Ms M Driscoll (</w:t>
      </w:r>
      <w:proofErr w:type="spellStart"/>
      <w:r w:rsidRPr="00DB4B22">
        <w:rPr>
          <w:rFonts w:ascii="Arial" w:hAnsi="Arial" w:cs="Arial"/>
        </w:rPr>
        <w:t>Nèe</w:t>
      </w:r>
      <w:proofErr w:type="spellEnd"/>
      <w:r w:rsidRPr="00DB4B22">
        <w:rPr>
          <w:rFonts w:ascii="Arial" w:hAnsi="Arial" w:cs="Arial"/>
        </w:rPr>
        <w:t xml:space="preserve"> Cobbing) v 1) V &amp; P Global Ltd 2) Mr F Varela’ (2021) Appeal. London. Appeal 000876. </w:t>
      </w:r>
      <w:r w:rsidRPr="00DB4B22">
        <w:rPr>
          <w:rFonts w:ascii="Arial" w:hAnsi="Arial" w:cs="Arial"/>
          <w:i/>
          <w:iCs/>
        </w:rPr>
        <w:t xml:space="preserve">Gov.uk. </w:t>
      </w:r>
      <w:r w:rsidRPr="00DB4B22">
        <w:rPr>
          <w:rFonts w:ascii="Arial" w:hAnsi="Arial" w:cs="Arial"/>
        </w:rPr>
        <w:t xml:space="preserve">Available at: </w:t>
      </w:r>
      <w:hyperlink w:history="1">
        <w:r w:rsidRPr="00DB4B22">
          <w:rPr>
            <w:rStyle w:val="Hyperlink"/>
            <w:rFonts w:ascii="Arial" w:hAnsi="Arial" w:cs="Arial"/>
            <w:color w:val="auto"/>
          </w:rPr>
          <w:t>Ms M Driscoll (Nèe Cobbing) v 1) V &amp; P Global Ltd 2) Mr F Varela: EA-2020-000876-LA (formerly UKEAT/0009/21/LA) - GOV.UK (www.gov.uk)</w:t>
        </w:r>
      </w:hyperlink>
      <w:r w:rsidRPr="00DB4B22">
        <w:rPr>
          <w:rFonts w:ascii="Arial" w:hAnsi="Arial" w:cs="Arial"/>
        </w:rPr>
        <w:t xml:space="preserve"> (Accessed: 14 March 2023)</w:t>
      </w:r>
    </w:p>
    <w:p w14:paraId="198B5BB6" w14:textId="77777777" w:rsidR="00B13F68" w:rsidRPr="00DB4B22" w:rsidRDefault="00B13F68" w:rsidP="00446260">
      <w:pPr>
        <w:rPr>
          <w:rFonts w:ascii="Arial" w:hAnsi="Arial" w:cs="Arial"/>
        </w:rPr>
      </w:pPr>
      <w:r w:rsidRPr="00DB4B22">
        <w:rPr>
          <w:rFonts w:ascii="Arial" w:hAnsi="Arial" w:cs="Arial"/>
        </w:rPr>
        <w:t xml:space="preserve">‘Munchkins Restaurant v </w:t>
      </w:r>
      <w:proofErr w:type="spellStart"/>
      <w:r w:rsidRPr="00DB4B22">
        <w:rPr>
          <w:rFonts w:ascii="Arial" w:hAnsi="Arial" w:cs="Arial"/>
        </w:rPr>
        <w:t>Karmazyn</w:t>
      </w:r>
      <w:proofErr w:type="spellEnd"/>
      <w:r w:rsidRPr="00DB4B22">
        <w:rPr>
          <w:rFonts w:ascii="Arial" w:hAnsi="Arial" w:cs="Arial"/>
        </w:rPr>
        <w:t xml:space="preserve">’ (2010) London Central, case 2207097. </w:t>
      </w:r>
      <w:r w:rsidRPr="00DB4B22">
        <w:rPr>
          <w:rFonts w:ascii="Arial" w:hAnsi="Arial" w:cs="Arial"/>
          <w:i/>
          <w:iCs/>
        </w:rPr>
        <w:t xml:space="preserve">Gov.uk. </w:t>
      </w:r>
      <w:r w:rsidRPr="00DB4B22">
        <w:rPr>
          <w:rFonts w:ascii="Arial" w:hAnsi="Arial" w:cs="Arial"/>
        </w:rPr>
        <w:t xml:space="preserve">Available at: </w:t>
      </w:r>
      <w:hyperlink r:id="rId34" w:history="1">
        <w:r w:rsidRPr="00DB4B22">
          <w:rPr>
            <w:rStyle w:val="Hyperlink"/>
            <w:rFonts w:ascii="Arial" w:hAnsi="Arial" w:cs="Arial"/>
            <w:color w:val="auto"/>
          </w:rPr>
          <w:t>https://assets.publishing.service.gov.uk/media/62c4439d8fa8f54e821ec31c/Ms_S_Kiciuk__vs_Munchkins_Restaurants_Limited_.pdf</w:t>
        </w:r>
      </w:hyperlink>
      <w:r w:rsidRPr="00DB4B22">
        <w:rPr>
          <w:rFonts w:ascii="Arial" w:hAnsi="Arial" w:cs="Arial"/>
        </w:rPr>
        <w:t xml:space="preserve"> (Accessed: 5 March 2023). </w:t>
      </w:r>
    </w:p>
    <w:p w14:paraId="44651D14" w14:textId="4BF82CB3" w:rsidR="00B13F68" w:rsidRPr="00DB4B22" w:rsidRDefault="005E0F40" w:rsidP="00446260">
      <w:pPr>
        <w:rPr>
          <w:rFonts w:ascii="Arial" w:hAnsi="Arial" w:cs="Arial"/>
        </w:rPr>
      </w:pPr>
      <w:r w:rsidRPr="00DB4B22">
        <w:rPr>
          <w:rFonts w:ascii="Arial" w:hAnsi="Arial" w:cs="Arial"/>
        </w:rPr>
        <w:t>‘</w:t>
      </w:r>
      <w:proofErr w:type="spellStart"/>
      <w:r w:rsidR="00B13F68" w:rsidRPr="00DB4B22">
        <w:rPr>
          <w:rFonts w:ascii="Arial" w:hAnsi="Arial" w:cs="Arial"/>
        </w:rPr>
        <w:t>Polkey</w:t>
      </w:r>
      <w:proofErr w:type="spellEnd"/>
      <w:r w:rsidR="00B13F68" w:rsidRPr="00DB4B22">
        <w:rPr>
          <w:rFonts w:ascii="Arial" w:hAnsi="Arial" w:cs="Arial"/>
        </w:rPr>
        <w:t xml:space="preserve"> v AE Dayton Services</w:t>
      </w:r>
      <w:r w:rsidR="00034E90" w:rsidRPr="00DB4B22">
        <w:rPr>
          <w:rFonts w:ascii="Arial" w:hAnsi="Arial" w:cs="Arial"/>
        </w:rPr>
        <w:t xml:space="preserve">’ (1987). </w:t>
      </w:r>
      <w:r w:rsidR="00034E90" w:rsidRPr="00DB4B22">
        <w:rPr>
          <w:rFonts w:ascii="Arial" w:hAnsi="Arial" w:cs="Arial"/>
          <w:i/>
          <w:iCs/>
        </w:rPr>
        <w:t xml:space="preserve">Truth Legal. </w:t>
      </w:r>
      <w:r w:rsidR="00034E90" w:rsidRPr="00DB4B22">
        <w:rPr>
          <w:rFonts w:ascii="Arial" w:hAnsi="Arial" w:cs="Arial"/>
        </w:rPr>
        <w:t>Available at:</w:t>
      </w:r>
      <w:r w:rsidR="00B13F68" w:rsidRPr="00DB4B22">
        <w:rPr>
          <w:rFonts w:ascii="Arial" w:hAnsi="Arial" w:cs="Arial"/>
        </w:rPr>
        <w:t xml:space="preserve"> </w:t>
      </w:r>
      <w:hyperlink r:id="rId35" w:history="1">
        <w:r w:rsidR="00034E90" w:rsidRPr="00DB4B22">
          <w:rPr>
            <w:rStyle w:val="Hyperlink"/>
            <w:rFonts w:ascii="Arial" w:hAnsi="Arial" w:cs="Arial"/>
            <w:color w:val="auto"/>
          </w:rPr>
          <w:t>https://www.truthlegal.com/unfair-dismissal-claims-polkey-deduction-or-no-difference-rule/</w:t>
        </w:r>
      </w:hyperlink>
      <w:r w:rsidR="00034E90" w:rsidRPr="00DB4B22">
        <w:rPr>
          <w:rFonts w:ascii="Arial" w:hAnsi="Arial" w:cs="Arial"/>
        </w:rPr>
        <w:t xml:space="preserve"> (Accessed: 15 March 2023)</w:t>
      </w:r>
    </w:p>
    <w:p w14:paraId="7619701D" w14:textId="77777777" w:rsidR="00B13F68" w:rsidRPr="00DB4B22" w:rsidRDefault="00B13F68" w:rsidP="00446260">
      <w:pPr>
        <w:rPr>
          <w:rFonts w:ascii="Arial" w:hAnsi="Arial" w:cs="Arial"/>
        </w:rPr>
      </w:pPr>
      <w:proofErr w:type="spellStart"/>
      <w:r w:rsidRPr="00DB4B22">
        <w:rPr>
          <w:rFonts w:ascii="Arial" w:hAnsi="Arial" w:cs="Arial"/>
        </w:rPr>
        <w:t>Redmans</w:t>
      </w:r>
      <w:proofErr w:type="spellEnd"/>
      <w:r w:rsidRPr="00DB4B22">
        <w:rPr>
          <w:rFonts w:ascii="Arial" w:hAnsi="Arial" w:cs="Arial"/>
        </w:rPr>
        <w:t xml:space="preserve"> Solicitor (2022) </w:t>
      </w:r>
      <w:r w:rsidRPr="00DB4B22">
        <w:rPr>
          <w:rFonts w:ascii="Arial" w:hAnsi="Arial" w:cs="Arial"/>
          <w:i/>
          <w:iCs/>
        </w:rPr>
        <w:t>Sexual Harassment at Work</w:t>
      </w:r>
      <w:r w:rsidRPr="00DB4B22">
        <w:rPr>
          <w:rFonts w:ascii="Arial" w:hAnsi="Arial" w:cs="Arial"/>
        </w:rPr>
        <w:t xml:space="preserve">. Available at: </w:t>
      </w:r>
      <w:hyperlink r:id="rId36" w:history="1">
        <w:r w:rsidRPr="00DB4B22">
          <w:rPr>
            <w:rStyle w:val="Hyperlink"/>
            <w:rFonts w:ascii="Arial" w:hAnsi="Arial" w:cs="Arial"/>
            <w:color w:val="auto"/>
          </w:rPr>
          <w:t>https://redmans.co.uk/employment-law-solicitors/sexual-harassment-at-work/</w:t>
        </w:r>
      </w:hyperlink>
      <w:r w:rsidRPr="00DB4B22">
        <w:rPr>
          <w:rFonts w:ascii="Arial" w:hAnsi="Arial" w:cs="Arial"/>
        </w:rPr>
        <w:t xml:space="preserve"> (Accessed: 7 March 2023) </w:t>
      </w:r>
    </w:p>
    <w:p w14:paraId="13C4DCB4" w14:textId="75B3D7EB" w:rsidR="00B13F68" w:rsidRPr="00DB4B22" w:rsidRDefault="00B13F68" w:rsidP="00446260">
      <w:pPr>
        <w:rPr>
          <w:rFonts w:ascii="Arial" w:hAnsi="Arial" w:cs="Arial"/>
        </w:rPr>
      </w:pPr>
      <w:r w:rsidRPr="00DB4B22">
        <w:rPr>
          <w:rFonts w:ascii="Arial" w:hAnsi="Arial" w:cs="Arial"/>
        </w:rPr>
        <w:t xml:space="preserve">Shepherd Wedderburn (2008) </w:t>
      </w:r>
      <w:r w:rsidRPr="00DB4B22">
        <w:rPr>
          <w:rFonts w:ascii="Arial" w:hAnsi="Arial" w:cs="Arial"/>
          <w:i/>
          <w:iCs/>
        </w:rPr>
        <w:t xml:space="preserve">TUPE – Where does it fit in property transactions? </w:t>
      </w:r>
      <w:r w:rsidRPr="00DB4B22">
        <w:rPr>
          <w:rFonts w:ascii="Arial" w:hAnsi="Arial" w:cs="Arial"/>
        </w:rPr>
        <w:t xml:space="preserve">Available at: </w:t>
      </w:r>
      <w:hyperlink r:id="rId37" w:history="1">
        <w:r w:rsidRPr="00DB4B22">
          <w:rPr>
            <w:rStyle w:val="Hyperlink"/>
            <w:rFonts w:ascii="Arial" w:hAnsi="Arial" w:cs="Arial"/>
            <w:color w:val="auto"/>
          </w:rPr>
          <w:t>https://shepwedd.com/knowledge/tupe-where-does-it-fit-property-transactions</w:t>
        </w:r>
      </w:hyperlink>
      <w:r w:rsidRPr="00DB4B22">
        <w:rPr>
          <w:rFonts w:ascii="Arial" w:hAnsi="Arial" w:cs="Arial"/>
        </w:rPr>
        <w:t xml:space="preserve"> (Accessed: 4 April 2023)</w:t>
      </w:r>
    </w:p>
    <w:p w14:paraId="16AA9C0C" w14:textId="038ECEB2" w:rsidR="00B13F68" w:rsidRPr="00DB4B22" w:rsidRDefault="00B13F68" w:rsidP="00446260">
      <w:pPr>
        <w:rPr>
          <w:rFonts w:ascii="Arial" w:hAnsi="Arial" w:cs="Arial"/>
          <w:b/>
          <w:bCs/>
          <w:u w:val="single"/>
        </w:rPr>
      </w:pPr>
      <w:r w:rsidRPr="00DB4B22">
        <w:rPr>
          <w:rFonts w:ascii="Arial" w:hAnsi="Arial" w:cs="Arial"/>
          <w:shd w:val="clear" w:color="auto" w:fill="FFFFFF"/>
        </w:rPr>
        <w:t xml:space="preserve">‘Smith v </w:t>
      </w:r>
      <w:proofErr w:type="spellStart"/>
      <w:r w:rsidRPr="00DB4B22">
        <w:rPr>
          <w:rFonts w:ascii="Arial" w:hAnsi="Arial" w:cs="Arial"/>
          <w:shd w:val="clear" w:color="auto" w:fill="FFFFFF"/>
        </w:rPr>
        <w:t>Rees’</w:t>
      </w:r>
      <w:proofErr w:type="spellEnd"/>
      <w:r w:rsidRPr="00DB4B22">
        <w:rPr>
          <w:rFonts w:ascii="Arial" w:hAnsi="Arial" w:cs="Arial"/>
          <w:shd w:val="clear" w:color="auto" w:fill="FFFFFF"/>
        </w:rPr>
        <w:t xml:space="preserve"> (2013) Teesside Magistrates Court, case 2501040. </w:t>
      </w:r>
      <w:proofErr w:type="spellStart"/>
      <w:r w:rsidRPr="00DB4B22">
        <w:rPr>
          <w:rFonts w:ascii="Arial" w:hAnsi="Arial" w:cs="Arial"/>
          <w:i/>
          <w:iCs/>
          <w:shd w:val="clear" w:color="auto" w:fill="FFFFFF"/>
        </w:rPr>
        <w:t>Westaw</w:t>
      </w:r>
      <w:proofErr w:type="spellEnd"/>
      <w:r w:rsidRPr="00DB4B22">
        <w:rPr>
          <w:rFonts w:ascii="Arial" w:hAnsi="Arial" w:cs="Arial"/>
          <w:shd w:val="clear" w:color="auto" w:fill="FFFFFF"/>
        </w:rPr>
        <w:t xml:space="preserve">, Available at: </w:t>
      </w:r>
      <w:hyperlink r:id="rId38" w:history="1">
        <w:r w:rsidRPr="00DB4B22">
          <w:rPr>
            <w:rStyle w:val="Hyperlink"/>
            <w:rFonts w:ascii="Arial" w:hAnsi="Arial" w:cs="Arial"/>
            <w:color w:val="auto"/>
            <w:shd w:val="clear" w:color="auto" w:fill="FFFFFF"/>
          </w:rPr>
          <w:t>https://content.next.westlaw.com/Link/Document/Blob/Ib621177c2c5d11e498db8b09b4f043e0.pdf?targetType=PLC-multimedia&amp;originationContext=document&amp;transitionType=DocumentImage&amp;uniqueId=a3fbb0b6-6251-422f-9179-ebcc3bc90e8b&amp;ppcid=12c52dfd59a14279b5256a90d3771faa&amp;contextData=(sc.DocLink)</w:t>
        </w:r>
      </w:hyperlink>
      <w:r w:rsidRPr="00DB4B22">
        <w:rPr>
          <w:rFonts w:ascii="Arial" w:hAnsi="Arial" w:cs="Arial"/>
          <w:shd w:val="clear" w:color="auto" w:fill="FFFFFF"/>
        </w:rPr>
        <w:t>(Accessed: 1 March 2023)</w:t>
      </w:r>
    </w:p>
    <w:p w14:paraId="0253B3EB" w14:textId="77777777" w:rsidR="00B13F68" w:rsidRPr="00DB4B22" w:rsidRDefault="00B13F68" w:rsidP="00446260">
      <w:pPr>
        <w:rPr>
          <w:rFonts w:ascii="Arial" w:hAnsi="Arial" w:cs="Arial"/>
        </w:rPr>
      </w:pPr>
      <w:r w:rsidRPr="00DB4B22">
        <w:rPr>
          <w:rFonts w:ascii="Arial" w:hAnsi="Arial" w:cs="Arial"/>
        </w:rPr>
        <w:t xml:space="preserve">Spencer Shaw (2023) </w:t>
      </w:r>
      <w:r w:rsidRPr="00DB4B22">
        <w:rPr>
          <w:rFonts w:ascii="Arial" w:hAnsi="Arial" w:cs="Arial"/>
          <w:i/>
          <w:iCs/>
        </w:rPr>
        <w:t xml:space="preserve">Compensation and Damages. </w:t>
      </w:r>
      <w:r w:rsidRPr="00DB4B22">
        <w:rPr>
          <w:rFonts w:ascii="Arial" w:hAnsi="Arial" w:cs="Arial"/>
        </w:rPr>
        <w:t xml:space="preserve">Available at: </w:t>
      </w:r>
      <w:hyperlink r:id="rId39" w:anchor=":~:text=Aggravated%20damages%20are%20awarded%20where,been%20especially%20unpleasant%20or%20aggressive" w:history="1">
        <w:r w:rsidRPr="00DB4B22">
          <w:rPr>
            <w:rStyle w:val="Hyperlink"/>
            <w:rFonts w:ascii="Arial" w:hAnsi="Arial" w:cs="Arial"/>
            <w:color w:val="auto"/>
          </w:rPr>
          <w:t>https://www.spencershaw.co.uk/employment-law/compensation-and-damages/#:~:text=Aggravated%20damages%20are%20awarded%20where,been%20especially%20unpleasant%20or%20aggressive</w:t>
        </w:r>
      </w:hyperlink>
      <w:r w:rsidRPr="00DB4B22">
        <w:rPr>
          <w:rFonts w:ascii="Arial" w:hAnsi="Arial" w:cs="Arial"/>
        </w:rPr>
        <w:t xml:space="preserve"> (Accessed: 16 March 2023) </w:t>
      </w:r>
    </w:p>
    <w:p w14:paraId="6029FFA2" w14:textId="77777777" w:rsidR="00B13F68" w:rsidRPr="00DB4B22" w:rsidRDefault="00B13F68" w:rsidP="00446260">
      <w:pPr>
        <w:rPr>
          <w:rFonts w:ascii="Arial" w:hAnsi="Arial" w:cs="Arial"/>
        </w:rPr>
      </w:pPr>
      <w:r w:rsidRPr="00DB4B22">
        <w:rPr>
          <w:rFonts w:ascii="Arial" w:hAnsi="Arial" w:cs="Arial"/>
        </w:rPr>
        <w:t xml:space="preserve">Springhouse Solicitors (no date) </w:t>
      </w:r>
      <w:r w:rsidRPr="00DB4B22">
        <w:rPr>
          <w:rFonts w:ascii="Arial" w:hAnsi="Arial" w:cs="Arial"/>
          <w:i/>
          <w:iCs/>
        </w:rPr>
        <w:t xml:space="preserve">Examples of Pay outs for Constructive Dismissal. </w:t>
      </w:r>
      <w:r w:rsidRPr="00DB4B22">
        <w:rPr>
          <w:rFonts w:ascii="Arial" w:hAnsi="Arial" w:cs="Arial"/>
        </w:rPr>
        <w:t xml:space="preserve">Available at: </w:t>
      </w:r>
      <w:hyperlink r:id="rId40" w:anchor=":~:text=Calculating%20a%20constructive%20dismissal%20pay%20out&amp;text=You%20get%3A,you%27re%2041%20or%20older" w:history="1">
        <w:r w:rsidRPr="00DB4B22">
          <w:rPr>
            <w:rStyle w:val="Hyperlink"/>
            <w:rFonts w:ascii="Arial" w:hAnsi="Arial" w:cs="Arial"/>
            <w:color w:val="auto"/>
          </w:rPr>
          <w:t>https://www.springhouselaw.com/knowledge-hub/unfair-and-constructive-dismissal/pay-outs-for-constructive-dismissal#:~:text=Calculating%20a%20constructive%20dismissal%20pay%20out&amp;text=You%20get%3A,you%27re%2041%20or%20older</w:t>
        </w:r>
      </w:hyperlink>
      <w:r w:rsidRPr="00DB4B22">
        <w:rPr>
          <w:rFonts w:ascii="Arial" w:hAnsi="Arial" w:cs="Arial"/>
        </w:rPr>
        <w:t xml:space="preserve"> (Accessed: 20 March 2023). </w:t>
      </w:r>
    </w:p>
    <w:p w14:paraId="4640CBB6" w14:textId="69AD71CE" w:rsidR="00B13F68" w:rsidRPr="00DB4B22" w:rsidRDefault="00B13F68" w:rsidP="00446260">
      <w:pPr>
        <w:rPr>
          <w:rFonts w:ascii="Arial" w:hAnsi="Arial" w:cs="Arial"/>
        </w:rPr>
      </w:pPr>
      <w:r w:rsidRPr="00DB4B22">
        <w:rPr>
          <w:rFonts w:ascii="Arial" w:hAnsi="Arial" w:cs="Arial"/>
          <w:i/>
          <w:iCs/>
        </w:rPr>
        <w:lastRenderedPageBreak/>
        <w:t>The Employment Tribunals Regulations 2013.</w:t>
      </w:r>
      <w:r w:rsidRPr="00DB4B22">
        <w:rPr>
          <w:rFonts w:ascii="Arial" w:hAnsi="Arial" w:cs="Arial"/>
        </w:rPr>
        <w:t xml:space="preserve"> Available at: https://www.legislation.gov.uk/uksi/2013/1237/contents/made  (Accessed: 13</w:t>
      </w:r>
      <w:r w:rsidRPr="00DB4B22">
        <w:rPr>
          <w:rFonts w:ascii="Arial" w:hAnsi="Arial" w:cs="Arial"/>
          <w:vertAlign w:val="superscript"/>
        </w:rPr>
        <w:t>th</w:t>
      </w:r>
      <w:r w:rsidRPr="00DB4B22">
        <w:rPr>
          <w:rFonts w:ascii="Arial" w:hAnsi="Arial" w:cs="Arial"/>
        </w:rPr>
        <w:t xml:space="preserve"> March 2023)</w:t>
      </w:r>
    </w:p>
    <w:p w14:paraId="3ED3D823" w14:textId="35CF5DA9" w:rsidR="00B13F68" w:rsidRPr="00DB4B22" w:rsidRDefault="00B13F68" w:rsidP="00446260">
      <w:pPr>
        <w:rPr>
          <w:rFonts w:ascii="Arial" w:hAnsi="Arial" w:cs="Arial"/>
        </w:rPr>
      </w:pPr>
      <w:r w:rsidRPr="00DB4B22">
        <w:rPr>
          <w:rFonts w:ascii="Arial" w:hAnsi="Arial" w:cs="Arial"/>
        </w:rPr>
        <w:t xml:space="preserve">Torque Law (2023) </w:t>
      </w:r>
      <w:r w:rsidRPr="00DB4B22">
        <w:rPr>
          <w:rFonts w:ascii="Arial" w:hAnsi="Arial" w:cs="Arial"/>
          <w:i/>
          <w:iCs/>
        </w:rPr>
        <w:t xml:space="preserve">Advice for Employers &amp; Hr Professionals. </w:t>
      </w:r>
      <w:r w:rsidRPr="00DB4B22">
        <w:rPr>
          <w:rFonts w:ascii="Arial" w:hAnsi="Arial" w:cs="Arial"/>
        </w:rPr>
        <w:t xml:space="preserve">Available at: </w:t>
      </w:r>
      <w:hyperlink r:id="rId41" w:anchor=":~:text=The%20Tribunal%20will%20assess%20the,currently%20this%20is%20%C2%A393%2C878" w:history="1">
        <w:r w:rsidRPr="00DB4B22">
          <w:rPr>
            <w:rStyle w:val="Hyperlink"/>
            <w:rFonts w:ascii="Arial" w:hAnsi="Arial" w:cs="Arial"/>
            <w:color w:val="auto"/>
          </w:rPr>
          <w:t>https://torquelaw.co.uk/how-compensation-is-awarded-by-employment-tribunals/#:~:text=The%20Tribunal%20will%20assess%20the,currently%20this%20is%20%C2%A393%2C878</w:t>
        </w:r>
      </w:hyperlink>
      <w:r w:rsidRPr="00DB4B22">
        <w:rPr>
          <w:rFonts w:ascii="Arial" w:hAnsi="Arial" w:cs="Arial"/>
        </w:rPr>
        <w:t xml:space="preserve"> (Accessed: 20 March 2023)   </w:t>
      </w:r>
    </w:p>
    <w:p w14:paraId="5D54AAE1" w14:textId="77777777" w:rsidR="00E51BEC" w:rsidRPr="00DB4B22" w:rsidRDefault="00E51BEC" w:rsidP="00446260">
      <w:pPr>
        <w:rPr>
          <w:rFonts w:ascii="Arial" w:hAnsi="Arial" w:cs="Arial"/>
        </w:rPr>
      </w:pPr>
      <w:r w:rsidRPr="00DB4B22">
        <w:rPr>
          <w:rFonts w:ascii="Arial" w:hAnsi="Arial" w:cs="Arial"/>
        </w:rPr>
        <w:t xml:space="preserve">‘Vento v The Chief Constable of West Yorkshire Police’ (2003) Appeal. London, case 2866. </w:t>
      </w:r>
      <w:r w:rsidRPr="00DB4B22">
        <w:rPr>
          <w:rFonts w:ascii="Arial" w:hAnsi="Arial" w:cs="Arial"/>
          <w:i/>
          <w:iCs/>
        </w:rPr>
        <w:t xml:space="preserve">Ballii.org. </w:t>
      </w:r>
      <w:r w:rsidRPr="00DB4B22">
        <w:rPr>
          <w:rFonts w:ascii="Arial" w:hAnsi="Arial" w:cs="Arial"/>
        </w:rPr>
        <w:t xml:space="preserve">Available at: </w:t>
      </w:r>
      <w:hyperlink r:id="rId42" w:history="1">
        <w:r w:rsidRPr="00DB4B22">
          <w:rPr>
            <w:rStyle w:val="Hyperlink"/>
            <w:rFonts w:ascii="Arial" w:hAnsi="Arial" w:cs="Arial"/>
            <w:color w:val="auto"/>
          </w:rPr>
          <w:t>https://www.bailii.org/ew/cases/EWCA/Civ/2002/1871.html</w:t>
        </w:r>
      </w:hyperlink>
      <w:r w:rsidRPr="00DB4B22">
        <w:rPr>
          <w:rFonts w:ascii="Arial" w:hAnsi="Arial" w:cs="Arial"/>
        </w:rPr>
        <w:t xml:space="preserve"> (Accessed: 12 March 2023)</w:t>
      </w:r>
    </w:p>
    <w:p w14:paraId="58A29107" w14:textId="4D293482" w:rsidR="00AB240B" w:rsidRPr="00DB4B22" w:rsidRDefault="00AB240B" w:rsidP="00446260">
      <w:pPr>
        <w:rPr>
          <w:rFonts w:ascii="Arial" w:hAnsi="Arial" w:cs="Arial"/>
        </w:rPr>
      </w:pPr>
      <w:r w:rsidRPr="00DB4B22">
        <w:rPr>
          <w:rFonts w:ascii="Arial" w:hAnsi="Arial" w:cs="Arial"/>
        </w:rPr>
        <w:t xml:space="preserve">Walker, L. (2013) </w:t>
      </w:r>
      <w:r w:rsidRPr="00DB4B22">
        <w:rPr>
          <w:rFonts w:ascii="Arial" w:hAnsi="Arial" w:cs="Arial"/>
          <w:i/>
          <w:iCs/>
        </w:rPr>
        <w:t>Constructive Dismissal Test Clarified</w:t>
      </w:r>
      <w:r w:rsidR="00034E90" w:rsidRPr="00DB4B22">
        <w:rPr>
          <w:rFonts w:ascii="Arial" w:hAnsi="Arial" w:cs="Arial"/>
          <w:i/>
          <w:iCs/>
        </w:rPr>
        <w:t xml:space="preserve">. </w:t>
      </w:r>
      <w:r w:rsidR="00034E90" w:rsidRPr="00DB4B22">
        <w:rPr>
          <w:rFonts w:ascii="Arial" w:hAnsi="Arial" w:cs="Arial"/>
        </w:rPr>
        <w:t xml:space="preserve">Available at: </w:t>
      </w:r>
      <w:hyperlink r:id="rId43" w:history="1">
        <w:r w:rsidR="00034E90" w:rsidRPr="00DB4B22">
          <w:rPr>
            <w:rStyle w:val="Hyperlink"/>
            <w:rFonts w:ascii="Arial" w:hAnsi="Arial" w:cs="Arial"/>
            <w:color w:val="auto"/>
          </w:rPr>
          <w:t>https://www.justemploymentlaw.co.uk/news-analysis/constructive-dismissal-test-clarified/</w:t>
        </w:r>
      </w:hyperlink>
      <w:r w:rsidRPr="00DB4B22">
        <w:rPr>
          <w:rFonts w:ascii="Arial" w:hAnsi="Arial" w:cs="Arial"/>
        </w:rPr>
        <w:t xml:space="preserve"> </w:t>
      </w:r>
      <w:r w:rsidR="00034E90" w:rsidRPr="00DB4B22">
        <w:rPr>
          <w:rFonts w:ascii="Arial" w:hAnsi="Arial" w:cs="Arial"/>
        </w:rPr>
        <w:t>(Accessed: 13 March 2023)</w:t>
      </w:r>
    </w:p>
    <w:p w14:paraId="2A4E7BEF" w14:textId="77777777" w:rsidR="00B13F68" w:rsidRPr="00DB4B22" w:rsidRDefault="00B13F68" w:rsidP="00446260">
      <w:pPr>
        <w:rPr>
          <w:rFonts w:ascii="Arial" w:hAnsi="Arial" w:cs="Arial"/>
        </w:rPr>
      </w:pPr>
      <w:r w:rsidRPr="00DB4B22">
        <w:rPr>
          <w:rFonts w:ascii="Arial" w:hAnsi="Arial" w:cs="Arial"/>
        </w:rPr>
        <w:t xml:space="preserve">Wilson Browne Solicitors (2021) </w:t>
      </w:r>
      <w:r w:rsidRPr="00DB4B22">
        <w:rPr>
          <w:rFonts w:ascii="Arial" w:hAnsi="Arial" w:cs="Arial"/>
          <w:i/>
          <w:iCs/>
        </w:rPr>
        <w:t>Guide To The Tribunal Procedure</w:t>
      </w:r>
      <w:r w:rsidRPr="00DB4B22">
        <w:rPr>
          <w:rFonts w:ascii="Arial" w:hAnsi="Arial" w:cs="Arial"/>
        </w:rPr>
        <w:t xml:space="preserve">. Available at: </w:t>
      </w:r>
      <w:hyperlink r:id="rId44" w:history="1">
        <w:r w:rsidRPr="00DB4B22">
          <w:rPr>
            <w:rStyle w:val="Hyperlink"/>
            <w:rFonts w:ascii="Arial" w:hAnsi="Arial" w:cs="Arial"/>
            <w:color w:val="auto"/>
          </w:rPr>
          <w:t>https://www.wilsonbrowne.co.uk/guides/guide-to-the-tribunal-procedure/</w:t>
        </w:r>
      </w:hyperlink>
      <w:r w:rsidRPr="00DB4B22">
        <w:rPr>
          <w:rFonts w:ascii="Arial" w:hAnsi="Arial" w:cs="Arial"/>
        </w:rPr>
        <w:t xml:space="preserve">  (Accessed 3</w:t>
      </w:r>
      <w:r w:rsidRPr="00DB4B22">
        <w:rPr>
          <w:rFonts w:ascii="Arial" w:hAnsi="Arial" w:cs="Arial"/>
          <w:vertAlign w:val="superscript"/>
        </w:rPr>
        <w:t xml:space="preserve"> </w:t>
      </w:r>
      <w:r w:rsidRPr="00DB4B22">
        <w:rPr>
          <w:rFonts w:ascii="Arial" w:hAnsi="Arial" w:cs="Arial"/>
        </w:rPr>
        <w:t xml:space="preserve">March 2023) </w:t>
      </w:r>
    </w:p>
    <w:p w14:paraId="5BA9DBF1" w14:textId="77777777" w:rsidR="005239C2" w:rsidRPr="00DB4B22" w:rsidRDefault="005239C2" w:rsidP="00446260">
      <w:pPr>
        <w:ind w:hanging="360"/>
        <w:rPr>
          <w:rFonts w:ascii="Arial" w:hAnsi="Arial" w:cs="Arial"/>
        </w:rPr>
      </w:pPr>
    </w:p>
    <w:sectPr w:rsidR="005239C2" w:rsidRPr="00DB4B22">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68A76" w14:textId="77777777" w:rsidR="00E465C3" w:rsidRDefault="00E465C3" w:rsidP="00E465C3">
      <w:pPr>
        <w:spacing w:after="0" w:line="240" w:lineRule="auto"/>
      </w:pPr>
      <w:r>
        <w:separator/>
      </w:r>
    </w:p>
  </w:endnote>
  <w:endnote w:type="continuationSeparator" w:id="0">
    <w:p w14:paraId="66538EB3" w14:textId="77777777" w:rsidR="00E465C3" w:rsidRDefault="00E465C3" w:rsidP="00E46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D156" w14:textId="2FBC7F04" w:rsidR="00E465C3" w:rsidRDefault="00642309">
    <w:pPr>
      <w:pStyle w:val="Footer"/>
    </w:pPr>
    <w:r>
      <w:t>Megan Jones</w:t>
    </w:r>
    <w:r>
      <w:tab/>
      <w:t>2220031</w:t>
    </w:r>
    <w:r>
      <w:tab/>
    </w:r>
    <w:r w:rsidR="00E465C3">
      <w:t xml:space="preserve">Word Count: </w:t>
    </w:r>
    <w:r w:rsidR="008A2D1F">
      <w:t>32</w:t>
    </w:r>
    <w:r w:rsidR="00E670AC">
      <w:t>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43937" w14:textId="77777777" w:rsidR="00E465C3" w:rsidRDefault="00E465C3" w:rsidP="00E465C3">
      <w:pPr>
        <w:spacing w:after="0" w:line="240" w:lineRule="auto"/>
      </w:pPr>
      <w:r>
        <w:separator/>
      </w:r>
    </w:p>
  </w:footnote>
  <w:footnote w:type="continuationSeparator" w:id="0">
    <w:p w14:paraId="2A737D2E" w14:textId="77777777" w:rsidR="00E465C3" w:rsidRDefault="00E465C3" w:rsidP="00E46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45pt;height:10.45pt" o:bullet="t">
        <v:imagedata r:id="rId1" o:title="mso795B"/>
      </v:shape>
    </w:pict>
  </w:numPicBullet>
  <w:abstractNum w:abstractNumId="0" w15:restartNumberingAfterBreak="0">
    <w:nsid w:val="02040B70"/>
    <w:multiLevelType w:val="hybridMultilevel"/>
    <w:tmpl w:val="B68C88FC"/>
    <w:lvl w:ilvl="0" w:tplc="984C2B2E">
      <w:start w:val="1"/>
      <w:numFmt w:val="decimal"/>
      <w:lvlText w:val="%1)"/>
      <w:lvlJc w:val="left"/>
      <w:pPr>
        <w:ind w:left="720" w:hanging="360"/>
      </w:pPr>
      <w:rPr>
        <w:rFonts w:ascii="Arial" w:eastAsiaTheme="minorEastAsia"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506AA"/>
    <w:multiLevelType w:val="multilevel"/>
    <w:tmpl w:val="C0DE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71845"/>
    <w:multiLevelType w:val="hybridMultilevel"/>
    <w:tmpl w:val="F830DDC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7423C4"/>
    <w:multiLevelType w:val="hybridMultilevel"/>
    <w:tmpl w:val="A3CE9B6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E1893"/>
    <w:multiLevelType w:val="hybridMultilevel"/>
    <w:tmpl w:val="02609BC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E745D4"/>
    <w:multiLevelType w:val="hybridMultilevel"/>
    <w:tmpl w:val="135CF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9162D9"/>
    <w:multiLevelType w:val="hybridMultilevel"/>
    <w:tmpl w:val="DD3E2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646E0C"/>
    <w:multiLevelType w:val="hybridMultilevel"/>
    <w:tmpl w:val="4802E126"/>
    <w:lvl w:ilvl="0" w:tplc="E9CE3B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7033F5"/>
    <w:multiLevelType w:val="hybridMultilevel"/>
    <w:tmpl w:val="D20A4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F23B71"/>
    <w:multiLevelType w:val="hybridMultilevel"/>
    <w:tmpl w:val="9BC8BFE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7D24903"/>
    <w:multiLevelType w:val="hybridMultilevel"/>
    <w:tmpl w:val="63646D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BB0EC3"/>
    <w:multiLevelType w:val="hybridMultilevel"/>
    <w:tmpl w:val="9C32D95A"/>
    <w:lvl w:ilvl="0" w:tplc="2E528E9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B57B23"/>
    <w:multiLevelType w:val="hybridMultilevel"/>
    <w:tmpl w:val="B3E83C5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2408CB"/>
    <w:multiLevelType w:val="hybridMultilevel"/>
    <w:tmpl w:val="1FCC587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7A10056A"/>
    <w:multiLevelType w:val="hybridMultilevel"/>
    <w:tmpl w:val="D1564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292526">
    <w:abstractNumId w:val="8"/>
  </w:num>
  <w:num w:numId="2" w16cid:durableId="280381513">
    <w:abstractNumId w:val="0"/>
  </w:num>
  <w:num w:numId="3" w16cid:durableId="1427966669">
    <w:abstractNumId w:val="7"/>
  </w:num>
  <w:num w:numId="4" w16cid:durableId="485820628">
    <w:abstractNumId w:val="13"/>
  </w:num>
  <w:num w:numId="5" w16cid:durableId="2056855407">
    <w:abstractNumId w:val="5"/>
  </w:num>
  <w:num w:numId="6" w16cid:durableId="142939187">
    <w:abstractNumId w:val="11"/>
  </w:num>
  <w:num w:numId="7" w16cid:durableId="1044603542">
    <w:abstractNumId w:val="1"/>
  </w:num>
  <w:num w:numId="8" w16cid:durableId="124198415">
    <w:abstractNumId w:val="12"/>
  </w:num>
  <w:num w:numId="9" w16cid:durableId="5208317">
    <w:abstractNumId w:val="10"/>
  </w:num>
  <w:num w:numId="10" w16cid:durableId="1492062002">
    <w:abstractNumId w:val="3"/>
  </w:num>
  <w:num w:numId="11" w16cid:durableId="638731241">
    <w:abstractNumId w:val="14"/>
  </w:num>
  <w:num w:numId="12" w16cid:durableId="1560819583">
    <w:abstractNumId w:val="6"/>
  </w:num>
  <w:num w:numId="13" w16cid:durableId="763574107">
    <w:abstractNumId w:val="9"/>
  </w:num>
  <w:num w:numId="14" w16cid:durableId="1254703224">
    <w:abstractNumId w:val="2"/>
  </w:num>
  <w:num w:numId="15" w16cid:durableId="1942763866">
    <w:abstractNumId w:val="4"/>
  </w:num>
  <w:num w:numId="16" w16cid:durableId="262567758">
    <w:abstractNumId w:val="0"/>
    <w:lvlOverride w:ilvl="0">
      <w:startOverride w:val="1"/>
    </w:lvlOverride>
    <w:lvlOverride w:ilvl="1"/>
    <w:lvlOverride w:ilvl="2"/>
    <w:lvlOverride w:ilvl="3"/>
    <w:lvlOverride w:ilvl="4"/>
    <w:lvlOverride w:ilvl="5"/>
    <w:lvlOverride w:ilvl="6"/>
    <w:lvlOverride w:ilvl="7"/>
    <w:lvlOverride w:ilvl="8"/>
  </w:num>
  <w:num w:numId="17" w16cid:durableId="9984569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7069450">
    <w:abstractNumId w:val="2"/>
    <w:lvlOverride w:ilvl="0"/>
    <w:lvlOverride w:ilvl="1"/>
    <w:lvlOverride w:ilvl="2"/>
    <w:lvlOverride w:ilvl="3"/>
    <w:lvlOverride w:ilvl="4"/>
    <w:lvlOverride w:ilvl="5"/>
    <w:lvlOverride w:ilvl="6"/>
    <w:lvlOverride w:ilvl="7"/>
    <w:lvlOverride w:ilvl="8"/>
  </w:num>
  <w:num w:numId="19" w16cid:durableId="1162039535">
    <w:abstractNumId w:val="4"/>
    <w:lvlOverride w:ilvl="0"/>
    <w:lvlOverride w:ilvl="1"/>
    <w:lvlOverride w:ilvl="2"/>
    <w:lvlOverride w:ilvl="3"/>
    <w:lvlOverride w:ilvl="4"/>
    <w:lvlOverride w:ilvl="5"/>
    <w:lvlOverride w:ilvl="6"/>
    <w:lvlOverride w:ilvl="7"/>
    <w:lvlOverride w:ilvl="8"/>
  </w:num>
  <w:num w:numId="20" w16cid:durableId="1339769123">
    <w:abstractNumId w:val="12"/>
    <w:lvlOverride w:ilvl="0"/>
    <w:lvlOverride w:ilvl="1"/>
    <w:lvlOverride w:ilvl="2"/>
    <w:lvlOverride w:ilvl="3"/>
    <w:lvlOverride w:ilvl="4"/>
    <w:lvlOverride w:ilvl="5"/>
    <w:lvlOverride w:ilvl="6"/>
    <w:lvlOverride w:ilvl="7"/>
    <w:lvlOverride w:ilvl="8"/>
  </w:num>
  <w:num w:numId="21" w16cid:durableId="1935475557">
    <w:abstractNumId w:val="10"/>
    <w:lvlOverride w:ilvl="0"/>
    <w:lvlOverride w:ilvl="1"/>
    <w:lvlOverride w:ilvl="2"/>
    <w:lvlOverride w:ilvl="3"/>
    <w:lvlOverride w:ilvl="4"/>
    <w:lvlOverride w:ilvl="5"/>
    <w:lvlOverride w:ilvl="6"/>
    <w:lvlOverride w:ilvl="7"/>
    <w:lvlOverride w:ilvl="8"/>
  </w:num>
  <w:num w:numId="22" w16cid:durableId="772436964">
    <w:abstractNumId w:val="3"/>
    <w:lvlOverride w:ilvl="0"/>
    <w:lvlOverride w:ilvl="1"/>
    <w:lvlOverride w:ilvl="2"/>
    <w:lvlOverride w:ilvl="3"/>
    <w:lvlOverride w:ilvl="4"/>
    <w:lvlOverride w:ilvl="5"/>
    <w:lvlOverride w:ilvl="6"/>
    <w:lvlOverride w:ilvl="7"/>
    <w:lvlOverride w:ilvl="8"/>
  </w:num>
  <w:num w:numId="23" w16cid:durableId="59642754">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9C2"/>
    <w:rsid w:val="00014562"/>
    <w:rsid w:val="000232B8"/>
    <w:rsid w:val="00034E90"/>
    <w:rsid w:val="00046B00"/>
    <w:rsid w:val="000A14C5"/>
    <w:rsid w:val="000B3C32"/>
    <w:rsid w:val="000C5D60"/>
    <w:rsid w:val="000D6C59"/>
    <w:rsid w:val="001320F7"/>
    <w:rsid w:val="0013539B"/>
    <w:rsid w:val="00135D9E"/>
    <w:rsid w:val="00136665"/>
    <w:rsid w:val="001832B9"/>
    <w:rsid w:val="00183850"/>
    <w:rsid w:val="0020456D"/>
    <w:rsid w:val="00256F6B"/>
    <w:rsid w:val="002664DC"/>
    <w:rsid w:val="002761AF"/>
    <w:rsid w:val="00276F94"/>
    <w:rsid w:val="0029572F"/>
    <w:rsid w:val="002C02BF"/>
    <w:rsid w:val="002C2BCC"/>
    <w:rsid w:val="002C68FC"/>
    <w:rsid w:val="002D380C"/>
    <w:rsid w:val="00300F81"/>
    <w:rsid w:val="00313276"/>
    <w:rsid w:val="00383E67"/>
    <w:rsid w:val="0039074E"/>
    <w:rsid w:val="003C2AF4"/>
    <w:rsid w:val="003C56A4"/>
    <w:rsid w:val="003C5E7C"/>
    <w:rsid w:val="003C6FEC"/>
    <w:rsid w:val="003E0EDF"/>
    <w:rsid w:val="00401489"/>
    <w:rsid w:val="00435157"/>
    <w:rsid w:val="004404FE"/>
    <w:rsid w:val="00446260"/>
    <w:rsid w:val="00465401"/>
    <w:rsid w:val="004700F8"/>
    <w:rsid w:val="00470548"/>
    <w:rsid w:val="00471E3E"/>
    <w:rsid w:val="00477FA9"/>
    <w:rsid w:val="004C1E0B"/>
    <w:rsid w:val="004C50F3"/>
    <w:rsid w:val="005156DF"/>
    <w:rsid w:val="005239C2"/>
    <w:rsid w:val="00536F84"/>
    <w:rsid w:val="00552120"/>
    <w:rsid w:val="0057113A"/>
    <w:rsid w:val="005D0344"/>
    <w:rsid w:val="005E0F40"/>
    <w:rsid w:val="00603B02"/>
    <w:rsid w:val="00611863"/>
    <w:rsid w:val="0062299D"/>
    <w:rsid w:val="00642309"/>
    <w:rsid w:val="00671307"/>
    <w:rsid w:val="00677004"/>
    <w:rsid w:val="0068066C"/>
    <w:rsid w:val="00687549"/>
    <w:rsid w:val="006A7814"/>
    <w:rsid w:val="006C014D"/>
    <w:rsid w:val="00736993"/>
    <w:rsid w:val="00736D1B"/>
    <w:rsid w:val="00770D75"/>
    <w:rsid w:val="00771B82"/>
    <w:rsid w:val="007B1D71"/>
    <w:rsid w:val="007C13A6"/>
    <w:rsid w:val="007E3B1F"/>
    <w:rsid w:val="007F604B"/>
    <w:rsid w:val="0080107F"/>
    <w:rsid w:val="008512C6"/>
    <w:rsid w:val="008700C6"/>
    <w:rsid w:val="00877471"/>
    <w:rsid w:val="008919E5"/>
    <w:rsid w:val="008946EA"/>
    <w:rsid w:val="008A2D1F"/>
    <w:rsid w:val="008A5DC9"/>
    <w:rsid w:val="008B4E8D"/>
    <w:rsid w:val="008D7FC0"/>
    <w:rsid w:val="008E5557"/>
    <w:rsid w:val="00927964"/>
    <w:rsid w:val="00931703"/>
    <w:rsid w:val="00945207"/>
    <w:rsid w:val="00972014"/>
    <w:rsid w:val="0098454D"/>
    <w:rsid w:val="009970B7"/>
    <w:rsid w:val="009A69BA"/>
    <w:rsid w:val="009D584C"/>
    <w:rsid w:val="009E1D30"/>
    <w:rsid w:val="009F0EEB"/>
    <w:rsid w:val="009F1958"/>
    <w:rsid w:val="00A734E8"/>
    <w:rsid w:val="00A851A1"/>
    <w:rsid w:val="00AB240B"/>
    <w:rsid w:val="00AF13E2"/>
    <w:rsid w:val="00B13F68"/>
    <w:rsid w:val="00B30E88"/>
    <w:rsid w:val="00BB4BB3"/>
    <w:rsid w:val="00BF53C1"/>
    <w:rsid w:val="00C65ECE"/>
    <w:rsid w:val="00C90E8F"/>
    <w:rsid w:val="00CD604F"/>
    <w:rsid w:val="00CE3353"/>
    <w:rsid w:val="00D14FF7"/>
    <w:rsid w:val="00D2297E"/>
    <w:rsid w:val="00D254BD"/>
    <w:rsid w:val="00D379E6"/>
    <w:rsid w:val="00D37FB3"/>
    <w:rsid w:val="00D474B2"/>
    <w:rsid w:val="00D53025"/>
    <w:rsid w:val="00D70123"/>
    <w:rsid w:val="00D77B4E"/>
    <w:rsid w:val="00DB4B22"/>
    <w:rsid w:val="00DB63AC"/>
    <w:rsid w:val="00DD38D2"/>
    <w:rsid w:val="00DF66B9"/>
    <w:rsid w:val="00E3456F"/>
    <w:rsid w:val="00E465C3"/>
    <w:rsid w:val="00E50F31"/>
    <w:rsid w:val="00E51BEC"/>
    <w:rsid w:val="00E55E6D"/>
    <w:rsid w:val="00E670AC"/>
    <w:rsid w:val="00E933BF"/>
    <w:rsid w:val="00E972F4"/>
    <w:rsid w:val="00EA756E"/>
    <w:rsid w:val="00EA7DCB"/>
    <w:rsid w:val="00ED0222"/>
    <w:rsid w:val="00ED4853"/>
    <w:rsid w:val="00F367CB"/>
    <w:rsid w:val="00F64C16"/>
    <w:rsid w:val="00F810AC"/>
    <w:rsid w:val="00FB0923"/>
    <w:rsid w:val="00FE4E36"/>
    <w:rsid w:val="00FF5A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6F9D127"/>
  <w15:chartTrackingRefBased/>
  <w15:docId w15:val="{62EE20CF-7DFA-4B61-8279-08C0D20A1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9C2"/>
  </w:style>
  <w:style w:type="paragraph" w:styleId="Heading2">
    <w:name w:val="heading 2"/>
    <w:basedOn w:val="Normal"/>
    <w:link w:val="Heading2Char"/>
    <w:uiPriority w:val="9"/>
    <w:qFormat/>
    <w:rsid w:val="009D584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9C2"/>
    <w:pPr>
      <w:ind w:left="720"/>
      <w:contextualSpacing/>
    </w:pPr>
  </w:style>
  <w:style w:type="character" w:styleId="Hyperlink">
    <w:name w:val="Hyperlink"/>
    <w:basedOn w:val="DefaultParagraphFont"/>
    <w:uiPriority w:val="99"/>
    <w:unhideWhenUsed/>
    <w:rsid w:val="005239C2"/>
    <w:rPr>
      <w:color w:val="0000FF"/>
      <w:u w:val="single"/>
    </w:rPr>
  </w:style>
  <w:style w:type="character" w:customStyle="1" w:styleId="ui-provider">
    <w:name w:val="ui-provider"/>
    <w:basedOn w:val="DefaultParagraphFont"/>
    <w:rsid w:val="005239C2"/>
  </w:style>
  <w:style w:type="paragraph" w:styleId="NormalWeb">
    <w:name w:val="Normal (Web)"/>
    <w:basedOn w:val="Normal"/>
    <w:uiPriority w:val="99"/>
    <w:unhideWhenUsed/>
    <w:rsid w:val="005239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39C2"/>
    <w:rPr>
      <w:b/>
      <w:bCs/>
    </w:rPr>
  </w:style>
  <w:style w:type="character" w:styleId="FollowedHyperlink">
    <w:name w:val="FollowedHyperlink"/>
    <w:basedOn w:val="DefaultParagraphFont"/>
    <w:uiPriority w:val="99"/>
    <w:semiHidden/>
    <w:unhideWhenUsed/>
    <w:rsid w:val="002C02BF"/>
    <w:rPr>
      <w:color w:val="954F72" w:themeColor="followedHyperlink"/>
      <w:u w:val="single"/>
    </w:rPr>
  </w:style>
  <w:style w:type="character" w:styleId="UnresolvedMention">
    <w:name w:val="Unresolved Mention"/>
    <w:basedOn w:val="DefaultParagraphFont"/>
    <w:uiPriority w:val="99"/>
    <w:semiHidden/>
    <w:unhideWhenUsed/>
    <w:rsid w:val="002C02BF"/>
    <w:rPr>
      <w:color w:val="605E5C"/>
      <w:shd w:val="clear" w:color="auto" w:fill="E1DFDD"/>
    </w:rPr>
  </w:style>
  <w:style w:type="character" w:styleId="Emphasis">
    <w:name w:val="Emphasis"/>
    <w:basedOn w:val="DefaultParagraphFont"/>
    <w:uiPriority w:val="20"/>
    <w:qFormat/>
    <w:rsid w:val="003C6FEC"/>
    <w:rPr>
      <w:i/>
      <w:iCs/>
    </w:rPr>
  </w:style>
  <w:style w:type="character" w:customStyle="1" w:styleId="Heading2Char">
    <w:name w:val="Heading 2 Char"/>
    <w:basedOn w:val="DefaultParagraphFont"/>
    <w:link w:val="Heading2"/>
    <w:uiPriority w:val="9"/>
    <w:rsid w:val="009D584C"/>
    <w:rPr>
      <w:rFonts w:ascii="Times New Roman" w:eastAsia="Times New Roman" w:hAnsi="Times New Roman" w:cs="Times New Roman"/>
      <w:b/>
      <w:bCs/>
      <w:sz w:val="36"/>
      <w:szCs w:val="36"/>
    </w:rPr>
  </w:style>
  <w:style w:type="paragraph" w:customStyle="1" w:styleId="summary">
    <w:name w:val="summary"/>
    <w:basedOn w:val="Normal"/>
    <w:rsid w:val="009D58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yline">
    <w:name w:val="byline"/>
    <w:basedOn w:val="Normal"/>
    <w:rsid w:val="009D58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name">
    <w:name w:val="authorname"/>
    <w:basedOn w:val="DefaultParagraphFont"/>
    <w:rsid w:val="009D584C"/>
  </w:style>
  <w:style w:type="paragraph" w:customStyle="1" w:styleId="socialshareitem">
    <w:name w:val="socialshare__item"/>
    <w:basedOn w:val="Normal"/>
    <w:rsid w:val="009D584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46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5C3"/>
  </w:style>
  <w:style w:type="paragraph" w:styleId="Footer">
    <w:name w:val="footer"/>
    <w:basedOn w:val="Normal"/>
    <w:link w:val="FooterChar"/>
    <w:uiPriority w:val="99"/>
    <w:unhideWhenUsed/>
    <w:rsid w:val="00E46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34049">
      <w:bodyDiv w:val="1"/>
      <w:marLeft w:val="0"/>
      <w:marRight w:val="0"/>
      <w:marTop w:val="0"/>
      <w:marBottom w:val="0"/>
      <w:divBdr>
        <w:top w:val="none" w:sz="0" w:space="0" w:color="auto"/>
        <w:left w:val="none" w:sz="0" w:space="0" w:color="auto"/>
        <w:bottom w:val="none" w:sz="0" w:space="0" w:color="auto"/>
        <w:right w:val="none" w:sz="0" w:space="0" w:color="auto"/>
      </w:divBdr>
    </w:div>
    <w:div w:id="347484294">
      <w:bodyDiv w:val="1"/>
      <w:marLeft w:val="0"/>
      <w:marRight w:val="0"/>
      <w:marTop w:val="0"/>
      <w:marBottom w:val="0"/>
      <w:divBdr>
        <w:top w:val="none" w:sz="0" w:space="0" w:color="auto"/>
        <w:left w:val="none" w:sz="0" w:space="0" w:color="auto"/>
        <w:bottom w:val="none" w:sz="0" w:space="0" w:color="auto"/>
        <w:right w:val="none" w:sz="0" w:space="0" w:color="auto"/>
      </w:divBdr>
    </w:div>
    <w:div w:id="1389498870">
      <w:bodyDiv w:val="1"/>
      <w:marLeft w:val="0"/>
      <w:marRight w:val="0"/>
      <w:marTop w:val="0"/>
      <w:marBottom w:val="0"/>
      <w:divBdr>
        <w:top w:val="none" w:sz="0" w:space="0" w:color="auto"/>
        <w:left w:val="none" w:sz="0" w:space="0" w:color="auto"/>
        <w:bottom w:val="none" w:sz="0" w:space="0" w:color="auto"/>
        <w:right w:val="none" w:sz="0" w:space="0" w:color="auto"/>
      </w:divBdr>
      <w:divsChild>
        <w:div w:id="1524249254">
          <w:marLeft w:val="0"/>
          <w:marRight w:val="0"/>
          <w:marTop w:val="0"/>
          <w:marBottom w:val="0"/>
          <w:divBdr>
            <w:top w:val="none" w:sz="0" w:space="0" w:color="auto"/>
            <w:left w:val="none" w:sz="0" w:space="0" w:color="auto"/>
            <w:bottom w:val="none" w:sz="0" w:space="0" w:color="auto"/>
            <w:right w:val="none" w:sz="0" w:space="0" w:color="auto"/>
          </w:divBdr>
        </w:div>
        <w:div w:id="481428205">
          <w:marLeft w:val="0"/>
          <w:marRight w:val="0"/>
          <w:marTop w:val="0"/>
          <w:marBottom w:val="59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xology.com/library/detail.aspx?g=5968704c-9346-4d92-9d42-d95b8049cd9c" TargetMode="External"/><Relationship Id="rId18" Type="http://schemas.openxmlformats.org/officeDocument/2006/relationships/hyperlink" Target="https://www.gov.uk/employment-appeal-tribunal-decisions/rentplus-uk-ltd-v-ms-susan-coulson-2022-eat-81" TargetMode="External"/><Relationship Id="rId26" Type="http://schemas.openxmlformats.org/officeDocument/2006/relationships/hyperlink" Target="https://www.howespercival.com/articles/updated-vento-bands-2023/" TargetMode="External"/><Relationship Id="rId39" Type="http://schemas.openxmlformats.org/officeDocument/2006/relationships/hyperlink" Target="https://www.spencershaw.co.uk/employment-law/compensation-and-damages/" TargetMode="External"/><Relationship Id="rId21" Type="http://schemas.openxmlformats.org/officeDocument/2006/relationships/hyperlink" Target="https://assets.publishing.service.gov.uk/media/5bcf210fed915d78aaef7e00/Mr_D_P_Evans_v_Xactly_Corporation_Ltd_UKEATPA_0128_18_LA.pdf" TargetMode="External"/><Relationship Id="rId34" Type="http://schemas.openxmlformats.org/officeDocument/2006/relationships/hyperlink" Target="https://assets.publishing.service.gov.uk/media/62c4439d8fa8f54e821ec31c/Ms_S_Kiciuk__vs_Munchkins_Restaurants_Limited_.pdf" TargetMode="External"/><Relationship Id="rId42" Type="http://schemas.openxmlformats.org/officeDocument/2006/relationships/hyperlink" Target="https://www.bailii.org/ew/cases/EWCA/Civ/2002/1871.html" TargetMode="External"/><Relationship Id="rId47" Type="http://schemas.openxmlformats.org/officeDocument/2006/relationships/theme" Target="theme/theme1.xml"/><Relationship Id="rId7" Type="http://schemas.openxmlformats.org/officeDocument/2006/relationships/hyperlink" Target="https://www.acas.org.uk/sexual-harassment" TargetMode="External"/><Relationship Id="rId2" Type="http://schemas.openxmlformats.org/officeDocument/2006/relationships/styles" Target="styles.xml"/><Relationship Id="rId16" Type="http://schemas.openxmlformats.org/officeDocument/2006/relationships/hyperlink" Target="https://www.citizensadvice.org.uk/work/dismissal/check-your-rights-if-youre-dismissed/dismissal/claiming-constructive-dismissal/" TargetMode="External"/><Relationship Id="rId29" Type="http://schemas.openxmlformats.org/officeDocument/2006/relationships/hyperlink" Target="https://landaulaw.co.uk/deductions-made-unfair-dismissal-award-damag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142fecee90e070437d8baeb/Ms_A_Lacatus_-v-_Barclays_Execution_Services_Limited___Ors_-_3201295_2019___Or_-_Judgment.pdf" TargetMode="External"/><Relationship Id="rId24" Type="http://schemas.openxmlformats.org/officeDocument/2006/relationships/hyperlink" Target="https://www.gov.uk/transfers-takeovers/transfers-of-employment-contracts" TargetMode="External"/><Relationship Id="rId32" Type="http://schemas.openxmlformats.org/officeDocument/2006/relationships/hyperlink" Target="https://www.nhd.uscourts.gov/sites/default/files/Opinions/97/97SD064.pdf" TargetMode="External"/><Relationship Id="rId37" Type="http://schemas.openxmlformats.org/officeDocument/2006/relationships/hyperlink" Target="https://shepwedd.com/knowledge/tupe-where-does-it-fit-property-transactions" TargetMode="External"/><Relationship Id="rId40" Type="http://schemas.openxmlformats.org/officeDocument/2006/relationships/hyperlink" Target="https://www.springhouselaw.com/knowledge-hub/unfair-and-constructive-dismissal/pay-outs-for-constructive-dismissal"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itizensadvice.org.uk/work/employment-tribunals/employment-tribunals/before-you-go-to-the-tribunal/check-what-compensation-you-can-get-for-unfair-dismissal/" TargetMode="External"/><Relationship Id="rId23" Type="http://schemas.openxmlformats.org/officeDocument/2006/relationships/hyperlink" Target="https://www.gov.uk/dismissal/unfair-and-constructive-dismissal" TargetMode="External"/><Relationship Id="rId28" Type="http://schemas.openxmlformats.org/officeDocument/2006/relationships/hyperlink" Target="https://assets.publishing.service.gov.uk/media/5d5bb55ce5274a07640aefcd/Miss_K_Beaney_v_Highways_England_and_Others_2601027_2017_Reserved.pdf" TargetMode="External"/><Relationship Id="rId36" Type="http://schemas.openxmlformats.org/officeDocument/2006/relationships/hyperlink" Target="https://redmans.co.uk/employment-law-solicitors/sexual-harassment-at-work/" TargetMode="External"/><Relationship Id="rId10" Type="http://schemas.openxmlformats.org/officeDocument/2006/relationships/hyperlink" Target="https://assets.publishing.service.gov.uk/media/601bc9e3e90e07128691d2c2/Allay__UK__Ltd_v_Mr_S_Gehlen_UKEAT_0031_20_AT.pdf" TargetMode="External"/><Relationship Id="rId19" Type="http://schemas.openxmlformats.org/officeDocument/2006/relationships/hyperlink" Target="https://assets.publishing.service.gov.uk/government/uploads/system/uploads/attachment_data/file/275252/bis-14-502-employment-rights-on-the-transfer-of-an-undertaking.pdf" TargetMode="External"/><Relationship Id="rId31" Type="http://schemas.openxmlformats.org/officeDocument/2006/relationships/hyperlink" Target="https://www.dacbeachcroft.com/es/gb/articles/2021/august/harassment-constructive-dismissal-can-amount-to-an-act-of-unlawful-harassment/" TargetMode="External"/><Relationship Id="rId44" Type="http://schemas.openxmlformats.org/officeDocument/2006/relationships/hyperlink" Target="https://www.wilsonbrowne.co.uk/guides/guide-to-the-tribunal-procedure/" TargetMode="External"/><Relationship Id="rId4" Type="http://schemas.openxmlformats.org/officeDocument/2006/relationships/webSettings" Target="webSettings.xml"/><Relationship Id="rId9" Type="http://schemas.openxmlformats.org/officeDocument/2006/relationships/hyperlink" Target="https://www.acas.org.uk/dismissals/constructive-dismissal" TargetMode="External"/><Relationship Id="rId14" Type="http://schemas.openxmlformats.org/officeDocument/2006/relationships/hyperlink" Target="https://www.cipd.co.uk/knowledge/fundamentals/emp-law/dismissal/settlement-compromise-agreements-questions"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www.johnfowlers.co.uk/latest-news/the-benefits-of-employment-settlement-agreements" TargetMode="External"/><Relationship Id="rId30" Type="http://schemas.openxmlformats.org/officeDocument/2006/relationships/hyperlink" Target="https://landaulaw.co.uk/faqs/what-compensation-would-you-receive-in-a-constructive-dismissal-claim/" TargetMode="External"/><Relationship Id="rId35" Type="http://schemas.openxmlformats.org/officeDocument/2006/relationships/hyperlink" Target="https://www.truthlegal.com/unfair-dismissal-claims-polkey-deduction-or-no-difference-rule/" TargetMode="External"/><Relationship Id="rId43" Type="http://schemas.openxmlformats.org/officeDocument/2006/relationships/hyperlink" Target="https://www.justemploymentlaw.co.uk/news-analysis/constructive-dismissal-test-clarified/" TargetMode="External"/><Relationship Id="rId8" Type="http://schemas.openxmlformats.org/officeDocument/2006/relationships/hyperlink" Target="https://www.acas.org.uk/employee-rights-during-a-tupe-transfer/when-tupe-regulations-apply" TargetMode="External"/><Relationship Id="rId3" Type="http://schemas.openxmlformats.org/officeDocument/2006/relationships/settings" Target="settings.xml"/><Relationship Id="rId12" Type="http://schemas.openxmlformats.org/officeDocument/2006/relationships/hyperlink" Target="https://assets.publishing.service.gov.uk/media/58b84f7ee5274a2a5c0000d2/Office_Equipment_Systems_Ltd_v_Miss_J_Hughes_UKEAT_0183_16_JOJ.pdf" TargetMode="External"/><Relationship Id="rId17" Type="http://schemas.openxmlformats.org/officeDocument/2006/relationships/hyperlink" Target="https://www.morton-fraser.com/insights/employment-tribunal-awards" TargetMode="External"/><Relationship Id="rId25" Type="http://schemas.openxmlformats.org/officeDocument/2006/relationships/hyperlink" Target="https://www.hainsandlewis.co.uk/site/pricing/tribunal-pricing-employees/" TargetMode="External"/><Relationship Id="rId33" Type="http://schemas.openxmlformats.org/officeDocument/2006/relationships/hyperlink" Target="https://www.gov.uk/employment-tribunal-decisions/miss-s-joyce-v-mr-m-england-1601693-slash-2019" TargetMode="External"/><Relationship Id="rId38" Type="http://schemas.openxmlformats.org/officeDocument/2006/relationships/hyperlink" Target="https://content.next.westlaw.com/Link/Document/Blob/Ib621177c2c5d11e498db8b09b4f043e0.pdf?targetType=PLC-multimedia&amp;originationContext=document&amp;transitionType=DocumentImage&amp;uniqueId=a3fbb0b6-6251-422f-9179-ebcc3bc90e8b&amp;ppcid=12c52dfd59a14279b5256a90d3771faa&amp;contextData=(sc.DocLink)" TargetMode="External"/><Relationship Id="rId46" Type="http://schemas.openxmlformats.org/officeDocument/2006/relationships/fontTable" Target="fontTable.xml"/><Relationship Id="rId20" Type="http://schemas.openxmlformats.org/officeDocument/2006/relationships/hyperlink" Target="https://www.legislation.gov.uk/ukpga/1996/18/part/X/chapter/II/crossheading/compensation" TargetMode="External"/><Relationship Id="rId41" Type="http://schemas.openxmlformats.org/officeDocument/2006/relationships/hyperlink" Target="https://torquelaw.co.uk/how-compensation-is-awarded-by-employment-tribuna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5090</Words>
  <Characters>29017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Jones (2220031)</dc:creator>
  <cp:keywords/>
  <dc:description/>
  <cp:lastModifiedBy>Megan Jones (2220031)</cp:lastModifiedBy>
  <cp:revision>112</cp:revision>
  <dcterms:created xsi:type="dcterms:W3CDTF">2023-04-10T11:21:00Z</dcterms:created>
  <dcterms:modified xsi:type="dcterms:W3CDTF">2023-05-12T16:27:00Z</dcterms:modified>
</cp:coreProperties>
</file>