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xml" ContentType="application/vnd.openxmlformats-officedocument.wordprocessingml.document.main+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12F5A95" wp14:paraId="2B612EAA" wp14:textId="147E0CE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212F5A95" w:rsidR="25BEEFF1">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ECEY4003 assignment</w:t>
      </w:r>
    </w:p>
    <w:p xmlns:wp14="http://schemas.microsoft.com/office/word/2010/wordml" w:rsidP="212F5A95" wp14:paraId="4D6FE3CA" wp14:textId="5F9118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983586"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Section 1 – Evidence of a clear understanding of the importance of a variety of play types including self-directed play. The significance of holistic play should also be considered. (750 words)</w:t>
      </w:r>
    </w:p>
    <w:p w:rsidR="44EB7559" w:rsidP="75983586" w:rsidRDefault="44EB7559" w14:paraId="226D9C33" w14:textId="194375B2">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75983586" w:rsidR="44EB755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Discuss two types of play and how these can be supported in practice.</w:t>
      </w:r>
    </w:p>
    <w:p xmlns:wp14="http://schemas.microsoft.com/office/word/2010/wordml" w:rsidP="2A70199A" wp14:paraId="59277245" wp14:textId="0451016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Play type – </w:t>
      </w:r>
      <w:r w:rsidRPr="2A70199A" w:rsidR="1AD4DF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w:t>
      </w:r>
      <w:r w:rsidRPr="2A70199A" w:rsidR="22DFF18E">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A70199A" w:rsidR="1AD4DF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w:t>
      </w: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how does the play type support children’s holistic development?</w:t>
      </w:r>
      <w:r w:rsidRPr="2A70199A" w:rsidR="4DD3DC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AA7ADF9" w:rsidP="2A70199A" w:rsidRDefault="4AA7ADF9" w14:paraId="6C938923" w14:textId="7DB32E71">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4AA7AD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Benefits </w:t>
      </w:r>
    </w:p>
    <w:p w:rsidR="4AA7ADF9" w:rsidP="2A70199A" w:rsidRDefault="4AA7ADF9" w14:paraId="18BECC6E" w14:textId="4ED4F23E">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70199A" w:rsidR="4AA7ADF9">
        <w:rPr>
          <w:rFonts w:ascii="Calibri" w:hAnsi="Calibri" w:eastAsia="Calibri" w:cs="Calibri"/>
          <w:b w:val="0"/>
          <w:bCs w:val="0"/>
          <w:i w:val="0"/>
          <w:iCs w:val="0"/>
          <w:caps w:val="0"/>
          <w:smallCaps w:val="0"/>
          <w:noProof w:val="0"/>
          <w:color w:val="000000" w:themeColor="text1" w:themeTint="FF" w:themeShade="FF"/>
          <w:sz w:val="22"/>
          <w:szCs w:val="22"/>
          <w:lang w:val="en-GB"/>
        </w:rPr>
        <w:t>Stages of play</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is it more </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condusive</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developing solitary, on-looker, </w:t>
      </w:r>
      <w:r w:rsidRPr="2A70199A" w:rsidR="78E7274A">
        <w:rPr>
          <w:rFonts w:ascii="Calibri" w:hAnsi="Calibri" w:eastAsia="Calibri" w:cs="Calibri"/>
          <w:b w:val="0"/>
          <w:bCs w:val="0"/>
          <w:i w:val="0"/>
          <w:iCs w:val="0"/>
          <w:caps w:val="0"/>
          <w:smallCaps w:val="0"/>
          <w:noProof w:val="0"/>
          <w:color w:val="000000" w:themeColor="text1" w:themeTint="FF" w:themeShade="FF"/>
          <w:sz w:val="22"/>
          <w:szCs w:val="22"/>
          <w:lang w:val="en-GB"/>
        </w:rPr>
        <w:t>parallel</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play</w:t>
      </w:r>
      <w:r w:rsidRPr="2A70199A" w:rsidR="674DF7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support </w:t>
      </w:r>
      <w:r w:rsidRPr="2A70199A" w:rsidR="674DF762">
        <w:rPr>
          <w:rFonts w:ascii="Calibri" w:hAnsi="Calibri" w:eastAsia="Calibri" w:cs="Calibri"/>
          <w:b w:val="0"/>
          <w:bCs w:val="0"/>
          <w:i w:val="0"/>
          <w:iCs w:val="0"/>
          <w:caps w:val="0"/>
          <w:smallCaps w:val="0"/>
          <w:noProof w:val="0"/>
          <w:color w:val="000000" w:themeColor="text1" w:themeTint="FF" w:themeShade="FF"/>
          <w:sz w:val="22"/>
          <w:szCs w:val="22"/>
          <w:lang w:val="en-GB"/>
        </w:rPr>
        <w:t>all of</w:t>
      </w:r>
      <w:r w:rsidRPr="2A70199A" w:rsidR="674DF7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w:t>
      </w:r>
      <w:r w:rsidRPr="2A70199A" w:rsidR="1C4814E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AA7ADF9" w:rsidP="2A70199A" w:rsidRDefault="4AA7ADF9" w14:paraId="620E2F14" w14:textId="4900BC75">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70199A" w:rsidR="4AA7ADF9">
        <w:rPr>
          <w:rFonts w:ascii="Calibri" w:hAnsi="Calibri" w:eastAsia="Calibri" w:cs="Calibri"/>
          <w:b w:val="0"/>
          <w:bCs w:val="0"/>
          <w:i w:val="0"/>
          <w:iCs w:val="0"/>
          <w:caps w:val="0"/>
          <w:smallCaps w:val="0"/>
          <w:noProof w:val="0"/>
          <w:color w:val="000000" w:themeColor="text1" w:themeTint="FF" w:themeShade="FF"/>
          <w:sz w:val="22"/>
          <w:szCs w:val="22"/>
          <w:lang w:val="en-GB"/>
        </w:rPr>
        <w:t>Consider theory here</w:t>
      </w:r>
      <w:r w:rsidRPr="2A70199A" w:rsidR="79C930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A70199A" w:rsidR="79C930C5">
        <w:rPr>
          <w:rFonts w:ascii="Calibri" w:hAnsi="Calibri" w:eastAsia="Calibri" w:cs="Calibri"/>
          <w:b w:val="0"/>
          <w:bCs w:val="0"/>
          <w:i w:val="0"/>
          <w:iCs w:val="0"/>
          <w:caps w:val="0"/>
          <w:smallCaps w:val="0"/>
          <w:noProof w:val="0"/>
          <w:color w:val="000000" w:themeColor="text1" w:themeTint="FF" w:themeShade="FF"/>
          <w:sz w:val="22"/>
          <w:szCs w:val="22"/>
          <w:lang w:val="en-GB"/>
        </w:rPr>
        <w:t>Vygostsky</w:t>
      </w:r>
      <w:r w:rsidRPr="2A70199A" w:rsidR="79C930C5">
        <w:rPr>
          <w:rFonts w:ascii="Calibri" w:hAnsi="Calibri" w:eastAsia="Calibri" w:cs="Calibri"/>
          <w:b w:val="0"/>
          <w:bCs w:val="0"/>
          <w:i w:val="0"/>
          <w:iCs w:val="0"/>
          <w:caps w:val="0"/>
          <w:smallCaps w:val="0"/>
          <w:noProof w:val="0"/>
          <w:color w:val="000000" w:themeColor="text1" w:themeTint="FF" w:themeShade="FF"/>
          <w:sz w:val="22"/>
          <w:szCs w:val="22"/>
          <w:lang w:val="en-GB"/>
        </w:rPr>
        <w:t>, Piaget, Bruner, etc</w:t>
      </w:r>
    </w:p>
    <w:p xmlns:wp14="http://schemas.microsoft.com/office/word/2010/wordml" w:rsidP="75983586" wp14:paraId="0E7633AF" wp14:textId="406392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983586" w:rsidR="14C8BEA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Section </w:t>
      </w:r>
      <w:r w:rsidRPr="75983586"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2</w:t>
      </w:r>
      <w:r w:rsidRPr="75983586" w:rsidR="741B313F">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w:t>
      </w:r>
      <w:r w:rsidRPr="75983586"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Evidence of a clear understanding of why it is important for children to choose their own play and the importance of the role of the adult in children’s play. (750 words)</w:t>
      </w:r>
    </w:p>
    <w:p xmlns:wp14="http://schemas.microsoft.com/office/word/2010/wordml" w:rsidP="29DD0239" wp14:paraId="3A920D29" wp14:textId="7CADD325">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How can adults support self-directed play?</w:t>
      </w:r>
    </w:p>
    <w:p xmlns:wp14="http://schemas.microsoft.com/office/word/2010/wordml" w:rsidP="2A70199A" wp14:paraId="1F0EF394" wp14:textId="26E98EA4">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Why is play important? What is the role of self-directed play?</w:t>
      </w:r>
      <w:r w:rsidRPr="2A70199A" w:rsidR="77B383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Freedom, choice, more interest – learning </w:t>
      </w:r>
      <w:r w:rsidRPr="2A70199A" w:rsidR="77B383DC">
        <w:rPr>
          <w:rFonts w:ascii="Calibri" w:hAnsi="Calibri" w:eastAsia="Calibri" w:cs="Calibri"/>
          <w:b w:val="0"/>
          <w:bCs w:val="0"/>
          <w:i w:val="0"/>
          <w:iCs w:val="0"/>
          <w:caps w:val="0"/>
          <w:smallCaps w:val="0"/>
          <w:noProof w:val="0"/>
          <w:color w:val="000000" w:themeColor="text1" w:themeTint="FF" w:themeShade="FF"/>
          <w:sz w:val="22"/>
          <w:szCs w:val="22"/>
          <w:lang w:val="en-GB"/>
        </w:rPr>
        <w:t>is</w:t>
      </w:r>
      <w:r w:rsidRPr="2A70199A" w:rsidR="77B383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embedded.</w:t>
      </w:r>
    </w:p>
    <w:p xmlns:wp14="http://schemas.microsoft.com/office/word/2010/wordml" w:rsidP="2A70199A" wp14:paraId="3301A21A" wp14:textId="227282C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Consider Howard and McInnes paper here. </w:t>
      </w:r>
      <w:r w:rsidRPr="2A70199A" w:rsidR="681AD3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w:t>
      </w:r>
      <w:r w:rsidRPr="2A70199A" w:rsidR="681AD3A1">
        <w:rPr>
          <w:rFonts w:ascii="Calibri" w:hAnsi="Calibri" w:eastAsia="Calibri" w:cs="Calibri"/>
          <w:b w:val="0"/>
          <w:bCs w:val="0"/>
          <w:i w:val="0"/>
          <w:iCs w:val="0"/>
          <w:caps w:val="0"/>
          <w:smallCaps w:val="0"/>
          <w:noProof w:val="0"/>
          <w:color w:val="000000" w:themeColor="text1" w:themeTint="FF" w:themeShade="FF"/>
          <w:sz w:val="22"/>
          <w:szCs w:val="22"/>
          <w:lang w:val="en-GB"/>
        </w:rPr>
        <w:t>children</w:t>
      </w:r>
      <w:r w:rsidRPr="2A70199A" w:rsidR="681AD3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 activities as play rather than not play their well-being is improved and this improves learning</w:t>
      </w:r>
    </w:p>
    <w:p xmlns:wp14="http://schemas.microsoft.com/office/word/2010/wordml" w:rsidP="29DD0239" wp14:paraId="47DC63BF" wp14:textId="63EAA7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DD0239"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Section 3 – In depth discussion and understanding of an observation method for young children. Choose from the following observation types (750 words);</w:t>
      </w:r>
    </w:p>
    <w:p xmlns:wp14="http://schemas.microsoft.com/office/word/2010/wordml" w:rsidP="75983586" wp14:paraId="13BFCB3A" wp14:textId="1D370F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Scale based observations </w:t>
      </w:r>
      <w:r w:rsidRPr="2A70199A"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Schedule</w:t>
      </w:r>
      <w:r w:rsidRPr="2A70199A"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of Growing Skills (SOGS), strengths and difficulties questionnaires, Leuven scale Individual Child Observations – Movement Tracker, Interaction Tracker, running record.</w:t>
      </w:r>
    </w:p>
    <w:p w:rsidR="3444DF11" w:rsidP="2A70199A" w:rsidRDefault="3444DF11" w14:paraId="1AE415E6" w14:textId="4169AD94">
      <w:pPr>
        <w:pStyle w:val="ListParagraph"/>
        <w:numPr>
          <w:ilvl w:val="0"/>
          <w:numId w:val="5"/>
        </w:num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2A70199A" w:rsidR="3444DF1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Start by </w:t>
      </w:r>
      <w:r w:rsidRPr="2A70199A" w:rsidR="30CD0FB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defining observation, why is it important?</w:t>
      </w:r>
    </w:p>
    <w:p xmlns:wp14="http://schemas.microsoft.com/office/word/2010/wordml" w:rsidP="2A70199A" wp14:paraId="7F79B4A3" wp14:textId="42C484C5">
      <w:pPr>
        <w:pStyle w:val="ListParagraph"/>
        <w:numPr>
          <w:ilvl w:val="0"/>
          <w:numId w:val="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Benefits and limitations of the </w:t>
      </w:r>
      <w:r w:rsidRPr="2A70199A" w:rsidR="3E507A39">
        <w:rPr>
          <w:rFonts w:ascii="Calibri" w:hAnsi="Calibri" w:eastAsia="Calibri" w:cs="Calibri"/>
          <w:b w:val="0"/>
          <w:bCs w:val="0"/>
          <w:i w:val="0"/>
          <w:iCs w:val="0"/>
          <w:caps w:val="0"/>
          <w:smallCaps w:val="0"/>
          <w:noProof w:val="0"/>
          <w:color w:val="000000" w:themeColor="text1" w:themeTint="FF" w:themeShade="FF"/>
          <w:sz w:val="22"/>
          <w:szCs w:val="22"/>
          <w:lang w:val="en-GB"/>
        </w:rPr>
        <w:t>chosen</w:t>
      </w:r>
      <w:r w:rsidRPr="2A70199A" w:rsidR="476D46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observation tool</w:t>
      </w:r>
    </w:p>
    <w:p xmlns:wp14="http://schemas.microsoft.com/office/word/2010/wordml" w:rsidP="29DD0239" wp14:paraId="38F4531E" wp14:textId="556180B8">
      <w:pPr>
        <w:pStyle w:val="ListParagraph"/>
        <w:numPr>
          <w:ilvl w:val="0"/>
          <w:numId w:val="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Does it give a holistic view of the child or does it only focus on one area? What are the strengths and limitations of this?</w:t>
      </w:r>
    </w:p>
    <w:p xmlns:wp14="http://schemas.microsoft.com/office/word/2010/wordml" w:rsidP="29DD0239" wp14:paraId="3D8BCD5A" wp14:textId="2C0FEB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DD0239"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Section 4</w:t>
      </w:r>
      <w:r w:rsidRPr="29DD0239"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t>
      </w:r>
      <w:r w:rsidRPr="29DD0239"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Demonstrate an understanding of the role of play when undertaking observations and assessments of children and consider how this affects the child’s engagement and the accuracy of the observation. (750 words)</w:t>
      </w:r>
    </w:p>
    <w:p xmlns:wp14="http://schemas.microsoft.com/office/word/2010/wordml" w:rsidP="29DD0239" wp14:paraId="5C29568E" wp14:textId="3CB681A2">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DD0239" w:rsidR="25BEEFF1">
        <w:rPr>
          <w:rFonts w:ascii="Calibri" w:hAnsi="Calibri" w:eastAsia="Calibri" w:cs="Calibri"/>
          <w:b w:val="0"/>
          <w:bCs w:val="0"/>
          <w:i w:val="0"/>
          <w:iCs w:val="0"/>
          <w:caps w:val="0"/>
          <w:smallCaps w:val="0"/>
          <w:noProof w:val="0"/>
          <w:color w:val="000000" w:themeColor="text1" w:themeTint="FF" w:themeShade="FF"/>
          <w:sz w:val="22"/>
          <w:szCs w:val="22"/>
          <w:lang w:val="en-GB"/>
        </w:rPr>
        <w:t>when observing and assessing children why is play important?</w:t>
      </w:r>
    </w:p>
    <w:p xmlns:wp14="http://schemas.microsoft.com/office/word/2010/wordml" w:rsidP="29DD0239" wp14:paraId="57A02D6F" wp14:textId="6355AD72">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DD0239" w:rsidR="25BEEFF1">
        <w:rPr>
          <w:rFonts w:ascii="Calibri" w:hAnsi="Calibri" w:eastAsia="Calibri" w:cs="Calibri"/>
          <w:b w:val="0"/>
          <w:bCs w:val="0"/>
          <w:i w:val="0"/>
          <w:iCs w:val="0"/>
          <w:caps w:val="0"/>
          <w:smallCaps w:val="0"/>
          <w:noProof w:val="0"/>
          <w:color w:val="000000" w:themeColor="text1" w:themeTint="FF" w:themeShade="FF"/>
          <w:sz w:val="22"/>
          <w:szCs w:val="22"/>
          <w:lang w:val="en-GB"/>
        </w:rPr>
        <w:t>Does observing children in play give us a more accurate reflection of where they are in their development? How do we know this?</w:t>
      </w:r>
    </w:p>
    <w:p xmlns:wp14="http://schemas.microsoft.com/office/word/2010/wordml" w:rsidP="2A70199A" wp14:paraId="5BBE98AF" wp14:textId="6EA114B6">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A70199A" w:rsidR="25BEEFF1">
        <w:rPr>
          <w:rFonts w:ascii="Calibri" w:hAnsi="Calibri" w:eastAsia="Calibri" w:cs="Calibri"/>
          <w:b w:val="0"/>
          <w:bCs w:val="0"/>
          <w:i w:val="0"/>
          <w:iCs w:val="0"/>
          <w:caps w:val="0"/>
          <w:smallCaps w:val="0"/>
          <w:noProof w:val="0"/>
          <w:color w:val="000000" w:themeColor="text1" w:themeTint="FF" w:themeShade="FF"/>
          <w:sz w:val="22"/>
          <w:szCs w:val="22"/>
          <w:lang w:val="en-GB"/>
        </w:rPr>
        <w:t>How can adults support this?</w:t>
      </w:r>
      <w:r w:rsidRPr="2A70199A" w:rsidR="6BCB34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Standing back, having a good </w:t>
      </w:r>
      <w:r w:rsidRPr="2A70199A" w:rsidR="6BCB3468">
        <w:rPr>
          <w:rFonts w:ascii="Calibri" w:hAnsi="Calibri" w:eastAsia="Calibri" w:cs="Calibri"/>
          <w:b w:val="0"/>
          <w:bCs w:val="0"/>
          <w:i w:val="0"/>
          <w:iCs w:val="0"/>
          <w:caps w:val="0"/>
          <w:smallCaps w:val="0"/>
          <w:noProof w:val="0"/>
          <w:color w:val="000000" w:themeColor="text1" w:themeTint="FF" w:themeShade="FF"/>
          <w:sz w:val="22"/>
          <w:szCs w:val="22"/>
          <w:lang w:val="en-GB"/>
        </w:rPr>
        <w:t>knowledge</w:t>
      </w:r>
      <w:r w:rsidRPr="2A70199A" w:rsidR="6BCB34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understanding of child development, knowing children well – interests and likes, confidence, skills in observation, knowing h</w:t>
      </w:r>
      <w:r w:rsidRPr="2A70199A" w:rsidR="7469EF38">
        <w:rPr>
          <w:rFonts w:ascii="Calibri" w:hAnsi="Calibri" w:eastAsia="Calibri" w:cs="Calibri"/>
          <w:b w:val="0"/>
          <w:bCs w:val="0"/>
          <w:i w:val="0"/>
          <w:iCs w:val="0"/>
          <w:caps w:val="0"/>
          <w:smallCaps w:val="0"/>
          <w:noProof w:val="0"/>
          <w:color w:val="000000" w:themeColor="text1" w:themeTint="FF" w:themeShade="FF"/>
          <w:sz w:val="22"/>
          <w:szCs w:val="22"/>
          <w:lang w:val="en-GB"/>
        </w:rPr>
        <w:t>ow to set up an enabling environment</w:t>
      </w:r>
    </w:p>
    <w:p xmlns:wp14="http://schemas.microsoft.com/office/word/2010/wordml" w:rsidP="29DD0239" wp14:paraId="006A0BCC" wp14:textId="62256FF1">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9DD0239"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 need the </w:t>
      </w:r>
      <w:r w:rsidRPr="29DD0239" w:rsidR="25BEEFF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Howard and McInnes</w:t>
      </w:r>
      <w:r w:rsidRPr="29DD0239" w:rsidR="25BEE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paper here</w:t>
      </w:r>
    </w:p>
    <w:p xmlns:wp14="http://schemas.microsoft.com/office/word/2010/wordml" w:rsidP="29DD0239" wp14:paraId="44AFCD39" wp14:textId="0940A4B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174C7A7" w:rsidP="6174C7A7" w:rsidRDefault="6174C7A7" w14:paraId="19B672AB" w14:textId="2FFF6D39">
      <w:pPr>
        <w:pStyle w:val="Normal"/>
        <w:spacing w:after="160" w:line="360" w:lineRule="auto"/>
        <w:jc w:val="both"/>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174C7A7" wp14:paraId="0AAA1EA7" wp14:textId="62EA72AA">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174C7A7" w:rsidR="25BEEFF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Points to remember</w:t>
      </w:r>
    </w:p>
    <w:p xmlns:wp14="http://schemas.microsoft.com/office/word/2010/wordml" w:rsidP="212F5A95" wp14:paraId="7B9A3856" wp14:textId="5B07A5CC">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Referencing and reference list – remember to reference each point you make with </w:t>
      </w:r>
      <w:r w:rsidRPr="212F5A95" w:rsidR="25BEEFF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at least </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 reference in each paragraph.</w:t>
      </w:r>
    </w:p>
    <w:p xmlns:wp14="http://schemas.microsoft.com/office/word/2010/wordml" w:rsidP="212F5A95" wp14:paraId="3A72A0D9" wp14:textId="69F79244">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 times new roman or arial font size 12</w:t>
      </w:r>
    </w:p>
    <w:p xmlns:wp14="http://schemas.microsoft.com/office/word/2010/wordml" w:rsidP="212F5A95" wp14:paraId="2F304CC8" wp14:textId="0BEDC62E">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Your work should be left aligned</w:t>
      </w:r>
    </w:p>
    <w:p xmlns:wp14="http://schemas.microsoft.com/office/word/2010/wordml" w:rsidP="212F5A95" wp14:paraId="4BB4C848" wp14:textId="42198583">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 1.5 line spacing</w:t>
      </w:r>
    </w:p>
    <w:p xmlns:wp14="http://schemas.microsoft.com/office/word/2010/wordml" w:rsidP="212F5A95" wp14:paraId="020D1AF5" wp14:textId="3E7F346A">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 overall introduction or conclusion needed to your portfolio – go straight into section 1</w:t>
      </w:r>
    </w:p>
    <w:p xmlns:wp14="http://schemas.microsoft.com/office/word/2010/wordml" w:rsidP="212F5A95" wp14:paraId="23744616" wp14:textId="7F4B18F5">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I/we/you/us – remain in the third person</w:t>
      </w:r>
    </w:p>
    <w:p xmlns:wp14="http://schemas.microsoft.com/office/word/2010/wordml" w:rsidP="212F5A95" wp14:paraId="77F22144" wp14:textId="54412C58">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 emotive language (</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very, extremely, huge etc.) </w:t>
      </w:r>
    </w:p>
    <w:p xmlns:wp14="http://schemas.microsoft.com/office/word/2010/wordml" w:rsidP="212F5A95" wp14:paraId="49A139D5" wp14:textId="1741FB45">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No contractions (no </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write the words out in full</w:t>
      </w:r>
    </w:p>
    <w:p xmlns:wp14="http://schemas.microsoft.com/office/word/2010/wordml" w:rsidP="212F5A95" wp14:paraId="0079A66E" wp14:textId="05600AB6">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25BE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Stick to your 10% allowance for your word count 2700-3300 words in total without the reference list. Around 750 - 800 words per section.</w:t>
      </w:r>
    </w:p>
    <w:p xmlns:wp14="http://schemas.microsoft.com/office/word/2010/wordml" w:rsidP="29DD0239" wp14:paraId="2C078E63" wp14:textId="6973E571">
      <w:pPr>
        <w:pStyle w:val="Normal"/>
      </w:pPr>
    </w:p>
    <w:p w:rsidR="212F5A95" w:rsidP="212F5A95" w:rsidRDefault="212F5A95" w14:paraId="3456F496" w14:textId="334B173C">
      <w:pPr>
        <w:pStyle w:val="Normal"/>
      </w:pPr>
    </w:p>
    <w:p w:rsidR="212F5A95" w:rsidP="212F5A95" w:rsidRDefault="212F5A95" w14:paraId="2759DA2E" w14:textId="44A9D54A">
      <w:pPr>
        <w:pStyle w:val="Normal"/>
      </w:pPr>
    </w:p>
    <w:p w:rsidR="212F5A95" w:rsidP="212F5A95" w:rsidRDefault="212F5A95" w14:paraId="6510CA1B" w14:textId="36C7759A">
      <w:pPr>
        <w:pStyle w:val="Normal"/>
      </w:pPr>
    </w:p>
    <w:p w:rsidR="212F5A95" w:rsidP="212F5A95" w:rsidRDefault="212F5A95" w14:paraId="51978310" w14:textId="2EC17A2C">
      <w:pPr>
        <w:pStyle w:val="Normal"/>
      </w:pPr>
    </w:p>
    <w:p w:rsidR="212F5A95" w:rsidP="212F5A95" w:rsidRDefault="212F5A95" w14:paraId="611E37D0" w14:textId="339628D9">
      <w:pPr>
        <w:pStyle w:val="Normal"/>
      </w:pPr>
    </w:p>
    <w:p w:rsidR="212F5A95" w:rsidP="212F5A95" w:rsidRDefault="212F5A95" w14:paraId="4C186AA3" w14:textId="36B142F6">
      <w:pPr>
        <w:pStyle w:val="Normal"/>
      </w:pPr>
    </w:p>
    <w:p w:rsidR="212F5A95" w:rsidP="212F5A95" w:rsidRDefault="212F5A95" w14:paraId="5B56CA5C" w14:textId="6256AF2C">
      <w:pPr>
        <w:pStyle w:val="Normal"/>
      </w:pPr>
    </w:p>
    <w:p w:rsidR="212F5A95" w:rsidP="212F5A95" w:rsidRDefault="212F5A95" w14:paraId="37A2B897" w14:textId="65A8C983">
      <w:pPr>
        <w:pStyle w:val="Normal"/>
      </w:pPr>
    </w:p>
    <w:p w:rsidR="212F5A95" w:rsidP="212F5A95" w:rsidRDefault="212F5A95" w14:paraId="27477368" w14:textId="08EC1617">
      <w:pPr>
        <w:pStyle w:val="Normal"/>
      </w:pPr>
    </w:p>
    <w:p w:rsidR="212F5A95" w:rsidP="212F5A95" w:rsidRDefault="212F5A95" w14:paraId="3D23AB37" w14:textId="61AC577D">
      <w:pPr>
        <w:pStyle w:val="Normal"/>
      </w:pPr>
    </w:p>
    <w:p w:rsidR="212F5A95" w:rsidP="212F5A95" w:rsidRDefault="212F5A95" w14:paraId="26B72007" w14:textId="725F0364">
      <w:pPr>
        <w:pStyle w:val="Normal"/>
      </w:pPr>
    </w:p>
    <w:p w:rsidR="212F5A95" w:rsidP="212F5A95" w:rsidRDefault="212F5A95" w14:paraId="2B671179" w14:textId="415C607E">
      <w:pPr>
        <w:pStyle w:val="Normal"/>
      </w:pPr>
    </w:p>
    <w:p w:rsidR="212F5A95" w:rsidP="212F5A95" w:rsidRDefault="212F5A95" w14:paraId="0191A48B" w14:textId="2B5DA04B">
      <w:pPr>
        <w:pStyle w:val="Normal"/>
      </w:pPr>
    </w:p>
    <w:p w:rsidR="212F5A95" w:rsidP="212F5A95" w:rsidRDefault="212F5A95" w14:paraId="3583696F" w14:textId="1EC96469">
      <w:pPr>
        <w:pStyle w:val="Normal"/>
      </w:pPr>
    </w:p>
    <w:p w:rsidR="212F5A95" w:rsidP="212F5A95" w:rsidRDefault="212F5A95" w14:paraId="76CA3DFE" w14:textId="088EAE61">
      <w:pPr>
        <w:pStyle w:val="Normal"/>
      </w:pPr>
    </w:p>
    <w:p w:rsidR="7575D2E8" w:rsidP="212F5A95" w:rsidRDefault="7575D2E8" w14:paraId="12403ECF" w14:textId="4AA00871">
      <w:pPr>
        <w:spacing w:after="160" w:line="259"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US"/>
        </w:rPr>
        <w:t>Aseiniad</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US"/>
        </w:rPr>
        <w:t xml:space="preserve"> ECEY4003</w:t>
      </w:r>
    </w:p>
    <w:p w:rsidR="212F5A95" w:rsidP="212F5A95" w:rsidRDefault="212F5A95" w14:paraId="6F2E0F8E" w14:textId="7ADA9A41">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pPr>
    </w:p>
    <w:p w:rsidR="7575D2E8" w:rsidP="212F5A95" w:rsidRDefault="7575D2E8" w14:paraId="20153488" w14:textId="2B79AA4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1 –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Tystiolaeth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ddealltwriaeth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glir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bwysigrwydd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amrywiaeth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fathau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gan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gynnwys</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hunangyfeiriedig</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Dylid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hefyd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ystyried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arwyddocâd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cyfannol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0E3A9271" w:rsidP="75983586" w:rsidRDefault="0E3A9271" w14:paraId="685C228F" w14:textId="00ED16CB">
      <w:pPr>
        <w:pStyle w:val="ListParagraph"/>
        <w:numPr>
          <w:ilvl w:val="0"/>
          <w:numId w:val="2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5983586" w:rsidR="0E3A92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Dewis 2 math o chwarae</w:t>
      </w:r>
    </w:p>
    <w:p w:rsidR="7575D2E8" w:rsidP="212F5A95" w:rsidRDefault="7575D2E8" w14:paraId="49E33A53" w14:textId="3ADF724F">
      <w:pPr>
        <w:pStyle w:val="ListParagraph"/>
        <w:numPr>
          <w:ilvl w:val="0"/>
          <w:numId w:val="2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Math o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sut</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mae’r</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math o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cefnogi</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datblygiad</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cyfannol</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plant?</w:t>
      </w:r>
    </w:p>
    <w:p w:rsidR="7575D2E8" w:rsidP="212F5A95" w:rsidRDefault="7575D2E8" w14:paraId="148597DF" w14:textId="2AE7F31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75983586" w:rsidRDefault="7575D2E8" w14:paraId="593903B7" w14:textId="0574F8D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5983586" w:rsidR="35764C0E">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2</w:t>
      </w:r>
      <w:r w:rsidRPr="75983586" w:rsidR="0D35D954">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Tystiolaeth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ddealltwriaeth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glir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pam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bod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bwysig</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blant</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ddewis</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hunain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phwysigrwydd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rôl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oedolyn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mewn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(750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7575D2E8" w:rsidP="212F5A95" w:rsidRDefault="7575D2E8" w14:paraId="1158E013" w14:textId="5E6F9698">
      <w:pPr>
        <w:pStyle w:val="ListParagraph"/>
        <w:numPr>
          <w:ilvl w:val="0"/>
          <w:numId w:val="2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Sut gall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oedolion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gefnogi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hunangyfeiriedig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1D6556CE" w14:textId="157573A5">
      <w:pPr>
        <w:pStyle w:val="ListParagraph"/>
        <w:numPr>
          <w:ilvl w:val="0"/>
          <w:numId w:val="2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bwysig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Beth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rôl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hunangyfeiriedig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7D3131CA" w14:textId="4B73A878">
      <w:pPr>
        <w:pStyle w:val="ListParagraph"/>
        <w:numPr>
          <w:ilvl w:val="0"/>
          <w:numId w:val="2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Ystyriwch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bapur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Howard a McInnes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yma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576FCEBD" w14:textId="10AC4B4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75983586" w:rsidRDefault="7575D2E8" w14:paraId="0DE5F3DC" w14:textId="19CB849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3 –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Trafodaeth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fanwl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dealltwriaeth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ddull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gyfer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ifanc</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Dewiswch</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mathau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canlynol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raddfa</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Rhestr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Sgiliau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Tyfu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(SOGS),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holiaduron</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cryfderau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anawsterau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Unigol</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raddfa</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Leuven -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Traciwr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Symudiad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Traciwr</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Rhyngweithio</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cofnod</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rhedeg</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75983586"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75983586"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12F5A95" w:rsidRDefault="7575D2E8" w14:paraId="0461EDEA" w14:textId="2C5FADE2">
      <w:pPr>
        <w:pStyle w:val="ListParagraph"/>
        <w:numPr>
          <w:ilvl w:val="0"/>
          <w:numId w:val="2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Manteision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chyfyngiadau'r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offeryn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arsylwi</w:t>
      </w:r>
    </w:p>
    <w:p w:rsidR="7575D2E8" w:rsidP="212F5A95" w:rsidRDefault="7575D2E8" w14:paraId="6BEC97F7" w14:textId="47C2B4F4">
      <w:pPr>
        <w:pStyle w:val="ListParagraph"/>
        <w:numPr>
          <w:ilvl w:val="0"/>
          <w:numId w:val="2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rhoi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golwg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gyfannol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plentyn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neu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canolbwyntio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maes</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Beth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cryfderau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chyfyngiadau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69FE938A" w14:textId="1505266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12F5A95" w:rsidRDefault="7575D2E8" w14:paraId="35856D42" w14:textId="2878869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4 –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Dangos</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dealltwriaeth</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rôl</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wrth</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gynnal</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asesiadau</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blant</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ystyried</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sut</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mae</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hyn</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yn</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effeithio</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ymgysylltiad</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y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plentyn</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chywirdeb</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yr</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7575D2E8" w:rsidP="212F5A95" w:rsidRDefault="7575D2E8" w14:paraId="4747B60E" w14:textId="227DA78E">
      <w:pPr>
        <w:pStyle w:val="ListParagraph"/>
        <w:numPr>
          <w:ilvl w:val="0"/>
          <w:numId w:val="26"/>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wrth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arsylwi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asesu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plant pam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bwysig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4DE59A0D" w14:textId="6E3F3E00">
      <w:pPr>
        <w:pStyle w:val="ListParagraph"/>
        <w:numPr>
          <w:ilvl w:val="0"/>
          <w:numId w:val="26"/>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Ydy</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arsylwi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plant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rhoi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adlewyrchiad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mwy</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cywir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ble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nhw</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datblygiad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Sut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ydyn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gwybod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53B35359" w14:textId="5DE6A3C5">
      <w:pPr>
        <w:pStyle w:val="ListParagraph"/>
        <w:numPr>
          <w:ilvl w:val="0"/>
          <w:numId w:val="26"/>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Sut gall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oedolion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gefnogi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12F5A95" w:rsidRDefault="7575D2E8" w14:paraId="64822868" w14:textId="4D3BACF0">
      <w:pPr>
        <w:pStyle w:val="ListParagraph"/>
        <w:numPr>
          <w:ilvl w:val="0"/>
          <w:numId w:val="26"/>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angen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papur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Howard a McInnes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yma</w:t>
      </w:r>
    </w:p>
    <w:p w:rsidR="7575D2E8" w:rsidP="212F5A95" w:rsidRDefault="7575D2E8" w14:paraId="0B860A67" w14:textId="74A8BB8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12F5A95" w:rsidP="212F5A95" w:rsidRDefault="212F5A95" w14:paraId="25E606BE" w14:textId="394DDD4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12F5A95" w:rsidP="212F5A95" w:rsidRDefault="212F5A95" w14:paraId="09C32C11" w14:textId="0BFAB60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12F5A95" w:rsidP="212F5A95" w:rsidRDefault="212F5A95" w14:paraId="7ABB79F8" w14:textId="6B2169A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12F5A95" w:rsidP="212F5A95" w:rsidRDefault="212F5A95" w14:paraId="7AC7206F" w14:textId="0FF2DA7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2809A5DB" w14:textId="1B38C23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Pwyntiau</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i'w</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59B7AEF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ofio</w:t>
      </w:r>
    </w:p>
    <w:p w:rsidR="7575D2E8" w:rsidP="212F5A95" w:rsidRDefault="7575D2E8" w14:paraId="04D87BA0" w14:textId="55D077BE">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Cyfeirnodi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rhestr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cofiwch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bob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pwynt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wnewch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gydag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leiaf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cyfeiriad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ym</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mhob</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paragraff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287BAB2A" w14:textId="5D3D709F">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35EA1B82" w14:textId="32D8E656">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Defnyddiwch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amseroedd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ffont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rhufeinig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neu arial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newydd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12</w:t>
      </w:r>
    </w:p>
    <w:p w:rsidR="212F5A95" w:rsidP="212F5A95" w:rsidRDefault="212F5A95" w14:paraId="028AB00A" w14:textId="005962F3">
      <w:pPr>
        <w:pStyle w:val="ListParagraph"/>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584705D7" w14:textId="103A0A5F">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Dylid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gadael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gwaith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wedi'i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alinio</w:t>
      </w:r>
    </w:p>
    <w:p w:rsidR="212F5A95" w:rsidP="212F5A95" w:rsidRDefault="212F5A95" w14:paraId="057B0EFB" w14:textId="55A3B98F">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74A82095" w14:textId="3E7A6F7C">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Defnyddiwch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fylchau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1.5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llinell</w:t>
      </w:r>
    </w:p>
    <w:p w:rsidR="212F5A95" w:rsidP="212F5A95" w:rsidRDefault="212F5A95" w14:paraId="3D3BD37E" w14:textId="5816B93B">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11DD591E" w14:textId="40E90AF1">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oes</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angen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cyflwyniad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chasgliad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cyffredinol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portffolio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syth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adran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w:t>
      </w:r>
    </w:p>
    <w:p w:rsidR="212F5A95" w:rsidP="212F5A95" w:rsidRDefault="212F5A95" w14:paraId="6989B410" w14:textId="56D4F211">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0103C92B" w14:textId="1824C855">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ydw</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aros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trydydd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person</w:t>
      </w:r>
    </w:p>
    <w:p w:rsidR="212F5A95" w:rsidP="212F5A95" w:rsidRDefault="212F5A95" w14:paraId="328317A0" w14:textId="061F7C3B">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0D37332D" w14:textId="6415464E">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iaith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emosiynol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iawn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hynod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enfawr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5110BDD8" w14:textId="507BE419">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2C830D71" w14:textId="183FCA38">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cyfangiadau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peidiwch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ysgrifennwch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llawn</w:t>
      </w:r>
    </w:p>
    <w:p w:rsidR="212F5A95" w:rsidP="212F5A95" w:rsidRDefault="212F5A95" w14:paraId="7B65476D" w14:textId="15569230">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3F8014EA" w14:textId="35ADBC7A">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Cadwch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lwfans</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10%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cyfrif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2700-3300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heb</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rhestr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Tua 750 - 800 o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fesul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adran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584AAD2B" w14:textId="63D09A1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23aaab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c54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6397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b4b3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79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0a1c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a898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b26a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1d6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b474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a3ed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b936c4"/>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aa2f92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df3df78"/>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236c06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9457bc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847de3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c6cd79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c0dfc4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d1626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850a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09d0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d40c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16b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cc4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2ba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9a7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193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d110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375f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B17DC"/>
    <w:rsid w:val="0047F9BC"/>
    <w:rsid w:val="0D35D954"/>
    <w:rsid w:val="0E3A9271"/>
    <w:rsid w:val="14C8BEA7"/>
    <w:rsid w:val="1AD4DFA9"/>
    <w:rsid w:val="1C4814E2"/>
    <w:rsid w:val="1FA850CC"/>
    <w:rsid w:val="212F5A95"/>
    <w:rsid w:val="22DFF18E"/>
    <w:rsid w:val="25BEEFF1"/>
    <w:rsid w:val="260924AC"/>
    <w:rsid w:val="29DD0239"/>
    <w:rsid w:val="2A70199A"/>
    <w:rsid w:val="2C58C275"/>
    <w:rsid w:val="30CD0FB1"/>
    <w:rsid w:val="3162327D"/>
    <w:rsid w:val="3444DF11"/>
    <w:rsid w:val="35764C0E"/>
    <w:rsid w:val="3E507A39"/>
    <w:rsid w:val="3EB902EA"/>
    <w:rsid w:val="413B17DC"/>
    <w:rsid w:val="44EB7559"/>
    <w:rsid w:val="458A919F"/>
    <w:rsid w:val="47266200"/>
    <w:rsid w:val="476D463A"/>
    <w:rsid w:val="4AA7ADF9"/>
    <w:rsid w:val="4DD3DC9E"/>
    <w:rsid w:val="4F184B88"/>
    <w:rsid w:val="559247C5"/>
    <w:rsid w:val="59B7AEF7"/>
    <w:rsid w:val="5A5099EC"/>
    <w:rsid w:val="6174C7A7"/>
    <w:rsid w:val="674DF762"/>
    <w:rsid w:val="681AD3A1"/>
    <w:rsid w:val="6BCB3468"/>
    <w:rsid w:val="741B313F"/>
    <w:rsid w:val="7469EF38"/>
    <w:rsid w:val="7575D2E8"/>
    <w:rsid w:val="75983586"/>
    <w:rsid w:val="773405E7"/>
    <w:rsid w:val="77B383DC"/>
    <w:rsid w:val="78CFD648"/>
    <w:rsid w:val="78E7274A"/>
    <w:rsid w:val="79C930C5"/>
    <w:rsid w:val="79E725DB"/>
    <w:rsid w:val="7DFC2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17DC"/>
  <w15:chartTrackingRefBased/>
  <w15:docId w15:val="{891B30E2-C40A-4017-948D-8DEE586C90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numbering" Target="numbering.xml" Id="R2ec3e0b097cf4bd6" /><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2a80b03815e2e5e3281b97f7713277a5">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4ff4b8fc08fe7a41382c493e40dd0b1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9B957AC-E2AB-4CE9-83F3-A2EBBCFAFF65}"/>
</file>

<file path=customXml/itemProps2.xml><?xml version="1.0" encoding="utf-8"?>
<ds:datastoreItem xmlns:ds="http://schemas.openxmlformats.org/officeDocument/2006/customXml" ds:itemID="{E55238CB-D6DC-4B97-9807-C9D06B14C733}"/>
</file>

<file path=customXml/itemProps3.xml><?xml version="1.0" encoding="utf-8"?>
<ds:datastoreItem xmlns:ds="http://schemas.openxmlformats.org/officeDocument/2006/customXml" ds:itemID="{BAC4A409-C733-4098-898C-DD2E936B546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Jones</dc:creator>
  <keywords/>
  <dc:description/>
  <lastModifiedBy>Natasha Jones</lastModifiedBy>
  <dcterms:created xsi:type="dcterms:W3CDTF">2024-01-15T12:53:39.0000000Z</dcterms:created>
  <dcterms:modified xsi:type="dcterms:W3CDTF">2024-02-19T22:25:02.9311610Z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