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72B8CA" w14:textId="4D0C8DA4" w:rsidR="00B91DBE" w:rsidRPr="00B91DBE" w:rsidRDefault="002D3ABA" w:rsidP="00B91DBE">
      <w:pPr>
        <w:spacing w:line="276" w:lineRule="auto"/>
        <w:jc w:val="left"/>
      </w:pPr>
      <w:r w:rsidRPr="00484241">
        <w:rPr>
          <w:rFonts w:ascii="Aptos" w:eastAsia="Times New Roman" w:hAnsi="Aptos" w:cs="Times New Roman"/>
          <w:noProof/>
          <w:color w:val="000000"/>
          <w:sz w:val="22"/>
          <w:bdr w:val="none" w:sz="0" w:space="0" w:color="auto" w:frame="1"/>
        </w:rPr>
        <w:drawing>
          <wp:inline distT="0" distB="0" distL="0" distR="0" wp14:anchorId="75A2A4B1" wp14:editId="7B950B84">
            <wp:extent cx="2865120" cy="1577340"/>
            <wp:effectExtent l="0" t="0" r="5080" b="0"/>
            <wp:docPr id="721520334"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logo with black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5120" cy="1577340"/>
                    </a:xfrm>
                    <a:prstGeom prst="rect">
                      <a:avLst/>
                    </a:prstGeom>
                    <a:noFill/>
                    <a:ln>
                      <a:noFill/>
                    </a:ln>
                  </pic:spPr>
                </pic:pic>
              </a:graphicData>
            </a:graphic>
          </wp:inline>
        </w:drawing>
      </w:r>
    </w:p>
    <w:p w14:paraId="209E9E34" w14:textId="77777777" w:rsidR="00B91DBE" w:rsidRDefault="00B91DBE" w:rsidP="00B91DBE">
      <w:pPr>
        <w:spacing w:line="276" w:lineRule="auto"/>
        <w:jc w:val="left"/>
        <w:rPr>
          <w:sz w:val="28"/>
        </w:rPr>
      </w:pPr>
    </w:p>
    <w:p w14:paraId="717718A3" w14:textId="77777777" w:rsidR="002D3ABA" w:rsidRDefault="002D3ABA" w:rsidP="00B91DBE">
      <w:pPr>
        <w:spacing w:line="276" w:lineRule="auto"/>
        <w:jc w:val="left"/>
        <w:rPr>
          <w:sz w:val="28"/>
        </w:rPr>
      </w:pPr>
    </w:p>
    <w:p w14:paraId="714589CE" w14:textId="77777777" w:rsidR="002D3ABA" w:rsidRPr="00B91DBE" w:rsidRDefault="002D3ABA" w:rsidP="00B91DBE">
      <w:pPr>
        <w:spacing w:line="276" w:lineRule="auto"/>
        <w:jc w:val="left"/>
        <w:rPr>
          <w:sz w:val="28"/>
        </w:rPr>
      </w:pPr>
    </w:p>
    <w:p w14:paraId="6C251289" w14:textId="7F68C246" w:rsidR="002D3ABA" w:rsidRPr="00484241" w:rsidRDefault="002D3ABA" w:rsidP="002D3ABA">
      <w:pPr>
        <w:spacing w:after="160" w:line="240" w:lineRule="auto"/>
        <w:jc w:val="left"/>
        <w:rPr>
          <w:rFonts w:ascii="Times New Roman" w:eastAsia="Times New Roman" w:hAnsi="Times New Roman" w:cs="Times New Roman"/>
          <w:szCs w:val="24"/>
        </w:rPr>
      </w:pPr>
      <w:r w:rsidRPr="00484241">
        <w:rPr>
          <w:rFonts w:eastAsia="Times New Roman" w:cs="Arial"/>
          <w:b/>
          <w:bCs/>
          <w:color w:val="000000"/>
          <w:szCs w:val="24"/>
        </w:rPr>
        <w:t xml:space="preserve">Student Name: </w:t>
      </w:r>
      <w:r w:rsidRPr="00484241">
        <w:rPr>
          <w:rFonts w:eastAsia="Times New Roman" w:cs="Arial"/>
          <w:color w:val="000000"/>
          <w:szCs w:val="24"/>
        </w:rPr>
        <w:t>Mihai-Daniel Mihalcea</w:t>
      </w:r>
    </w:p>
    <w:p w14:paraId="654515CB" w14:textId="77777777" w:rsidR="002D3ABA" w:rsidRPr="00484241" w:rsidRDefault="002D3ABA" w:rsidP="002D3ABA">
      <w:pPr>
        <w:spacing w:after="160" w:line="240" w:lineRule="auto"/>
        <w:jc w:val="left"/>
        <w:rPr>
          <w:rFonts w:ascii="Times New Roman" w:eastAsia="Times New Roman" w:hAnsi="Times New Roman" w:cs="Times New Roman"/>
          <w:szCs w:val="24"/>
        </w:rPr>
      </w:pPr>
      <w:r w:rsidRPr="00484241">
        <w:rPr>
          <w:rFonts w:eastAsia="Times New Roman" w:cs="Arial"/>
          <w:b/>
          <w:bCs/>
          <w:color w:val="000000"/>
          <w:szCs w:val="24"/>
        </w:rPr>
        <w:t xml:space="preserve">Student ID: </w:t>
      </w:r>
      <w:r w:rsidRPr="00484241">
        <w:rPr>
          <w:rFonts w:eastAsia="Times New Roman" w:cs="Arial"/>
          <w:color w:val="000000"/>
          <w:szCs w:val="24"/>
        </w:rPr>
        <w:t>2244870</w:t>
      </w:r>
    </w:p>
    <w:p w14:paraId="2661E889" w14:textId="35D5F72E" w:rsidR="002D3ABA" w:rsidRPr="00484241" w:rsidRDefault="002D3ABA" w:rsidP="002D3ABA">
      <w:pPr>
        <w:spacing w:after="160" w:line="240" w:lineRule="auto"/>
        <w:jc w:val="left"/>
        <w:rPr>
          <w:rFonts w:ascii="Times New Roman" w:eastAsia="Times New Roman" w:hAnsi="Times New Roman" w:cs="Times New Roman"/>
          <w:szCs w:val="24"/>
        </w:rPr>
      </w:pPr>
      <w:r w:rsidRPr="00484241">
        <w:rPr>
          <w:rFonts w:eastAsia="Times New Roman" w:cs="Arial"/>
          <w:b/>
          <w:bCs/>
          <w:color w:val="000000"/>
          <w:szCs w:val="24"/>
        </w:rPr>
        <w:t xml:space="preserve">Module: </w:t>
      </w:r>
      <w:r>
        <w:rPr>
          <w:rFonts w:eastAsia="Times New Roman" w:cs="Arial"/>
          <w:color w:val="000000"/>
          <w:szCs w:val="24"/>
        </w:rPr>
        <w:t xml:space="preserve">Managing </w:t>
      </w:r>
      <w:r>
        <w:rPr>
          <w:rFonts w:eastAsia="Times New Roman" w:cs="Arial"/>
          <w:color w:val="000000"/>
          <w:szCs w:val="24"/>
        </w:rPr>
        <w:t>Hotel Administration</w:t>
      </w:r>
      <w:r w:rsidRPr="00484241">
        <w:rPr>
          <w:rFonts w:eastAsia="Times New Roman" w:cs="Arial"/>
          <w:color w:val="000000"/>
          <w:szCs w:val="24"/>
        </w:rPr>
        <w:t xml:space="preserve"> (BMIH</w:t>
      </w:r>
      <w:r>
        <w:rPr>
          <w:rFonts w:eastAsia="Times New Roman" w:cs="Arial"/>
          <w:color w:val="000000"/>
          <w:szCs w:val="24"/>
        </w:rPr>
        <w:t>600</w:t>
      </w:r>
      <w:r>
        <w:rPr>
          <w:rFonts w:eastAsia="Times New Roman" w:cs="Arial"/>
          <w:color w:val="000000"/>
          <w:szCs w:val="24"/>
        </w:rPr>
        <w:t>4</w:t>
      </w:r>
      <w:r w:rsidRPr="00484241">
        <w:rPr>
          <w:rFonts w:eastAsia="Times New Roman" w:cs="Arial"/>
          <w:color w:val="000000"/>
          <w:szCs w:val="24"/>
        </w:rPr>
        <w:t>)</w:t>
      </w:r>
    </w:p>
    <w:p w14:paraId="152296CE" w14:textId="7165A8E3" w:rsidR="002D3ABA" w:rsidRPr="00484241" w:rsidRDefault="002D3ABA" w:rsidP="002D3ABA">
      <w:pPr>
        <w:spacing w:after="160" w:line="240" w:lineRule="auto"/>
        <w:jc w:val="left"/>
        <w:rPr>
          <w:rFonts w:ascii="Times New Roman" w:eastAsia="Times New Roman" w:hAnsi="Times New Roman" w:cs="Times New Roman"/>
          <w:szCs w:val="24"/>
        </w:rPr>
      </w:pPr>
      <w:r w:rsidRPr="00484241">
        <w:rPr>
          <w:rFonts w:eastAsia="Times New Roman" w:cs="Arial"/>
          <w:b/>
          <w:bCs/>
          <w:color w:val="000000"/>
          <w:szCs w:val="24"/>
        </w:rPr>
        <w:t xml:space="preserve">Word count: </w:t>
      </w:r>
      <w:r w:rsidRPr="00FF5B55">
        <w:rPr>
          <w:rFonts w:eastAsia="Times New Roman" w:cs="Arial"/>
          <w:color w:val="000000"/>
          <w:szCs w:val="24"/>
        </w:rPr>
        <w:t>12</w:t>
      </w:r>
      <w:r w:rsidR="00D9484C">
        <w:rPr>
          <w:rFonts w:eastAsia="Times New Roman" w:cs="Arial"/>
          <w:color w:val="000000"/>
          <w:szCs w:val="24"/>
        </w:rPr>
        <w:t>47</w:t>
      </w:r>
    </w:p>
    <w:p w14:paraId="6B0017CD" w14:textId="77777777" w:rsidR="002D3ABA" w:rsidRPr="00484241" w:rsidRDefault="002D3ABA" w:rsidP="002D3ABA">
      <w:pPr>
        <w:spacing w:after="160" w:line="240" w:lineRule="auto"/>
        <w:jc w:val="left"/>
        <w:rPr>
          <w:rFonts w:ascii="Times New Roman" w:eastAsia="Times New Roman" w:hAnsi="Times New Roman" w:cs="Times New Roman"/>
          <w:szCs w:val="24"/>
        </w:rPr>
      </w:pPr>
      <w:r w:rsidRPr="00484241">
        <w:rPr>
          <w:rFonts w:eastAsia="Times New Roman" w:cs="Arial"/>
          <w:b/>
          <w:bCs/>
          <w:color w:val="000000"/>
          <w:szCs w:val="24"/>
        </w:rPr>
        <w:t xml:space="preserve">Tutor: </w:t>
      </w:r>
      <w:r w:rsidRPr="00484241">
        <w:rPr>
          <w:rFonts w:eastAsia="Times New Roman" w:cs="Arial"/>
          <w:color w:val="000000"/>
          <w:szCs w:val="24"/>
        </w:rPr>
        <w:t>Daniel Payne</w:t>
      </w:r>
    </w:p>
    <w:p w14:paraId="7D9E11CC" w14:textId="77777777" w:rsidR="002D3ABA" w:rsidRDefault="002D3ABA" w:rsidP="002D3ABA">
      <w:pPr>
        <w:spacing w:after="0" w:line="240" w:lineRule="auto"/>
        <w:jc w:val="left"/>
        <w:rPr>
          <w:rFonts w:ascii="Times New Roman" w:eastAsia="Times New Roman" w:hAnsi="Times New Roman" w:cs="Times New Roman"/>
          <w:szCs w:val="24"/>
        </w:rPr>
      </w:pPr>
    </w:p>
    <w:p w14:paraId="341DC8C1" w14:textId="77777777" w:rsidR="002D3ABA" w:rsidRDefault="002D3ABA" w:rsidP="002D3ABA">
      <w:pPr>
        <w:spacing w:after="160" w:line="240" w:lineRule="auto"/>
        <w:jc w:val="left"/>
        <w:rPr>
          <w:rFonts w:eastAsia="Times New Roman" w:cs="Arial"/>
          <w:b/>
          <w:bCs/>
          <w:color w:val="000000"/>
          <w:szCs w:val="24"/>
        </w:rPr>
      </w:pPr>
    </w:p>
    <w:p w14:paraId="75AB6183" w14:textId="77777777" w:rsidR="002D3ABA" w:rsidRDefault="002D3ABA" w:rsidP="002D3ABA">
      <w:pPr>
        <w:spacing w:after="160" w:line="240" w:lineRule="auto"/>
        <w:jc w:val="left"/>
        <w:rPr>
          <w:rFonts w:eastAsia="Times New Roman" w:cs="Arial"/>
          <w:b/>
          <w:bCs/>
          <w:color w:val="000000"/>
          <w:szCs w:val="24"/>
        </w:rPr>
      </w:pPr>
    </w:p>
    <w:p w14:paraId="4AC8D0C8" w14:textId="77777777" w:rsidR="002D3ABA" w:rsidRDefault="002D3ABA" w:rsidP="002D3ABA">
      <w:pPr>
        <w:spacing w:after="160" w:line="240" w:lineRule="auto"/>
        <w:jc w:val="left"/>
        <w:rPr>
          <w:rFonts w:eastAsia="Times New Roman" w:cs="Arial"/>
          <w:b/>
          <w:bCs/>
          <w:color w:val="000000"/>
          <w:szCs w:val="24"/>
        </w:rPr>
      </w:pPr>
    </w:p>
    <w:p w14:paraId="14FE5B9B" w14:textId="77777777" w:rsidR="002D3ABA" w:rsidRDefault="002D3ABA" w:rsidP="002D3ABA">
      <w:pPr>
        <w:spacing w:after="160" w:line="240" w:lineRule="auto"/>
        <w:jc w:val="left"/>
        <w:rPr>
          <w:rFonts w:eastAsia="Times New Roman" w:cs="Arial"/>
          <w:b/>
          <w:bCs/>
          <w:color w:val="000000"/>
          <w:szCs w:val="24"/>
        </w:rPr>
      </w:pPr>
    </w:p>
    <w:p w14:paraId="7D0CFFB4" w14:textId="77777777" w:rsidR="002D3ABA" w:rsidRPr="00484241" w:rsidRDefault="002D3ABA" w:rsidP="002D3ABA">
      <w:pPr>
        <w:spacing w:after="160" w:line="240" w:lineRule="auto"/>
        <w:jc w:val="left"/>
        <w:rPr>
          <w:rFonts w:ascii="Times New Roman" w:eastAsia="Times New Roman" w:hAnsi="Times New Roman" w:cs="Times New Roman"/>
          <w:szCs w:val="24"/>
        </w:rPr>
      </w:pPr>
      <w:r w:rsidRPr="00484241">
        <w:rPr>
          <w:rFonts w:eastAsia="Times New Roman" w:cs="Arial"/>
          <w:b/>
          <w:bCs/>
          <w:color w:val="000000"/>
          <w:szCs w:val="24"/>
        </w:rPr>
        <w:t>Al Acknowledgement</w:t>
      </w:r>
      <w:r w:rsidRPr="00484241">
        <w:rPr>
          <w:rFonts w:ascii="Aptos" w:eastAsia="Times New Roman" w:hAnsi="Aptos" w:cs="Times New Roman"/>
          <w:b/>
          <w:bCs/>
          <w:color w:val="000000"/>
          <w:sz w:val="22"/>
        </w:rPr>
        <w:t>:</w:t>
      </w:r>
    </w:p>
    <w:p w14:paraId="76BA97A5" w14:textId="77777777" w:rsidR="002D3ABA" w:rsidRPr="00484241" w:rsidRDefault="002D3ABA" w:rsidP="002D3ABA">
      <w:pPr>
        <w:spacing w:after="160" w:line="240" w:lineRule="auto"/>
        <w:rPr>
          <w:rFonts w:ascii="Times New Roman" w:eastAsia="Times New Roman" w:hAnsi="Times New Roman" w:cs="Times New Roman"/>
          <w:szCs w:val="24"/>
        </w:rPr>
      </w:pPr>
      <w:r w:rsidRPr="00484241">
        <w:rPr>
          <w:rFonts w:eastAsia="Times New Roman" w:cs="Arial"/>
          <w:color w:val="000000"/>
          <w:szCs w:val="24"/>
        </w:rPr>
        <w:t xml:space="preserve">I acknowledge the use of Copilot (https://copilot.microsoft.com/) on </w:t>
      </w:r>
      <w:r>
        <w:rPr>
          <w:rFonts w:eastAsia="Times New Roman" w:cs="Arial"/>
          <w:color w:val="000000"/>
          <w:szCs w:val="24"/>
        </w:rPr>
        <w:t>12 November</w:t>
      </w:r>
      <w:r w:rsidRPr="00484241">
        <w:rPr>
          <w:rFonts w:eastAsia="Times New Roman" w:cs="Arial"/>
          <w:color w:val="000000"/>
          <w:szCs w:val="24"/>
        </w:rPr>
        <w:t xml:space="preserve"> 2025 to check my work using the prompt(s):</w:t>
      </w:r>
    </w:p>
    <w:p w14:paraId="6F588D80" w14:textId="77777777" w:rsidR="002D3ABA" w:rsidRPr="00484241" w:rsidRDefault="002D3ABA" w:rsidP="002D3ABA">
      <w:pPr>
        <w:spacing w:after="160" w:line="240" w:lineRule="auto"/>
        <w:rPr>
          <w:rFonts w:ascii="Times New Roman" w:eastAsia="Times New Roman" w:hAnsi="Times New Roman" w:cs="Times New Roman"/>
          <w:szCs w:val="24"/>
        </w:rPr>
      </w:pPr>
      <w:r w:rsidRPr="00484241">
        <w:rPr>
          <w:rFonts w:eastAsia="Times New Roman" w:cs="Arial"/>
          <w:color w:val="000000"/>
          <w:szCs w:val="24"/>
        </w:rPr>
        <w:t> 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p>
    <w:p w14:paraId="5DAA5FAB" w14:textId="77777777" w:rsidR="002D3ABA" w:rsidRDefault="002D3ABA" w:rsidP="002D3ABA"/>
    <w:p w14:paraId="77EA66F5" w14:textId="77777777" w:rsidR="002D3ABA" w:rsidRDefault="002D3ABA" w:rsidP="002D3ABA"/>
    <w:p w14:paraId="27CC6049" w14:textId="77777777" w:rsidR="002D3ABA" w:rsidRPr="002D3ABA" w:rsidRDefault="002D3ABA" w:rsidP="002D3ABA"/>
    <w:sdt>
      <w:sdtPr>
        <w:rPr>
          <w:rFonts w:ascii="Arial" w:eastAsiaTheme="minorHAnsi" w:hAnsi="Arial" w:cstheme="minorBidi"/>
          <w:b w:val="0"/>
          <w:bCs w:val="0"/>
          <w:color w:val="auto"/>
          <w:sz w:val="24"/>
          <w:szCs w:val="22"/>
          <w:lang w:eastAsia="en-US"/>
        </w:rPr>
        <w:id w:val="119117921"/>
        <w:docPartObj>
          <w:docPartGallery w:val="Table of Contents"/>
          <w:docPartUnique/>
        </w:docPartObj>
      </w:sdtPr>
      <w:sdtEndPr>
        <w:rPr>
          <w:noProof/>
        </w:rPr>
      </w:sdtEndPr>
      <w:sdtContent>
        <w:p w14:paraId="796DC007" w14:textId="41F1727F" w:rsidR="00CA0572" w:rsidRDefault="00CA0572">
          <w:pPr>
            <w:pStyle w:val="TOCHeading"/>
          </w:pPr>
          <w:r>
            <w:t>Table of Contents</w:t>
          </w:r>
        </w:p>
        <w:p w14:paraId="026CD7B0" w14:textId="77777777" w:rsidR="00CA0572" w:rsidRDefault="00CA0572">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13394557" w:history="1">
            <w:r w:rsidRPr="008F21EF">
              <w:rPr>
                <w:rStyle w:val="Hyperlink"/>
                <w:noProof/>
              </w:rPr>
              <w:t>Introduction</w:t>
            </w:r>
            <w:r>
              <w:rPr>
                <w:noProof/>
                <w:webHidden/>
              </w:rPr>
              <w:tab/>
            </w:r>
            <w:r>
              <w:rPr>
                <w:noProof/>
                <w:webHidden/>
              </w:rPr>
              <w:fldChar w:fldCharType="begin"/>
            </w:r>
            <w:r>
              <w:rPr>
                <w:noProof/>
                <w:webHidden/>
              </w:rPr>
              <w:instrText xml:space="preserve"> PAGEREF _Toc213394557 \h </w:instrText>
            </w:r>
            <w:r>
              <w:rPr>
                <w:noProof/>
                <w:webHidden/>
              </w:rPr>
            </w:r>
            <w:r>
              <w:rPr>
                <w:noProof/>
                <w:webHidden/>
              </w:rPr>
              <w:fldChar w:fldCharType="separate"/>
            </w:r>
            <w:r>
              <w:rPr>
                <w:noProof/>
                <w:webHidden/>
              </w:rPr>
              <w:t>3</w:t>
            </w:r>
            <w:r>
              <w:rPr>
                <w:noProof/>
                <w:webHidden/>
              </w:rPr>
              <w:fldChar w:fldCharType="end"/>
            </w:r>
          </w:hyperlink>
        </w:p>
        <w:p w14:paraId="249B3A41" w14:textId="77777777" w:rsidR="00CA0572" w:rsidRDefault="00CA0572">
          <w:pPr>
            <w:pStyle w:val="TOC1"/>
            <w:tabs>
              <w:tab w:val="right" w:leader="dot" w:pos="9350"/>
            </w:tabs>
            <w:rPr>
              <w:rFonts w:asciiTheme="minorHAnsi" w:eastAsiaTheme="minorEastAsia" w:hAnsiTheme="minorHAnsi"/>
              <w:noProof/>
              <w:sz w:val="22"/>
            </w:rPr>
          </w:pPr>
          <w:hyperlink w:anchor="_Toc213394558" w:history="1">
            <w:r w:rsidRPr="008F21EF">
              <w:rPr>
                <w:rStyle w:val="Hyperlink"/>
                <w:noProof/>
              </w:rPr>
              <w:t>Description</w:t>
            </w:r>
            <w:r>
              <w:rPr>
                <w:noProof/>
                <w:webHidden/>
              </w:rPr>
              <w:tab/>
            </w:r>
            <w:r>
              <w:rPr>
                <w:noProof/>
                <w:webHidden/>
              </w:rPr>
              <w:fldChar w:fldCharType="begin"/>
            </w:r>
            <w:r>
              <w:rPr>
                <w:noProof/>
                <w:webHidden/>
              </w:rPr>
              <w:instrText xml:space="preserve"> PAGEREF _Toc213394558 \h </w:instrText>
            </w:r>
            <w:r>
              <w:rPr>
                <w:noProof/>
                <w:webHidden/>
              </w:rPr>
            </w:r>
            <w:r>
              <w:rPr>
                <w:noProof/>
                <w:webHidden/>
              </w:rPr>
              <w:fldChar w:fldCharType="separate"/>
            </w:r>
            <w:r>
              <w:rPr>
                <w:noProof/>
                <w:webHidden/>
              </w:rPr>
              <w:t>4</w:t>
            </w:r>
            <w:r>
              <w:rPr>
                <w:noProof/>
                <w:webHidden/>
              </w:rPr>
              <w:fldChar w:fldCharType="end"/>
            </w:r>
          </w:hyperlink>
        </w:p>
        <w:p w14:paraId="721695BF" w14:textId="77777777" w:rsidR="00CA0572" w:rsidRDefault="00CA0572">
          <w:pPr>
            <w:pStyle w:val="TOC1"/>
            <w:tabs>
              <w:tab w:val="right" w:leader="dot" w:pos="9350"/>
            </w:tabs>
            <w:rPr>
              <w:rFonts w:asciiTheme="minorHAnsi" w:eastAsiaTheme="minorEastAsia" w:hAnsiTheme="minorHAnsi"/>
              <w:noProof/>
              <w:sz w:val="22"/>
            </w:rPr>
          </w:pPr>
          <w:hyperlink w:anchor="_Toc213394559" w:history="1">
            <w:r w:rsidRPr="008F21EF">
              <w:rPr>
                <w:rStyle w:val="Hyperlink"/>
                <w:noProof/>
              </w:rPr>
              <w:t>Feelings</w:t>
            </w:r>
            <w:r>
              <w:rPr>
                <w:noProof/>
                <w:webHidden/>
              </w:rPr>
              <w:tab/>
            </w:r>
            <w:r>
              <w:rPr>
                <w:noProof/>
                <w:webHidden/>
              </w:rPr>
              <w:fldChar w:fldCharType="begin"/>
            </w:r>
            <w:r>
              <w:rPr>
                <w:noProof/>
                <w:webHidden/>
              </w:rPr>
              <w:instrText xml:space="preserve"> PAGEREF _Toc213394559 \h </w:instrText>
            </w:r>
            <w:r>
              <w:rPr>
                <w:noProof/>
                <w:webHidden/>
              </w:rPr>
            </w:r>
            <w:r>
              <w:rPr>
                <w:noProof/>
                <w:webHidden/>
              </w:rPr>
              <w:fldChar w:fldCharType="separate"/>
            </w:r>
            <w:r>
              <w:rPr>
                <w:noProof/>
                <w:webHidden/>
              </w:rPr>
              <w:t>5</w:t>
            </w:r>
            <w:r>
              <w:rPr>
                <w:noProof/>
                <w:webHidden/>
              </w:rPr>
              <w:fldChar w:fldCharType="end"/>
            </w:r>
          </w:hyperlink>
        </w:p>
        <w:p w14:paraId="677BB1D3" w14:textId="77777777" w:rsidR="00CA0572" w:rsidRDefault="00CA0572">
          <w:pPr>
            <w:pStyle w:val="TOC1"/>
            <w:tabs>
              <w:tab w:val="right" w:leader="dot" w:pos="9350"/>
            </w:tabs>
            <w:rPr>
              <w:rFonts w:asciiTheme="minorHAnsi" w:eastAsiaTheme="minorEastAsia" w:hAnsiTheme="minorHAnsi"/>
              <w:noProof/>
              <w:sz w:val="22"/>
            </w:rPr>
          </w:pPr>
          <w:hyperlink w:anchor="_Toc213394560" w:history="1">
            <w:r w:rsidRPr="008F21EF">
              <w:rPr>
                <w:rStyle w:val="Hyperlink"/>
                <w:noProof/>
              </w:rPr>
              <w:t>Evaluation</w:t>
            </w:r>
            <w:r>
              <w:rPr>
                <w:noProof/>
                <w:webHidden/>
              </w:rPr>
              <w:tab/>
            </w:r>
            <w:r>
              <w:rPr>
                <w:noProof/>
                <w:webHidden/>
              </w:rPr>
              <w:fldChar w:fldCharType="begin"/>
            </w:r>
            <w:r>
              <w:rPr>
                <w:noProof/>
                <w:webHidden/>
              </w:rPr>
              <w:instrText xml:space="preserve"> PAGEREF _Toc213394560 \h </w:instrText>
            </w:r>
            <w:r>
              <w:rPr>
                <w:noProof/>
                <w:webHidden/>
              </w:rPr>
            </w:r>
            <w:r>
              <w:rPr>
                <w:noProof/>
                <w:webHidden/>
              </w:rPr>
              <w:fldChar w:fldCharType="separate"/>
            </w:r>
            <w:r>
              <w:rPr>
                <w:noProof/>
                <w:webHidden/>
              </w:rPr>
              <w:t>6</w:t>
            </w:r>
            <w:r>
              <w:rPr>
                <w:noProof/>
                <w:webHidden/>
              </w:rPr>
              <w:fldChar w:fldCharType="end"/>
            </w:r>
          </w:hyperlink>
        </w:p>
        <w:p w14:paraId="0F61EC02" w14:textId="77777777" w:rsidR="00CA0572" w:rsidRDefault="00CA0572">
          <w:pPr>
            <w:pStyle w:val="TOC1"/>
            <w:tabs>
              <w:tab w:val="right" w:leader="dot" w:pos="9350"/>
            </w:tabs>
            <w:rPr>
              <w:rFonts w:asciiTheme="minorHAnsi" w:eastAsiaTheme="minorEastAsia" w:hAnsiTheme="minorHAnsi"/>
              <w:noProof/>
              <w:sz w:val="22"/>
            </w:rPr>
          </w:pPr>
          <w:hyperlink w:anchor="_Toc213394561" w:history="1">
            <w:r w:rsidRPr="008F21EF">
              <w:rPr>
                <w:rStyle w:val="Hyperlink"/>
                <w:noProof/>
              </w:rPr>
              <w:t>Analysis</w:t>
            </w:r>
            <w:r>
              <w:rPr>
                <w:noProof/>
                <w:webHidden/>
              </w:rPr>
              <w:tab/>
            </w:r>
            <w:r>
              <w:rPr>
                <w:noProof/>
                <w:webHidden/>
              </w:rPr>
              <w:fldChar w:fldCharType="begin"/>
            </w:r>
            <w:r>
              <w:rPr>
                <w:noProof/>
                <w:webHidden/>
              </w:rPr>
              <w:instrText xml:space="preserve"> PAGEREF _Toc213394561 \h </w:instrText>
            </w:r>
            <w:r>
              <w:rPr>
                <w:noProof/>
                <w:webHidden/>
              </w:rPr>
            </w:r>
            <w:r>
              <w:rPr>
                <w:noProof/>
                <w:webHidden/>
              </w:rPr>
              <w:fldChar w:fldCharType="separate"/>
            </w:r>
            <w:r>
              <w:rPr>
                <w:noProof/>
                <w:webHidden/>
              </w:rPr>
              <w:t>7</w:t>
            </w:r>
            <w:r>
              <w:rPr>
                <w:noProof/>
                <w:webHidden/>
              </w:rPr>
              <w:fldChar w:fldCharType="end"/>
            </w:r>
          </w:hyperlink>
        </w:p>
        <w:p w14:paraId="3AA7C1F9" w14:textId="77777777" w:rsidR="00CA0572" w:rsidRDefault="00CA0572">
          <w:pPr>
            <w:pStyle w:val="TOC1"/>
            <w:tabs>
              <w:tab w:val="right" w:leader="dot" w:pos="9350"/>
            </w:tabs>
            <w:rPr>
              <w:rFonts w:asciiTheme="minorHAnsi" w:eastAsiaTheme="minorEastAsia" w:hAnsiTheme="minorHAnsi"/>
              <w:noProof/>
              <w:sz w:val="22"/>
            </w:rPr>
          </w:pPr>
          <w:hyperlink w:anchor="_Toc213394562" w:history="1">
            <w:r w:rsidRPr="008F21EF">
              <w:rPr>
                <w:rStyle w:val="Hyperlink"/>
                <w:noProof/>
              </w:rPr>
              <w:t>Action Plan</w:t>
            </w:r>
            <w:r>
              <w:rPr>
                <w:noProof/>
                <w:webHidden/>
              </w:rPr>
              <w:tab/>
            </w:r>
            <w:r>
              <w:rPr>
                <w:noProof/>
                <w:webHidden/>
              </w:rPr>
              <w:fldChar w:fldCharType="begin"/>
            </w:r>
            <w:r>
              <w:rPr>
                <w:noProof/>
                <w:webHidden/>
              </w:rPr>
              <w:instrText xml:space="preserve"> PAGEREF _Toc213394562 \h </w:instrText>
            </w:r>
            <w:r>
              <w:rPr>
                <w:noProof/>
                <w:webHidden/>
              </w:rPr>
            </w:r>
            <w:r>
              <w:rPr>
                <w:noProof/>
                <w:webHidden/>
              </w:rPr>
              <w:fldChar w:fldCharType="separate"/>
            </w:r>
            <w:r>
              <w:rPr>
                <w:noProof/>
                <w:webHidden/>
              </w:rPr>
              <w:t>8</w:t>
            </w:r>
            <w:r>
              <w:rPr>
                <w:noProof/>
                <w:webHidden/>
              </w:rPr>
              <w:fldChar w:fldCharType="end"/>
            </w:r>
          </w:hyperlink>
        </w:p>
        <w:p w14:paraId="50C93E9B" w14:textId="77777777" w:rsidR="00CA0572" w:rsidRDefault="00CA0572">
          <w:pPr>
            <w:pStyle w:val="TOC1"/>
            <w:tabs>
              <w:tab w:val="right" w:leader="dot" w:pos="9350"/>
            </w:tabs>
            <w:rPr>
              <w:rFonts w:asciiTheme="minorHAnsi" w:eastAsiaTheme="minorEastAsia" w:hAnsiTheme="minorHAnsi"/>
              <w:noProof/>
              <w:sz w:val="22"/>
            </w:rPr>
          </w:pPr>
          <w:hyperlink w:anchor="_Toc213394563" w:history="1">
            <w:r w:rsidRPr="008F21EF">
              <w:rPr>
                <w:rStyle w:val="Hyperlink"/>
                <w:noProof/>
              </w:rPr>
              <w:t>References</w:t>
            </w:r>
            <w:r>
              <w:rPr>
                <w:noProof/>
                <w:webHidden/>
              </w:rPr>
              <w:tab/>
            </w:r>
            <w:r>
              <w:rPr>
                <w:noProof/>
                <w:webHidden/>
              </w:rPr>
              <w:fldChar w:fldCharType="begin"/>
            </w:r>
            <w:r>
              <w:rPr>
                <w:noProof/>
                <w:webHidden/>
              </w:rPr>
              <w:instrText xml:space="preserve"> PAGEREF _Toc213394563 \h </w:instrText>
            </w:r>
            <w:r>
              <w:rPr>
                <w:noProof/>
                <w:webHidden/>
              </w:rPr>
            </w:r>
            <w:r>
              <w:rPr>
                <w:noProof/>
                <w:webHidden/>
              </w:rPr>
              <w:fldChar w:fldCharType="separate"/>
            </w:r>
            <w:r>
              <w:rPr>
                <w:noProof/>
                <w:webHidden/>
              </w:rPr>
              <w:t>10</w:t>
            </w:r>
            <w:r>
              <w:rPr>
                <w:noProof/>
                <w:webHidden/>
              </w:rPr>
              <w:fldChar w:fldCharType="end"/>
            </w:r>
          </w:hyperlink>
        </w:p>
        <w:p w14:paraId="53738F48" w14:textId="13F0CF25" w:rsidR="00CA0572" w:rsidRDefault="00CA0572">
          <w:pPr>
            <w:pStyle w:val="TOC1"/>
            <w:tabs>
              <w:tab w:val="right" w:leader="dot" w:pos="9350"/>
            </w:tabs>
            <w:rPr>
              <w:rFonts w:asciiTheme="minorHAnsi" w:eastAsiaTheme="minorEastAsia" w:hAnsiTheme="minorHAnsi"/>
              <w:noProof/>
              <w:sz w:val="22"/>
            </w:rPr>
          </w:pPr>
          <w:hyperlink w:anchor="_Toc213394564" w:history="1">
            <w:r w:rsidRPr="008F21EF">
              <w:rPr>
                <w:rStyle w:val="Hyperlink"/>
                <w:noProof/>
              </w:rPr>
              <w:t>Appendix: White</w:t>
            </w:r>
            <w:r w:rsidR="00DE06E0">
              <w:rPr>
                <w:rStyle w:val="Hyperlink"/>
                <w:noProof/>
              </w:rPr>
              <w:t>h</w:t>
            </w:r>
            <w:r w:rsidRPr="008F21EF">
              <w:rPr>
                <w:rStyle w:val="Hyperlink"/>
                <w:noProof/>
              </w:rPr>
              <w:t>o</w:t>
            </w:r>
            <w:r w:rsidRPr="008F21EF">
              <w:rPr>
                <w:rStyle w:val="Hyperlink"/>
                <w:noProof/>
              </w:rPr>
              <w:t>use Wine-tastic Selections</w:t>
            </w:r>
            <w:r>
              <w:rPr>
                <w:noProof/>
                <w:webHidden/>
              </w:rPr>
              <w:tab/>
            </w:r>
            <w:r>
              <w:rPr>
                <w:noProof/>
                <w:webHidden/>
              </w:rPr>
              <w:fldChar w:fldCharType="begin"/>
            </w:r>
            <w:r>
              <w:rPr>
                <w:noProof/>
                <w:webHidden/>
              </w:rPr>
              <w:instrText xml:space="preserve"> PAGEREF _Toc213394564 \h </w:instrText>
            </w:r>
            <w:r>
              <w:rPr>
                <w:noProof/>
                <w:webHidden/>
              </w:rPr>
            </w:r>
            <w:r>
              <w:rPr>
                <w:noProof/>
                <w:webHidden/>
              </w:rPr>
              <w:fldChar w:fldCharType="separate"/>
            </w:r>
            <w:r>
              <w:rPr>
                <w:noProof/>
                <w:webHidden/>
              </w:rPr>
              <w:t>12</w:t>
            </w:r>
            <w:r>
              <w:rPr>
                <w:noProof/>
                <w:webHidden/>
              </w:rPr>
              <w:fldChar w:fldCharType="end"/>
            </w:r>
          </w:hyperlink>
        </w:p>
        <w:p w14:paraId="134CA83B" w14:textId="77777777" w:rsidR="00CA0572" w:rsidRDefault="00CA0572">
          <w:r>
            <w:rPr>
              <w:b/>
              <w:bCs/>
              <w:noProof/>
            </w:rPr>
            <w:fldChar w:fldCharType="end"/>
          </w:r>
        </w:p>
      </w:sdtContent>
    </w:sdt>
    <w:p w14:paraId="7EDEA88F" w14:textId="77777777" w:rsidR="00B91DBE" w:rsidRDefault="00B91DBE">
      <w:pPr>
        <w:spacing w:line="276" w:lineRule="auto"/>
        <w:jc w:val="left"/>
        <w:rPr>
          <w:rFonts w:eastAsiaTheme="majorEastAsia" w:cstheme="majorBidi"/>
          <w:b/>
          <w:bCs/>
          <w:color w:val="365F91" w:themeColor="accent1" w:themeShade="BF"/>
          <w:sz w:val="32"/>
          <w:szCs w:val="28"/>
        </w:rPr>
      </w:pPr>
    </w:p>
    <w:p w14:paraId="3EF580F1" w14:textId="77777777" w:rsidR="00B91DBE" w:rsidRDefault="00B91DBE" w:rsidP="003F7F31">
      <w:pPr>
        <w:pStyle w:val="Heading1"/>
        <w:sectPr w:rsidR="00B91DBE">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p>
    <w:p w14:paraId="6B60754A" w14:textId="77777777" w:rsidR="00D87084" w:rsidRDefault="00470D10" w:rsidP="003F7F31">
      <w:pPr>
        <w:pStyle w:val="Heading1"/>
      </w:pPr>
      <w:bookmarkStart w:id="0" w:name="_Toc213394557"/>
      <w:r>
        <w:lastRenderedPageBreak/>
        <w:t>Introduction</w:t>
      </w:r>
      <w:bookmarkEnd w:id="0"/>
    </w:p>
    <w:p w14:paraId="6E808C9E" w14:textId="77777777" w:rsidR="003F7F31" w:rsidRDefault="00D87084" w:rsidP="00D87084">
      <w:r w:rsidRPr="00D87084">
        <w:t>Throughout my Front Office and housekeeping coordination placements in Level 6 at Novotel Sheffield, the administrative accuracy, flow of communication and interdepartmental alignment were directly related to the guest experience. I was working on updating room statuses, assisting with the work of the reception and observing the flow of information within teams in peak periods. One of the recurrent administrative problems was that the communication between departments was not always consistent, resulting in delays, redundant work and staff demotivation. This reflection critically examines how administrative procedures influenced service reliability and employee involvement, utilising Gibbs Reflective Cycle (1988) based on my Level 5 module Management and Organisational Behaviour to assess leadership, workflow design and decision-making.</w:t>
      </w:r>
    </w:p>
    <w:p w14:paraId="549F8973" w14:textId="77777777" w:rsidR="00C715A9" w:rsidRDefault="00470D10" w:rsidP="0036259D">
      <w:pPr>
        <w:keepNext/>
        <w:jc w:val="center"/>
      </w:pPr>
      <w:r>
        <w:rPr>
          <w:noProof/>
        </w:rPr>
        <w:drawing>
          <wp:inline distT="0" distB="0" distL="0" distR="0" wp14:anchorId="1C6D62E1" wp14:editId="2B7702AB">
            <wp:extent cx="3276600" cy="2402840"/>
            <wp:effectExtent l="0" t="0" r="0" b="0"/>
            <wp:docPr id="1"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Gibbs Reflective Cycle"/>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3293517" cy="2415246"/>
                    </a:xfrm>
                    <a:prstGeom prst="rect">
                      <a:avLst/>
                    </a:prstGeom>
                    <a:noFill/>
                    <a:ln>
                      <a:noFill/>
                    </a:ln>
                  </pic:spPr>
                </pic:pic>
              </a:graphicData>
            </a:graphic>
          </wp:inline>
        </w:drawing>
      </w:r>
    </w:p>
    <w:p w14:paraId="0768EAF4" w14:textId="77777777" w:rsidR="003F7F31" w:rsidRDefault="00470D10" w:rsidP="0036259D">
      <w:pPr>
        <w:pStyle w:val="Caption"/>
        <w:jc w:val="center"/>
      </w:pPr>
      <w:r>
        <w:t xml:space="preserve">Figure </w:t>
      </w:r>
      <w:fldSimple w:instr=" SEQ Figure \* ARABIC ">
        <w:r>
          <w:rPr>
            <w:noProof/>
          </w:rPr>
          <w:t>1</w:t>
        </w:r>
      </w:fldSimple>
      <w:r w:rsidR="0036259D">
        <w:t xml:space="preserve">: </w:t>
      </w:r>
      <w:r w:rsidR="0036259D" w:rsidRPr="0036259D">
        <w:t xml:space="preserve">The Gibbs Reflective Cycle </w:t>
      </w:r>
      <w:r w:rsidRPr="00C715A9">
        <w:t>(</w:t>
      </w:r>
      <w:proofErr w:type="spellStart"/>
      <w:r w:rsidRPr="00C715A9">
        <w:t>Nurlatifah</w:t>
      </w:r>
      <w:proofErr w:type="spellEnd"/>
      <w:r w:rsidRPr="00C715A9">
        <w:t xml:space="preserve"> et al., 2023)</w:t>
      </w:r>
    </w:p>
    <w:p w14:paraId="5F0A54E0" w14:textId="77777777" w:rsidR="003F7F31" w:rsidRDefault="00470D10">
      <w:r>
        <w:br w:type="page"/>
      </w:r>
    </w:p>
    <w:p w14:paraId="2A670518" w14:textId="77777777" w:rsidR="003F7F31" w:rsidRDefault="00470D10" w:rsidP="003F7F31">
      <w:pPr>
        <w:pStyle w:val="Heading1"/>
      </w:pPr>
      <w:bookmarkStart w:id="1" w:name="_Toc213394558"/>
      <w:r>
        <w:lastRenderedPageBreak/>
        <w:t>Description</w:t>
      </w:r>
      <w:bookmarkEnd w:id="1"/>
      <w:r>
        <w:t xml:space="preserve"> </w:t>
      </w:r>
    </w:p>
    <w:p w14:paraId="4D3B3CE4" w14:textId="7EF4DC7C" w:rsidR="003F7F31" w:rsidRDefault="00D87084" w:rsidP="00B215C3">
      <w:r w:rsidRPr="00D87084">
        <w:t>My Level 6 placement experience at The White</w:t>
      </w:r>
      <w:r w:rsidR="009E3325">
        <w:t>h</w:t>
      </w:r>
      <w:r w:rsidRPr="00D87084">
        <w:t>ouse, Worcester, saw me complete two significant Food and Beverage projects. The former consisted of the creation of Wine-</w:t>
      </w:r>
      <w:proofErr w:type="spellStart"/>
      <w:r w:rsidRPr="00D87084">
        <w:t>tastic</w:t>
      </w:r>
      <w:proofErr w:type="spellEnd"/>
      <w:r w:rsidRPr="00D87084">
        <w:t xml:space="preserve"> Selections, a </w:t>
      </w:r>
      <w:proofErr w:type="spellStart"/>
      <w:r w:rsidRPr="00D87084">
        <w:t>modernised</w:t>
      </w:r>
      <w:proofErr w:type="spellEnd"/>
      <w:r w:rsidRPr="00D87084">
        <w:t xml:space="preserve"> wine menu that would expand the appeal of guests and </w:t>
      </w:r>
      <w:proofErr w:type="spellStart"/>
      <w:r w:rsidRPr="00D87084">
        <w:t>maximise</w:t>
      </w:r>
      <w:proofErr w:type="spellEnd"/>
      <w:r w:rsidRPr="00D87084">
        <w:t xml:space="preserve"> profits. This involved market research, communication and marginal analysis with suppliers. The second project aimed at the development of a competitive wedding buffet package to enhance the booking of events and total F&amp;B revenue. I was able to collect client feedback, benchmark competitor products and present recommendations to the management. The two projects required the use of creativity, inter-departmental cooperation and implementation of administrative and marketing skills acquired in the previous modules. But they succeeded mostly on the basis of organisational communication and alignment of leadership, which proved to be the most important weaknesses later on in the process.</w:t>
      </w:r>
      <w:r w:rsidR="002634FD">
        <w:br w:type="page"/>
      </w:r>
    </w:p>
    <w:p w14:paraId="749BC221" w14:textId="77777777" w:rsidR="003F7F31" w:rsidRDefault="00470D10" w:rsidP="003F7F31">
      <w:pPr>
        <w:pStyle w:val="Heading1"/>
      </w:pPr>
      <w:bookmarkStart w:id="2" w:name="_Toc213394559"/>
      <w:r>
        <w:lastRenderedPageBreak/>
        <w:t>Feelings</w:t>
      </w:r>
      <w:bookmarkEnd w:id="2"/>
      <w:r>
        <w:t xml:space="preserve"> </w:t>
      </w:r>
    </w:p>
    <w:p w14:paraId="16735AE3" w14:textId="77777777" w:rsidR="00D87084" w:rsidRDefault="00D87084" w:rsidP="00D87084">
      <w:pPr>
        <w:rPr>
          <w:b/>
          <w:bCs/>
        </w:rPr>
      </w:pPr>
      <w:r w:rsidRPr="00D87084">
        <w:t xml:space="preserve">The beginning of my placement was both exciting and nervous, especially when coming to the design of a realistic wine menu, which would correspond with the brand identity of the hotel. The Level 4 experience at Delta by Marriott, Bristol City Centre, made me more confident in my administrative work, organisation of guests and attention to detail, which was necessary to cope with the situation almost instantly. Although my creativity was initially valued by the management, frustration arose when some members of the team opposed change. As Fang (2023) clarifies, a lack of recognition lowers motivation, which is also true in my case. Equally, Wood (2013) brings out the unclear organisational structures to bring an issue to job satisfaction. These emotions were converted into professional development, which builds my resiliency and long-term career development through regular self-reflection as suggested by </w:t>
      </w:r>
      <w:proofErr w:type="spellStart"/>
      <w:r w:rsidRPr="00D87084">
        <w:t>Felce</w:t>
      </w:r>
      <w:proofErr w:type="spellEnd"/>
      <w:r w:rsidRPr="00D87084">
        <w:t xml:space="preserve"> (2019).</w:t>
      </w:r>
    </w:p>
    <w:p w14:paraId="62726358" w14:textId="77777777" w:rsidR="00D87084" w:rsidRDefault="00D87084">
      <w:pPr>
        <w:spacing w:line="276" w:lineRule="auto"/>
        <w:jc w:val="left"/>
      </w:pPr>
      <w:r>
        <w:rPr>
          <w:b/>
          <w:bCs/>
        </w:rPr>
        <w:br w:type="page"/>
      </w:r>
    </w:p>
    <w:p w14:paraId="595A1F9A" w14:textId="77777777" w:rsidR="003F7F31" w:rsidRDefault="00470D10" w:rsidP="003F7F31">
      <w:pPr>
        <w:pStyle w:val="Heading1"/>
      </w:pPr>
      <w:bookmarkStart w:id="3" w:name="_Toc213394560"/>
      <w:r>
        <w:lastRenderedPageBreak/>
        <w:t>Evaluation</w:t>
      </w:r>
      <w:bookmarkEnd w:id="3"/>
      <w:r>
        <w:t xml:space="preserve"> </w:t>
      </w:r>
    </w:p>
    <w:p w14:paraId="717B41B7" w14:textId="457E3398" w:rsidR="003D4C32" w:rsidRDefault="00D87084" w:rsidP="00D87084">
      <w:r w:rsidRPr="00D87084">
        <w:t>My internship at the White</w:t>
      </w:r>
      <w:r w:rsidR="009E3325">
        <w:t>h</w:t>
      </w:r>
      <w:r w:rsidRPr="00D87084">
        <w:t>ouse provided good growth prospects. I enhanced my time management skills, enhanced my skills to communicate with guests and gained confidence in dealing with people when in a stressful situation. The Level 6 experience, compared to my Level 4 experience at Delta by Marriott, which was initially more operations-oriented, i.e., involved primarily guest-facing work, entailed strategic thinking and innovation and testifies to the fact that an operational assistant is now a reflective practitioner who can make a difference. Manager assistance reflected the mentorship concept supported by Hagg (2013) in the development of self-awareness. These positives were, however, overshadowed by organisational weaknesses. F&amp;B sales lacked communication with each other, which led to misalignment in operations and dissatisfaction among guests. The lack of consistency in the information led to a violation of SERVQUAL dimensions of Reliability and Assurance (</w:t>
      </w:r>
      <w:proofErr w:type="spellStart"/>
      <w:r w:rsidRPr="00D87084">
        <w:t>Sugiarto</w:t>
      </w:r>
      <w:proofErr w:type="spellEnd"/>
      <w:r w:rsidRPr="00D87084">
        <w:t xml:space="preserve"> and Octaviana, 2021). The LC of Kolb (1984) demonstrated that the absence of reflective phases resulted in the recurrence of inefficiencies. Cross-functional cooperation is the key to stable service quality, as Johnston et al. (2012) observe.</w:t>
      </w:r>
      <w:r w:rsidR="00DC08F5" w:rsidRPr="00DC08F5">
        <w:t xml:space="preserve"> Moreover, this experience helped to support the fact that administrative reliability is not only a performance of an individual but also a capability of the organisation to implement interconnected stable systems. The Level 5 Management and Organisational Behaviour module highlighted the inevitability of conflict and inefficiency in scenarios where roles are not clearly defined and structured communication is not well established, which were trends that I could personally witness in F&amp;B and sales. The absence of explicit ownership of guest information transfer indicated that even the inspired staff was unable to deliver any consistent results, showing that operational excellence is a structural, rather than individual, endeavour.</w:t>
      </w:r>
    </w:p>
    <w:p w14:paraId="20950377" w14:textId="77777777" w:rsidR="00DF2AAB" w:rsidRDefault="00DF2AAB">
      <w:pPr>
        <w:spacing w:line="276" w:lineRule="auto"/>
        <w:jc w:val="left"/>
        <w:rPr>
          <w:rFonts w:eastAsiaTheme="majorEastAsia" w:cstheme="majorBidi"/>
          <w:b/>
          <w:bCs/>
          <w:color w:val="365F91" w:themeColor="accent1" w:themeShade="BF"/>
          <w:sz w:val="32"/>
          <w:szCs w:val="28"/>
        </w:rPr>
      </w:pPr>
      <w:r>
        <w:br w:type="page"/>
      </w:r>
    </w:p>
    <w:p w14:paraId="0FB2BAFC" w14:textId="77777777" w:rsidR="006A4388" w:rsidRDefault="00470D10" w:rsidP="006A4388">
      <w:pPr>
        <w:pStyle w:val="Heading1"/>
      </w:pPr>
      <w:bookmarkStart w:id="4" w:name="_Toc213394561"/>
      <w:r>
        <w:lastRenderedPageBreak/>
        <w:t>Analysis</w:t>
      </w:r>
      <w:bookmarkEnd w:id="4"/>
      <w:r>
        <w:t xml:space="preserve"> </w:t>
      </w:r>
    </w:p>
    <w:p w14:paraId="56BC055A" w14:textId="73E9A896" w:rsidR="00DF2AAB" w:rsidRDefault="00DF2AAB" w:rsidP="00DF2AAB">
      <w:r>
        <w:t xml:space="preserve">In this case, the importance of the communication systems, leadership behaviours and motivational structures to the administration performance in the hotel operations was brought into the limelight. According to Dean and Sykes (2020), placements increase the professional competence of the students when the critical association with the industry standards is made, which can be seen here. The processes that relate the departments based on timely information flow and recognition structures are the key to administrative effectiveness. Following the principles of Service Operations Management, Johnston, Clark, and </w:t>
      </w:r>
      <w:proofErr w:type="spellStart"/>
      <w:r>
        <w:t>Shulver</w:t>
      </w:r>
      <w:proofErr w:type="spellEnd"/>
      <w:r>
        <w:t xml:space="preserve"> (2012) note that front-stage reliability can be obtained only in the case when the coordination in the back office is flawless. A service gap at The White</w:t>
      </w:r>
      <w:r w:rsidR="009E3325">
        <w:t>h</w:t>
      </w:r>
      <w:r>
        <w:t>ouse appeared due to the housekeeping update not being aligned with the front-office information, which resulted in reactive rather than proactive guest service.</w:t>
      </w:r>
    </w:p>
    <w:p w14:paraId="06262331" w14:textId="77777777" w:rsidR="00DF2AAB" w:rsidRPr="00DF2AAB" w:rsidRDefault="00DF2AAB" w:rsidP="00DF2AAB">
      <w:r>
        <w:t xml:space="preserve">Performance was also undermined by motivation issues. The Expectancy Theory, developed by Vroom, states that the motivation of the staff declines when the efforts are not associated with any significant results or rewards (Khairul Amali et al., 2023). Psychological fatigue was caused by employees who overworked or tried to rectify mistakes and were not rewarded. This can be understood with the help of Tuckman's Team Development Model since the Front Office and Housekeeping teams were in the storming stage, and they were unable to achieve clarity in roles and common goals (Wei et al., 2023). The organisation was also unable to convert the experience into organised learning. Experience Learning Cycle (1984) by Kolb </w:t>
      </w:r>
      <w:proofErr w:type="spellStart"/>
      <w:r>
        <w:t>emphasises</w:t>
      </w:r>
      <w:proofErr w:type="spellEnd"/>
      <w:r>
        <w:t xml:space="preserve"> that reflection and experimentation are necessary to avoid making the same mistakes (Nurunnabi et al., 2022). There was no regular revisiting of the issues, and even though the team was faced with issues frequently, the problems recurred. The administrative systems are the nervous system of the hotel, as Vallen and Vallen (2014) and Bardi (2010) refer to; any failure in time or misalignment in the chain causes a delay at any point, and the whole process is interrupted. Finally, the structural level was the source: operational excellence needs the integration of technology, good communication and empowered leadership to maintain a similar experience of guests.</w:t>
      </w:r>
    </w:p>
    <w:p w14:paraId="0020CBF2" w14:textId="77777777" w:rsidR="006A4388" w:rsidRDefault="00470D10" w:rsidP="006A4388">
      <w:pPr>
        <w:pStyle w:val="Heading1"/>
      </w:pPr>
      <w:bookmarkStart w:id="5" w:name="_Toc213394562"/>
      <w:r>
        <w:lastRenderedPageBreak/>
        <w:t>Action Plan</w:t>
      </w:r>
      <w:bookmarkEnd w:id="5"/>
    </w:p>
    <w:p w14:paraId="053CBEC9" w14:textId="77777777" w:rsidR="006A4388" w:rsidRDefault="00470D10" w:rsidP="006A4388">
      <w:r w:rsidRPr="006A4388">
        <w:t xml:space="preserve">Reflective insights are </w:t>
      </w:r>
      <w:proofErr w:type="spellStart"/>
      <w:r w:rsidRPr="006A4388">
        <w:t>operationalised</w:t>
      </w:r>
      <w:proofErr w:type="spellEnd"/>
      <w:r w:rsidRPr="006A4388">
        <w:t xml:space="preserve"> in the action plan, translating communication issues into operational performance strategies. It entails integrating a sense of responsibility, feedback and coordination between departments, through service blueprinting, as well as the motivational framework created by Vroom. The systematic enhancement will not be abstract, but practical, enhancing efficiency, morale among employees, and customer satisfaction in actual administrative settings.</w:t>
      </w:r>
    </w:p>
    <w:tbl>
      <w:tblPr>
        <w:tblStyle w:val="LightGrid-Accent5"/>
        <w:tblW w:w="0" w:type="auto"/>
        <w:tblLook w:val="04A0" w:firstRow="1" w:lastRow="0" w:firstColumn="1" w:lastColumn="0" w:noHBand="0" w:noVBand="1"/>
      </w:tblPr>
      <w:tblGrid>
        <w:gridCol w:w="1841"/>
        <w:gridCol w:w="3252"/>
        <w:gridCol w:w="1234"/>
        <w:gridCol w:w="3249"/>
      </w:tblGrid>
      <w:tr w:rsidR="00832851" w:rsidRPr="00832851" w14:paraId="15D58B00" w14:textId="77777777" w:rsidTr="008328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6FDD85" w14:textId="77777777" w:rsidR="00832851" w:rsidRPr="00832851" w:rsidRDefault="00832851" w:rsidP="00832851">
            <w:pPr>
              <w:spacing w:after="200"/>
            </w:pPr>
            <w:r w:rsidRPr="00832851">
              <w:t>Action</w:t>
            </w:r>
          </w:p>
        </w:tc>
        <w:tc>
          <w:tcPr>
            <w:tcW w:w="0" w:type="auto"/>
            <w:hideMark/>
          </w:tcPr>
          <w:p w14:paraId="0C91F785" w14:textId="77777777" w:rsidR="00832851" w:rsidRPr="00832851" w:rsidRDefault="00832851" w:rsidP="00832851">
            <w:pPr>
              <w:spacing w:after="200"/>
              <w:cnfStyle w:val="100000000000" w:firstRow="1" w:lastRow="0" w:firstColumn="0" w:lastColumn="0" w:oddVBand="0" w:evenVBand="0" w:oddHBand="0" w:evenHBand="0" w:firstRowFirstColumn="0" w:firstRowLastColumn="0" w:lastRowFirstColumn="0" w:lastRowLastColumn="0"/>
            </w:pPr>
            <w:r w:rsidRPr="00832851">
              <w:t>Steps &amp; Rationale</w:t>
            </w:r>
          </w:p>
        </w:tc>
        <w:tc>
          <w:tcPr>
            <w:tcW w:w="0" w:type="auto"/>
            <w:hideMark/>
          </w:tcPr>
          <w:p w14:paraId="56D15F75" w14:textId="77777777" w:rsidR="00832851" w:rsidRPr="00832851" w:rsidRDefault="00832851" w:rsidP="00832851">
            <w:pPr>
              <w:spacing w:after="200"/>
              <w:cnfStyle w:val="100000000000" w:firstRow="1" w:lastRow="0" w:firstColumn="0" w:lastColumn="0" w:oddVBand="0" w:evenVBand="0" w:oddHBand="0" w:evenHBand="0" w:firstRowFirstColumn="0" w:firstRowLastColumn="0" w:lastRowFirstColumn="0" w:lastRowLastColumn="0"/>
            </w:pPr>
            <w:r w:rsidRPr="00832851">
              <w:t>Timeline</w:t>
            </w:r>
          </w:p>
        </w:tc>
        <w:tc>
          <w:tcPr>
            <w:tcW w:w="0" w:type="auto"/>
            <w:hideMark/>
          </w:tcPr>
          <w:p w14:paraId="3947E2D3" w14:textId="77777777" w:rsidR="00832851" w:rsidRPr="00832851" w:rsidRDefault="00832851" w:rsidP="00832851">
            <w:pPr>
              <w:spacing w:after="200"/>
              <w:cnfStyle w:val="100000000000" w:firstRow="1" w:lastRow="0" w:firstColumn="0" w:lastColumn="0" w:oddVBand="0" w:evenVBand="0" w:oddHBand="0" w:evenHBand="0" w:firstRowFirstColumn="0" w:firstRowLastColumn="0" w:lastRowFirstColumn="0" w:lastRowLastColumn="0"/>
            </w:pPr>
            <w:r w:rsidRPr="00832851">
              <w:t>Industry Best Practice &amp; KPIs</w:t>
            </w:r>
          </w:p>
        </w:tc>
      </w:tr>
      <w:tr w:rsidR="00832851" w:rsidRPr="00832851" w14:paraId="335AF916" w14:textId="77777777" w:rsidTr="008328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424A61" w14:textId="77777777" w:rsidR="00832851" w:rsidRPr="00832851" w:rsidRDefault="00832851" w:rsidP="00832851">
            <w:pPr>
              <w:spacing w:after="200"/>
            </w:pPr>
            <w:r w:rsidRPr="00832851">
              <w:t>1. Daily Admin Huddles</w:t>
            </w:r>
          </w:p>
        </w:tc>
        <w:tc>
          <w:tcPr>
            <w:tcW w:w="0" w:type="auto"/>
            <w:hideMark/>
          </w:tcPr>
          <w:p w14:paraId="562C3ABC" w14:textId="77777777" w:rsidR="00832851" w:rsidRPr="00832851" w:rsidRDefault="00832851" w:rsidP="00832851">
            <w:pPr>
              <w:spacing w:after="200"/>
              <w:cnfStyle w:val="000000100000" w:firstRow="0" w:lastRow="0" w:firstColumn="0" w:lastColumn="0" w:oddVBand="0" w:evenVBand="0" w:oddHBand="1" w:evenHBand="0" w:firstRowFirstColumn="0" w:firstRowLastColumn="0" w:lastRowFirstColumn="0" w:lastRowLastColumn="0"/>
            </w:pPr>
            <w:r w:rsidRPr="00832851">
              <w:t>Introduce 5-minute FO–Housekeeping huddles to confirm room status, priorities, and updates. Improves communication flow and reduces reactive decision-making.</w:t>
            </w:r>
          </w:p>
        </w:tc>
        <w:tc>
          <w:tcPr>
            <w:tcW w:w="0" w:type="auto"/>
            <w:hideMark/>
          </w:tcPr>
          <w:p w14:paraId="79D633C8" w14:textId="77777777" w:rsidR="00832851" w:rsidRPr="00832851" w:rsidRDefault="00832851" w:rsidP="00832851">
            <w:pPr>
              <w:spacing w:after="200"/>
              <w:cnfStyle w:val="000000100000" w:firstRow="0" w:lastRow="0" w:firstColumn="0" w:lastColumn="0" w:oddVBand="0" w:evenVBand="0" w:oddHBand="1" w:evenHBand="0" w:firstRowFirstColumn="0" w:firstRowLastColumn="0" w:lastRowFirstColumn="0" w:lastRowLastColumn="0"/>
            </w:pPr>
            <w:r w:rsidRPr="00832851">
              <w:t>Within 1 week</w:t>
            </w:r>
          </w:p>
        </w:tc>
        <w:tc>
          <w:tcPr>
            <w:tcW w:w="0" w:type="auto"/>
            <w:hideMark/>
          </w:tcPr>
          <w:p w14:paraId="298D78AB" w14:textId="77777777" w:rsidR="00832851" w:rsidRPr="00832851" w:rsidRDefault="00832851" w:rsidP="00832851">
            <w:pPr>
              <w:spacing w:after="200"/>
              <w:cnfStyle w:val="000000100000" w:firstRow="0" w:lastRow="0" w:firstColumn="0" w:lastColumn="0" w:oddVBand="0" w:evenVBand="0" w:oddHBand="1" w:evenHBand="0" w:firstRowFirstColumn="0" w:firstRowLastColumn="0" w:lastRowFirstColumn="0" w:lastRowLastColumn="0"/>
            </w:pPr>
            <w:r w:rsidRPr="00832851">
              <w:t xml:space="preserve">Used in Marriott &amp; Accor hotels to </w:t>
            </w:r>
            <w:proofErr w:type="spellStart"/>
            <w:r w:rsidRPr="00832851">
              <w:t>synchronise</w:t>
            </w:r>
            <w:proofErr w:type="spellEnd"/>
            <w:r w:rsidRPr="00832851">
              <w:t xml:space="preserve"> departments. </w:t>
            </w:r>
            <w:r w:rsidRPr="00832851">
              <w:rPr>
                <w:b/>
                <w:bCs/>
              </w:rPr>
              <w:t>KPIs:</w:t>
            </w:r>
            <w:r w:rsidRPr="00832851">
              <w:t xml:space="preserve"> &lt;5 room-status discrepancies/day; faster check-in readiness.</w:t>
            </w:r>
          </w:p>
        </w:tc>
      </w:tr>
      <w:tr w:rsidR="00832851" w:rsidRPr="00832851" w14:paraId="107178D0" w14:textId="77777777" w:rsidTr="0083285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1286FA" w14:textId="77777777" w:rsidR="00832851" w:rsidRPr="00832851" w:rsidRDefault="00832851" w:rsidP="00832851">
            <w:pPr>
              <w:spacing w:after="200"/>
            </w:pPr>
            <w:r w:rsidRPr="00832851">
              <w:t>2. Shared Digital Dashboard</w:t>
            </w:r>
          </w:p>
        </w:tc>
        <w:tc>
          <w:tcPr>
            <w:tcW w:w="0" w:type="auto"/>
            <w:hideMark/>
          </w:tcPr>
          <w:p w14:paraId="15D0F153" w14:textId="77777777" w:rsidR="00832851" w:rsidRPr="00832851" w:rsidRDefault="00832851" w:rsidP="00832851">
            <w:pPr>
              <w:spacing w:after="200"/>
              <w:cnfStyle w:val="000000010000" w:firstRow="0" w:lastRow="0" w:firstColumn="0" w:lastColumn="0" w:oddVBand="0" w:evenVBand="0" w:oddHBand="0" w:evenHBand="1" w:firstRowFirstColumn="0" w:firstRowLastColumn="0" w:lastRowFirstColumn="0" w:lastRowLastColumn="0"/>
            </w:pPr>
            <w:r w:rsidRPr="00832851">
              <w:t>Implement a simple shared dashboard (Teams/Sheets) showing live housekeeping progress, maintenance notes and early check-in requests.</w:t>
            </w:r>
          </w:p>
        </w:tc>
        <w:tc>
          <w:tcPr>
            <w:tcW w:w="0" w:type="auto"/>
            <w:hideMark/>
          </w:tcPr>
          <w:p w14:paraId="0BC6C217" w14:textId="77777777" w:rsidR="00832851" w:rsidRPr="00832851" w:rsidRDefault="00832851" w:rsidP="00832851">
            <w:pPr>
              <w:spacing w:after="200"/>
              <w:cnfStyle w:val="000000010000" w:firstRow="0" w:lastRow="0" w:firstColumn="0" w:lastColumn="0" w:oddVBand="0" w:evenVBand="0" w:oddHBand="0" w:evenHBand="1" w:firstRowFirstColumn="0" w:firstRowLastColumn="0" w:lastRowFirstColumn="0" w:lastRowLastColumn="0"/>
            </w:pPr>
            <w:r w:rsidRPr="00832851">
              <w:t>2–3 weeks</w:t>
            </w:r>
          </w:p>
        </w:tc>
        <w:tc>
          <w:tcPr>
            <w:tcW w:w="0" w:type="auto"/>
            <w:hideMark/>
          </w:tcPr>
          <w:p w14:paraId="6310A406" w14:textId="77777777" w:rsidR="00832851" w:rsidRPr="00832851" w:rsidRDefault="00832851" w:rsidP="00832851">
            <w:pPr>
              <w:spacing w:after="200"/>
              <w:cnfStyle w:val="000000010000" w:firstRow="0" w:lastRow="0" w:firstColumn="0" w:lastColumn="0" w:oddVBand="0" w:evenVBand="0" w:oddHBand="0" w:evenHBand="1" w:firstRowFirstColumn="0" w:firstRowLastColumn="0" w:lastRowFirstColumn="0" w:lastRowLastColumn="0"/>
            </w:pPr>
            <w:r w:rsidRPr="00832851">
              <w:t xml:space="preserve">Reflects industry digital integration standards. </w:t>
            </w:r>
            <w:r w:rsidRPr="00832851">
              <w:rPr>
                <w:b/>
                <w:bCs/>
              </w:rPr>
              <w:t>KPIs:</w:t>
            </w:r>
            <w:r w:rsidRPr="00832851">
              <w:t xml:space="preserve"> 20% reduction in miscommunication; smoother FO–HK coordination.</w:t>
            </w:r>
          </w:p>
        </w:tc>
      </w:tr>
      <w:tr w:rsidR="00832851" w:rsidRPr="00832851" w14:paraId="0C82BCB3" w14:textId="77777777" w:rsidTr="008328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3475FD" w14:textId="77777777" w:rsidR="00832851" w:rsidRPr="00832851" w:rsidRDefault="00832851" w:rsidP="00832851">
            <w:pPr>
              <w:spacing w:after="200"/>
            </w:pPr>
            <w:r w:rsidRPr="00832851">
              <w:t>3. Structured Feedback Loop</w:t>
            </w:r>
          </w:p>
        </w:tc>
        <w:tc>
          <w:tcPr>
            <w:tcW w:w="0" w:type="auto"/>
            <w:hideMark/>
          </w:tcPr>
          <w:p w14:paraId="339F4E1E" w14:textId="77777777" w:rsidR="00832851" w:rsidRPr="00832851" w:rsidRDefault="00832851" w:rsidP="00832851">
            <w:pPr>
              <w:spacing w:after="200"/>
              <w:cnfStyle w:val="000000100000" w:firstRow="0" w:lastRow="0" w:firstColumn="0" w:lastColumn="0" w:oddVBand="0" w:evenVBand="0" w:oddHBand="1" w:evenHBand="0" w:firstRowFirstColumn="0" w:firstRowLastColumn="0" w:lastRowFirstColumn="0" w:lastRowLastColumn="0"/>
            </w:pPr>
            <w:r w:rsidRPr="00832851">
              <w:t>Introduce end-of-shift 2-minute feedback to identify issues and log recurring problems for weekly review.</w:t>
            </w:r>
          </w:p>
        </w:tc>
        <w:tc>
          <w:tcPr>
            <w:tcW w:w="0" w:type="auto"/>
            <w:hideMark/>
          </w:tcPr>
          <w:p w14:paraId="01849B43" w14:textId="77777777" w:rsidR="00832851" w:rsidRPr="00832851" w:rsidRDefault="00832851" w:rsidP="00832851">
            <w:pPr>
              <w:spacing w:after="200"/>
              <w:cnfStyle w:val="000000100000" w:firstRow="0" w:lastRow="0" w:firstColumn="0" w:lastColumn="0" w:oddVBand="0" w:evenVBand="0" w:oddHBand="1" w:evenHBand="0" w:firstRowFirstColumn="0" w:firstRowLastColumn="0" w:lastRowFirstColumn="0" w:lastRowLastColumn="0"/>
            </w:pPr>
            <w:r w:rsidRPr="00832851">
              <w:t>From week 3</w:t>
            </w:r>
          </w:p>
        </w:tc>
        <w:tc>
          <w:tcPr>
            <w:tcW w:w="0" w:type="auto"/>
            <w:hideMark/>
          </w:tcPr>
          <w:p w14:paraId="5744FBF5" w14:textId="77777777" w:rsidR="00832851" w:rsidRPr="00832851" w:rsidRDefault="00832851" w:rsidP="00832851">
            <w:pPr>
              <w:spacing w:after="200"/>
              <w:cnfStyle w:val="000000100000" w:firstRow="0" w:lastRow="0" w:firstColumn="0" w:lastColumn="0" w:oddVBand="0" w:evenVBand="0" w:oddHBand="1" w:evenHBand="0" w:firstRowFirstColumn="0" w:firstRowLastColumn="0" w:lastRowFirstColumn="0" w:lastRowLastColumn="0"/>
            </w:pPr>
            <w:r w:rsidRPr="00832851">
              <w:t xml:space="preserve">Supports Kolb’s learning cycle. </w:t>
            </w:r>
            <w:r w:rsidRPr="00832851">
              <w:rPr>
                <w:b/>
                <w:bCs/>
              </w:rPr>
              <w:t>KPIs:</w:t>
            </w:r>
            <w:r w:rsidRPr="00832851">
              <w:t xml:space="preserve"> Fewer repeated errors; improved clarity in next-day planning.</w:t>
            </w:r>
          </w:p>
        </w:tc>
      </w:tr>
      <w:tr w:rsidR="00832851" w:rsidRPr="00832851" w14:paraId="4976CD3B" w14:textId="77777777" w:rsidTr="0083285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8DE40A" w14:textId="77777777" w:rsidR="00832851" w:rsidRPr="00832851" w:rsidRDefault="00832851" w:rsidP="00832851">
            <w:pPr>
              <w:spacing w:after="200"/>
            </w:pPr>
            <w:r w:rsidRPr="00832851">
              <w:t xml:space="preserve">4. Recognition </w:t>
            </w:r>
            <w:r w:rsidRPr="00832851">
              <w:lastRenderedPageBreak/>
              <w:t>&amp; Delegation Training</w:t>
            </w:r>
          </w:p>
        </w:tc>
        <w:tc>
          <w:tcPr>
            <w:tcW w:w="0" w:type="auto"/>
            <w:hideMark/>
          </w:tcPr>
          <w:p w14:paraId="74721245" w14:textId="77777777" w:rsidR="00832851" w:rsidRPr="00832851" w:rsidRDefault="00832851" w:rsidP="00832851">
            <w:pPr>
              <w:spacing w:after="200"/>
              <w:cnfStyle w:val="000000010000" w:firstRow="0" w:lastRow="0" w:firstColumn="0" w:lastColumn="0" w:oddVBand="0" w:evenVBand="0" w:oddHBand="0" w:evenHBand="1" w:firstRowFirstColumn="0" w:firstRowLastColumn="0" w:lastRowFirstColumn="0" w:lastRowLastColumn="0"/>
            </w:pPr>
            <w:r w:rsidRPr="00832851">
              <w:lastRenderedPageBreak/>
              <w:t xml:space="preserve">Provide supervisors with short training on recognition, </w:t>
            </w:r>
            <w:r w:rsidRPr="00832851">
              <w:lastRenderedPageBreak/>
              <w:t>task allocation and motivation principles.</w:t>
            </w:r>
          </w:p>
        </w:tc>
        <w:tc>
          <w:tcPr>
            <w:tcW w:w="0" w:type="auto"/>
            <w:hideMark/>
          </w:tcPr>
          <w:p w14:paraId="5733DB93" w14:textId="77777777" w:rsidR="00832851" w:rsidRPr="00832851" w:rsidRDefault="00832851" w:rsidP="00832851">
            <w:pPr>
              <w:spacing w:after="200"/>
              <w:cnfStyle w:val="000000010000" w:firstRow="0" w:lastRow="0" w:firstColumn="0" w:lastColumn="0" w:oddVBand="0" w:evenVBand="0" w:oddHBand="0" w:evenHBand="1" w:firstRowFirstColumn="0" w:firstRowLastColumn="0" w:lastRowFirstColumn="0" w:lastRowLastColumn="0"/>
            </w:pPr>
            <w:r w:rsidRPr="00832851">
              <w:lastRenderedPageBreak/>
              <w:t>1 month</w:t>
            </w:r>
          </w:p>
        </w:tc>
        <w:tc>
          <w:tcPr>
            <w:tcW w:w="0" w:type="auto"/>
            <w:hideMark/>
          </w:tcPr>
          <w:p w14:paraId="7B7B6FA3" w14:textId="77777777" w:rsidR="00832851" w:rsidRPr="00832851" w:rsidRDefault="00832851" w:rsidP="00832851">
            <w:pPr>
              <w:spacing w:after="200"/>
              <w:cnfStyle w:val="000000010000" w:firstRow="0" w:lastRow="0" w:firstColumn="0" w:lastColumn="0" w:oddVBand="0" w:evenVBand="0" w:oddHBand="0" w:evenHBand="1" w:firstRowFirstColumn="0" w:firstRowLastColumn="0" w:lastRowFirstColumn="0" w:lastRowLastColumn="0"/>
            </w:pPr>
            <w:r w:rsidRPr="00832851">
              <w:t xml:space="preserve">Aligns with Herzberg/Vroom. </w:t>
            </w:r>
            <w:r w:rsidRPr="00832851">
              <w:rPr>
                <w:b/>
                <w:bCs/>
              </w:rPr>
              <w:t>KPIs:</w:t>
            </w:r>
            <w:r w:rsidRPr="00832851">
              <w:t xml:space="preserve"> </w:t>
            </w:r>
            <w:r w:rsidRPr="00832851">
              <w:lastRenderedPageBreak/>
              <w:t>Increased staff engagement; reduced delays linked to low morale.</w:t>
            </w:r>
          </w:p>
        </w:tc>
      </w:tr>
    </w:tbl>
    <w:p w14:paraId="6DAC246D" w14:textId="77777777" w:rsidR="00832851" w:rsidRDefault="00832851" w:rsidP="00B91DBE">
      <w:pPr>
        <w:pStyle w:val="Heading1"/>
      </w:pPr>
    </w:p>
    <w:p w14:paraId="7FFE5B2F" w14:textId="77777777" w:rsidR="00832851" w:rsidRDefault="00832851">
      <w:pPr>
        <w:spacing w:line="276" w:lineRule="auto"/>
        <w:jc w:val="left"/>
        <w:rPr>
          <w:rFonts w:eastAsiaTheme="majorEastAsia" w:cstheme="majorBidi"/>
          <w:b/>
          <w:bCs/>
          <w:color w:val="365F91" w:themeColor="accent1" w:themeShade="BF"/>
          <w:sz w:val="32"/>
          <w:szCs w:val="28"/>
        </w:rPr>
      </w:pPr>
      <w:r>
        <w:br w:type="page"/>
      </w:r>
    </w:p>
    <w:p w14:paraId="5BFD285D" w14:textId="77777777" w:rsidR="003F7F31" w:rsidRDefault="00470D10" w:rsidP="00B91DBE">
      <w:pPr>
        <w:pStyle w:val="Heading1"/>
      </w:pPr>
      <w:bookmarkStart w:id="6" w:name="_Toc213394563"/>
      <w:r>
        <w:lastRenderedPageBreak/>
        <w:t>References</w:t>
      </w:r>
      <w:bookmarkEnd w:id="6"/>
    </w:p>
    <w:p w14:paraId="1A024F3B" w14:textId="77777777" w:rsidR="002F79A3" w:rsidRPr="002F79A3" w:rsidRDefault="00470D10" w:rsidP="002F79A3">
      <w:r w:rsidRPr="002F79A3">
        <w:rPr>
          <w:bCs/>
        </w:rPr>
        <w:t>Bardi, J. (2010)</w:t>
      </w:r>
      <w:r w:rsidRPr="002F79A3">
        <w:t xml:space="preserve"> </w:t>
      </w:r>
      <w:r w:rsidRPr="002F79A3">
        <w:rPr>
          <w:i/>
          <w:iCs/>
        </w:rPr>
        <w:t>Hotel Front Office Management</w:t>
      </w:r>
      <w:r w:rsidRPr="002F79A3">
        <w:t xml:space="preserve">. 5th </w:t>
      </w:r>
      <w:proofErr w:type="spellStart"/>
      <w:r w:rsidRPr="002F79A3">
        <w:t>edn</w:t>
      </w:r>
      <w:proofErr w:type="spellEnd"/>
      <w:r w:rsidRPr="002F79A3">
        <w:t>. London: Wiley.</w:t>
      </w:r>
    </w:p>
    <w:p w14:paraId="65A63CEF" w14:textId="77777777" w:rsidR="002F79A3" w:rsidRPr="002F79A3" w:rsidRDefault="00470D10" w:rsidP="002F79A3">
      <w:r w:rsidRPr="002F79A3">
        <w:rPr>
          <w:bCs/>
        </w:rPr>
        <w:t>Dean, B.A. and Sykes, C. (2020)</w:t>
      </w:r>
      <w:r w:rsidRPr="002F79A3">
        <w:t xml:space="preserve"> ‘How students learn on placement: transitioning placement practices in work-integrated learning’, </w:t>
      </w:r>
      <w:r w:rsidRPr="002F79A3">
        <w:rPr>
          <w:i/>
          <w:iCs/>
        </w:rPr>
        <w:t>Vocations and Learning</w:t>
      </w:r>
      <w:r w:rsidRPr="002F79A3">
        <w:t xml:space="preserve">, 14(1). Available at: </w:t>
      </w:r>
      <w:hyperlink r:id="rId16" w:tgtFrame="_new" w:history="1">
        <w:r w:rsidRPr="002F79A3">
          <w:rPr>
            <w:rStyle w:val="Hyperlink"/>
          </w:rPr>
          <w:t>https://doi.org/10.1007/s12186-020-09257-x</w:t>
        </w:r>
      </w:hyperlink>
    </w:p>
    <w:p w14:paraId="357C8700" w14:textId="77777777" w:rsidR="002F79A3" w:rsidRPr="002F79A3" w:rsidRDefault="00470D10" w:rsidP="002F79A3">
      <w:r w:rsidRPr="002F79A3">
        <w:rPr>
          <w:bCs/>
        </w:rPr>
        <w:t>Fang, J. (2023)</w:t>
      </w:r>
      <w:r w:rsidRPr="002F79A3">
        <w:t xml:space="preserve"> 'Application and limitations of the expectancy theory in organisations', </w:t>
      </w:r>
      <w:r w:rsidRPr="002F79A3">
        <w:rPr>
          <w:i/>
          <w:iCs/>
        </w:rPr>
        <w:t>Advances in Economics, Management and Political Sciences</w:t>
      </w:r>
      <w:r w:rsidRPr="002F79A3">
        <w:t xml:space="preserve">, 54(1), pp. 7–12. Available at: </w:t>
      </w:r>
      <w:hyperlink r:id="rId17" w:tgtFrame="_new" w:history="1">
        <w:r w:rsidRPr="002F79A3">
          <w:rPr>
            <w:rStyle w:val="Hyperlink"/>
          </w:rPr>
          <w:t>https://doi.org/10.54254/2754-1169/54/20230868</w:t>
        </w:r>
      </w:hyperlink>
    </w:p>
    <w:p w14:paraId="0553CD3E" w14:textId="77777777" w:rsidR="002F79A3" w:rsidRPr="002F79A3" w:rsidRDefault="00470D10" w:rsidP="002F79A3">
      <w:proofErr w:type="spellStart"/>
      <w:r w:rsidRPr="002F79A3">
        <w:rPr>
          <w:bCs/>
        </w:rPr>
        <w:t>Felce</w:t>
      </w:r>
      <w:proofErr w:type="spellEnd"/>
      <w:r w:rsidRPr="002F79A3">
        <w:rPr>
          <w:bCs/>
        </w:rPr>
        <w:t>, A. (2019)</w:t>
      </w:r>
      <w:r w:rsidRPr="002F79A3">
        <w:t xml:space="preserve"> ‘Managing the quality of higher education in apprenticeships’, </w:t>
      </w:r>
      <w:r w:rsidRPr="002F79A3">
        <w:rPr>
          <w:i/>
          <w:iCs/>
        </w:rPr>
        <w:t>Higher Education, Skills and Work-Based Learning</w:t>
      </w:r>
      <w:r w:rsidRPr="002F79A3">
        <w:t>, 9(2), pp. 141–148.</w:t>
      </w:r>
    </w:p>
    <w:p w14:paraId="7AF56683" w14:textId="77777777" w:rsidR="002F79A3" w:rsidRPr="002F79A3" w:rsidRDefault="00470D10" w:rsidP="002F79A3">
      <w:r w:rsidRPr="002F79A3">
        <w:rPr>
          <w:bCs/>
        </w:rPr>
        <w:t>Hagg, E. (2013)</w:t>
      </w:r>
      <w:r w:rsidRPr="002F79A3">
        <w:t xml:space="preserve">. </w:t>
      </w:r>
      <w:r w:rsidRPr="002F79A3">
        <w:rPr>
          <w:i/>
          <w:iCs/>
        </w:rPr>
        <w:t>Internship Guide: Work Placements Step by Step</w:t>
      </w:r>
      <w:r w:rsidRPr="002F79A3">
        <w:t>. The Hague: Eleven International Publishing.</w:t>
      </w:r>
    </w:p>
    <w:p w14:paraId="336AA920" w14:textId="77777777" w:rsidR="002F79A3" w:rsidRPr="002F79A3" w:rsidRDefault="00470D10" w:rsidP="002F79A3">
      <w:r w:rsidRPr="002F79A3">
        <w:rPr>
          <w:bCs/>
        </w:rPr>
        <w:t xml:space="preserve">Johnston, R., Clark, G. and </w:t>
      </w:r>
      <w:proofErr w:type="spellStart"/>
      <w:r w:rsidRPr="002F79A3">
        <w:rPr>
          <w:bCs/>
        </w:rPr>
        <w:t>Shulver</w:t>
      </w:r>
      <w:proofErr w:type="spellEnd"/>
      <w:r w:rsidRPr="002F79A3">
        <w:rPr>
          <w:bCs/>
        </w:rPr>
        <w:t>, M. (2012)</w:t>
      </w:r>
      <w:r w:rsidRPr="002F79A3">
        <w:t xml:space="preserve"> </w:t>
      </w:r>
      <w:r w:rsidRPr="002F79A3">
        <w:rPr>
          <w:i/>
          <w:iCs/>
        </w:rPr>
        <w:t>Service Operations Management: Improving Service Delivery</w:t>
      </w:r>
      <w:r w:rsidRPr="002F79A3">
        <w:t xml:space="preserve">. 5th </w:t>
      </w:r>
      <w:proofErr w:type="spellStart"/>
      <w:r w:rsidRPr="002F79A3">
        <w:t>edn</w:t>
      </w:r>
      <w:proofErr w:type="spellEnd"/>
      <w:r w:rsidRPr="002F79A3">
        <w:t>. London: Pearson Education.</w:t>
      </w:r>
    </w:p>
    <w:p w14:paraId="1DE6FBEE" w14:textId="77777777" w:rsidR="002F79A3" w:rsidRDefault="00470D10" w:rsidP="002F79A3">
      <w:r w:rsidRPr="002F79A3">
        <w:rPr>
          <w:bCs/>
        </w:rPr>
        <w:t xml:space="preserve">Khairul Amali, N.A., Seng, H.Z., Rahmat, N.H., Che Mustafa, N. and </w:t>
      </w:r>
      <w:proofErr w:type="spellStart"/>
      <w:r w:rsidRPr="002F79A3">
        <w:rPr>
          <w:bCs/>
        </w:rPr>
        <w:t>Wahyuny</w:t>
      </w:r>
      <w:proofErr w:type="spellEnd"/>
      <w:r w:rsidRPr="002F79A3">
        <w:rPr>
          <w:bCs/>
        </w:rPr>
        <w:t xml:space="preserve"> Ibrahim, I. (2023)</w:t>
      </w:r>
      <w:r w:rsidRPr="002F79A3">
        <w:t xml:space="preserve"> ‘An investigation of learners’ motivational drive to learn foreign language: a look at Vroom’s expectancy theory’, </w:t>
      </w:r>
      <w:r w:rsidRPr="002F79A3">
        <w:rPr>
          <w:i/>
          <w:iCs/>
        </w:rPr>
        <w:t>International Journal of Academic Research in Business and Social Sciences</w:t>
      </w:r>
      <w:r w:rsidRPr="002F79A3">
        <w:t xml:space="preserve">, 13(3). Available at: </w:t>
      </w:r>
      <w:hyperlink r:id="rId18" w:tgtFrame="_new" w:history="1">
        <w:r w:rsidRPr="002F79A3">
          <w:rPr>
            <w:rStyle w:val="Hyperlink"/>
          </w:rPr>
          <w:t>https://doi.org/10.6007/ijarbss/v13-i3/16493</w:t>
        </w:r>
      </w:hyperlink>
    </w:p>
    <w:p w14:paraId="415BA1FE" w14:textId="77777777" w:rsidR="002F79A3" w:rsidRPr="00B91DBE" w:rsidRDefault="00470D10" w:rsidP="002F79A3">
      <w:proofErr w:type="spellStart"/>
      <w:r w:rsidRPr="00B91DBE">
        <w:rPr>
          <w:bCs/>
        </w:rPr>
        <w:t>Nurlatifah</w:t>
      </w:r>
      <w:proofErr w:type="spellEnd"/>
      <w:r w:rsidRPr="00B91DBE">
        <w:rPr>
          <w:bCs/>
        </w:rPr>
        <w:t xml:space="preserve">, L., </w:t>
      </w:r>
      <w:proofErr w:type="spellStart"/>
      <w:r w:rsidRPr="00B91DBE">
        <w:rPr>
          <w:bCs/>
        </w:rPr>
        <w:t>Purnawarman</w:t>
      </w:r>
      <w:proofErr w:type="spellEnd"/>
      <w:r w:rsidRPr="00B91DBE">
        <w:rPr>
          <w:bCs/>
        </w:rPr>
        <w:t xml:space="preserve">, P. and </w:t>
      </w:r>
      <w:proofErr w:type="spellStart"/>
      <w:r w:rsidRPr="00B91DBE">
        <w:rPr>
          <w:bCs/>
        </w:rPr>
        <w:t>Sukyadi</w:t>
      </w:r>
      <w:proofErr w:type="spellEnd"/>
      <w:r w:rsidRPr="00B91DBE">
        <w:rPr>
          <w:bCs/>
        </w:rPr>
        <w:t>, D. (2023)</w:t>
      </w:r>
      <w:r w:rsidRPr="00B91DBE">
        <w:t xml:space="preserve"> ‘The implementation of reflective assessment using Gibbs’ reflective cycle in assessing students’ writing skill’, </w:t>
      </w:r>
      <w:r w:rsidRPr="00B91DBE">
        <w:rPr>
          <w:i/>
          <w:iCs/>
        </w:rPr>
        <w:t>Nucleation and Atmospheric Aerosols</w:t>
      </w:r>
      <w:r w:rsidRPr="00B91DBE">
        <w:t xml:space="preserve">, 2621(1). Available at: </w:t>
      </w:r>
      <w:hyperlink r:id="rId19" w:tgtFrame="_new" w:history="1">
        <w:r w:rsidRPr="00B91DBE">
          <w:rPr>
            <w:rStyle w:val="Hyperlink"/>
          </w:rPr>
          <w:t>https://doi.org/10.1063/5.0143375</w:t>
        </w:r>
      </w:hyperlink>
    </w:p>
    <w:p w14:paraId="73626084" w14:textId="77777777" w:rsidR="002F79A3" w:rsidRPr="002F79A3" w:rsidRDefault="00470D10" w:rsidP="002F79A3">
      <w:r w:rsidRPr="002F79A3">
        <w:rPr>
          <w:bCs/>
        </w:rPr>
        <w:t>Nurunnabi, A.S.M., Rahim, R., Alo, D., Mamun, A.A., Kaiser, A.M., Mohammad, T. and Sultana, F. (2022)</w:t>
      </w:r>
      <w:r w:rsidRPr="002F79A3">
        <w:t xml:space="preserve"> 'Experiential learning in clinical education guided by Kolb's experiential learning theory', </w:t>
      </w:r>
      <w:r w:rsidRPr="002F79A3">
        <w:rPr>
          <w:i/>
          <w:iCs/>
        </w:rPr>
        <w:t>International Journal of Human and Health Sciences (IJHHS)</w:t>
      </w:r>
      <w:r w:rsidRPr="002F79A3">
        <w:t xml:space="preserve">, 6(2), p. 155. Available at: </w:t>
      </w:r>
      <w:hyperlink r:id="rId20" w:tgtFrame="_new" w:history="1">
        <w:r w:rsidRPr="002F79A3">
          <w:rPr>
            <w:rStyle w:val="Hyperlink"/>
          </w:rPr>
          <w:t>https://doi.org/10.31344/ijhhs.v6i2.438</w:t>
        </w:r>
      </w:hyperlink>
    </w:p>
    <w:p w14:paraId="201DA097" w14:textId="77777777" w:rsidR="002F79A3" w:rsidRPr="002F79A3" w:rsidRDefault="00470D10" w:rsidP="002F79A3">
      <w:proofErr w:type="spellStart"/>
      <w:r w:rsidRPr="002F79A3">
        <w:rPr>
          <w:bCs/>
        </w:rPr>
        <w:lastRenderedPageBreak/>
        <w:t>Sugiarto</w:t>
      </w:r>
      <w:proofErr w:type="spellEnd"/>
      <w:r w:rsidRPr="002F79A3">
        <w:rPr>
          <w:bCs/>
        </w:rPr>
        <w:t>, S. and Octaviana, V. (2021)</w:t>
      </w:r>
      <w:r w:rsidRPr="002F79A3">
        <w:t xml:space="preserve"> ‘Service quality (SERVQUAL) dimensions on customer satisfaction: empirical evidence from bank study’, </w:t>
      </w:r>
      <w:r w:rsidRPr="002F79A3">
        <w:rPr>
          <w:i/>
          <w:iCs/>
        </w:rPr>
        <w:t>Golden Ratio of Marketing and Applied Psychology of Business</w:t>
      </w:r>
      <w:r w:rsidRPr="002F79A3">
        <w:t xml:space="preserve">, 1(2), pp. 93–106. Available at: </w:t>
      </w:r>
      <w:hyperlink r:id="rId21" w:tgtFrame="_new" w:history="1">
        <w:r w:rsidRPr="002F79A3">
          <w:rPr>
            <w:rStyle w:val="Hyperlink"/>
          </w:rPr>
          <w:t>https://doi.org/10.52970/grmapb.v1i2.103</w:t>
        </w:r>
      </w:hyperlink>
    </w:p>
    <w:p w14:paraId="2BA68544" w14:textId="77777777" w:rsidR="002F79A3" w:rsidRPr="002F79A3" w:rsidRDefault="00470D10" w:rsidP="002F79A3">
      <w:r w:rsidRPr="002F79A3">
        <w:rPr>
          <w:bCs/>
        </w:rPr>
        <w:t>Vallen, G.K. and Vallen, J.J. (2014)</w:t>
      </w:r>
      <w:r w:rsidRPr="002F79A3">
        <w:t xml:space="preserve"> </w:t>
      </w:r>
      <w:r w:rsidRPr="002F79A3">
        <w:rPr>
          <w:i/>
          <w:iCs/>
        </w:rPr>
        <w:t>Check-In Check-Out: Managing Hotel Operations</w:t>
      </w:r>
      <w:r w:rsidRPr="002F79A3">
        <w:t xml:space="preserve">. 9th </w:t>
      </w:r>
      <w:proofErr w:type="spellStart"/>
      <w:r w:rsidRPr="002F79A3">
        <w:t>edn</w:t>
      </w:r>
      <w:proofErr w:type="spellEnd"/>
      <w:r w:rsidRPr="002F79A3">
        <w:t>. Harlow: Pearson Education.</w:t>
      </w:r>
    </w:p>
    <w:p w14:paraId="2E535553" w14:textId="77777777" w:rsidR="002F79A3" w:rsidRPr="002F79A3" w:rsidRDefault="00470D10" w:rsidP="002F79A3">
      <w:r w:rsidRPr="002F79A3">
        <w:rPr>
          <w:bCs/>
        </w:rPr>
        <w:t>Wei, S., Mehrabi, A., Tan, L. and Ohland, M.W. (2023)</w:t>
      </w:r>
      <w:r w:rsidRPr="002F79A3">
        <w:t xml:space="preserve"> ‘Revisiting Tuckman’s team development model in first-year engineering multicultural teams’, </w:t>
      </w:r>
      <w:r w:rsidRPr="002F79A3">
        <w:rPr>
          <w:i/>
          <w:iCs/>
        </w:rPr>
        <w:t>ASEE Annual Conference Proceedings</w:t>
      </w:r>
      <w:r w:rsidRPr="002F79A3">
        <w:t xml:space="preserve">. Available at: </w:t>
      </w:r>
      <w:hyperlink r:id="rId22" w:tgtFrame="_new" w:history="1">
        <w:r w:rsidRPr="002F79A3">
          <w:rPr>
            <w:rStyle w:val="Hyperlink"/>
          </w:rPr>
          <w:t>https://peer.asee.org/revisiting-tuckman-s-team-development-model-in-first-year-engineering-multicultural-teams</w:t>
        </w:r>
      </w:hyperlink>
    </w:p>
    <w:p w14:paraId="4DFD1FE7" w14:textId="77777777" w:rsidR="002F79A3" w:rsidRPr="002F79A3" w:rsidRDefault="00470D10" w:rsidP="002F79A3">
      <w:r w:rsidRPr="002F79A3">
        <w:rPr>
          <w:bCs/>
        </w:rPr>
        <w:t>Wood, R.C. (2013)</w:t>
      </w:r>
      <w:r w:rsidRPr="002F79A3">
        <w:t xml:space="preserve">. </w:t>
      </w:r>
      <w:r w:rsidRPr="002F79A3">
        <w:rPr>
          <w:i/>
          <w:iCs/>
        </w:rPr>
        <w:t>Key Concepts in Hospitality Management</w:t>
      </w:r>
      <w:r w:rsidRPr="002F79A3">
        <w:t>. London: SAGE Publications Ltd.</w:t>
      </w:r>
    </w:p>
    <w:p w14:paraId="02BDB717" w14:textId="77777777" w:rsidR="00680D5F" w:rsidRDefault="00680D5F">
      <w:pPr>
        <w:spacing w:line="276" w:lineRule="auto"/>
        <w:jc w:val="left"/>
      </w:pPr>
      <w:r>
        <w:br w:type="page"/>
      </w:r>
    </w:p>
    <w:p w14:paraId="43259C7C" w14:textId="28F71B91" w:rsidR="002F79A3" w:rsidRDefault="00680D5F" w:rsidP="00680D5F">
      <w:pPr>
        <w:pStyle w:val="Heading1"/>
      </w:pPr>
      <w:bookmarkStart w:id="7" w:name="_Toc213394564"/>
      <w:r>
        <w:lastRenderedPageBreak/>
        <w:t>Appendix</w:t>
      </w:r>
      <w:r w:rsidR="006B20E3">
        <w:t xml:space="preserve">: </w:t>
      </w:r>
      <w:r w:rsidR="006B20E3" w:rsidRPr="006B20E3">
        <w:t>White</w:t>
      </w:r>
      <w:r w:rsidR="002D3ABA">
        <w:t>h</w:t>
      </w:r>
      <w:r w:rsidR="006B20E3" w:rsidRPr="006B20E3">
        <w:t>ouse Wine-</w:t>
      </w:r>
      <w:proofErr w:type="spellStart"/>
      <w:r w:rsidR="006B20E3" w:rsidRPr="006B20E3">
        <w:t>tastic</w:t>
      </w:r>
      <w:proofErr w:type="spellEnd"/>
      <w:r w:rsidR="006B20E3" w:rsidRPr="006B20E3">
        <w:t xml:space="preserve"> Selections</w:t>
      </w:r>
      <w:bookmarkEnd w:id="7"/>
    </w:p>
    <w:p w14:paraId="14F1248F" w14:textId="65F58192" w:rsidR="00D17F2A" w:rsidRPr="00D17F2A" w:rsidRDefault="00D17F2A" w:rsidP="00D17F2A">
      <w:r>
        <w:rPr>
          <w:noProof/>
        </w:rPr>
        <w:drawing>
          <wp:anchor distT="0" distB="0" distL="114300" distR="114300" simplePos="0" relativeHeight="251659264" behindDoc="1" locked="0" layoutInCell="1" allowOverlap="1" wp14:anchorId="0FAE250D" wp14:editId="26D02FC7">
            <wp:simplePos x="0" y="0"/>
            <wp:positionH relativeFrom="column">
              <wp:posOffset>657225</wp:posOffset>
            </wp:positionH>
            <wp:positionV relativeFrom="paragraph">
              <wp:posOffset>1878330</wp:posOffset>
            </wp:positionV>
            <wp:extent cx="4648200" cy="577786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WhiteHouse ## Wine-tastic Selections_page-0001.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648200" cy="5777865"/>
                    </a:xfrm>
                    <a:prstGeom prst="rect">
                      <a:avLst/>
                    </a:prstGeom>
                  </pic:spPr>
                </pic:pic>
              </a:graphicData>
            </a:graphic>
            <wp14:sizeRelH relativeFrom="page">
              <wp14:pctWidth>0</wp14:pctWidth>
            </wp14:sizeRelH>
            <wp14:sizeRelV relativeFrom="page">
              <wp14:pctHeight>0</wp14:pctHeight>
            </wp14:sizeRelV>
          </wp:anchor>
        </w:drawing>
      </w:r>
      <w:r w:rsidRPr="00D17F2A">
        <w:t xml:space="preserve">The formulated </w:t>
      </w:r>
      <w:proofErr w:type="spellStart"/>
      <w:r w:rsidRPr="00D17F2A">
        <w:t>WhiteHouse</w:t>
      </w:r>
      <w:proofErr w:type="spellEnd"/>
      <w:r w:rsidRPr="00D17F2A">
        <w:t xml:space="preserve"> Wine-</w:t>
      </w:r>
      <w:proofErr w:type="spellStart"/>
      <w:r w:rsidRPr="00D17F2A">
        <w:t>tastic</w:t>
      </w:r>
      <w:proofErr w:type="spellEnd"/>
      <w:r w:rsidRPr="00D17F2A">
        <w:t xml:space="preserve"> Selections (2025) menu is a tangible representation of my contribution made during the placement. The creation of this artefact helped me understand marketing of F&amp;B, brand alignment, and guest-experience management better. The menu was officially accepted for operational use, and it is discussed that I should be given credit for its authorship, which was intended to demonstrate my ability to exercise practical innovation, leadership initiative, and reflective professional development.</w:t>
      </w:r>
    </w:p>
    <w:p w14:paraId="02142E76" w14:textId="77777777" w:rsidR="00F85781" w:rsidRPr="00F85781" w:rsidRDefault="00F85781" w:rsidP="00F85781"/>
    <w:sectPr w:rsidR="00F85781" w:rsidRPr="00F85781">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53535E" w14:textId="77777777" w:rsidR="00D34175" w:rsidRDefault="00D34175">
      <w:pPr>
        <w:spacing w:after="0" w:line="240" w:lineRule="auto"/>
      </w:pPr>
      <w:r>
        <w:separator/>
      </w:r>
    </w:p>
  </w:endnote>
  <w:endnote w:type="continuationSeparator" w:id="0">
    <w:p w14:paraId="63F015B7" w14:textId="77777777" w:rsidR="00D34175" w:rsidRDefault="00D341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99CA4C" w14:textId="77777777" w:rsidR="0043086A" w:rsidRDefault="004308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77B781" w14:textId="77777777" w:rsidR="0043086A" w:rsidRDefault="004308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DF829D" w14:textId="77777777" w:rsidR="0043086A" w:rsidRDefault="0043086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247783"/>
      <w:docPartObj>
        <w:docPartGallery w:val="Page Numbers (Bottom of Page)"/>
        <w:docPartUnique/>
      </w:docPartObj>
    </w:sdtPr>
    <w:sdtEndPr>
      <w:rPr>
        <w:noProof/>
      </w:rPr>
    </w:sdtEndPr>
    <w:sdtContent>
      <w:p w14:paraId="36AE976F" w14:textId="77777777" w:rsidR="00B91DBE" w:rsidRDefault="00470D10">
        <w:pPr>
          <w:pStyle w:val="Footer"/>
        </w:pPr>
        <w:r>
          <w:fldChar w:fldCharType="begin"/>
        </w:r>
        <w:r>
          <w:instrText xml:space="preserve"> PAGE   \* MERGEFORMAT </w:instrText>
        </w:r>
        <w:r>
          <w:fldChar w:fldCharType="separate"/>
        </w:r>
        <w:r w:rsidR="00CA0572">
          <w:rPr>
            <w:noProof/>
          </w:rPr>
          <w:t>3</w:t>
        </w:r>
        <w:r>
          <w:rPr>
            <w:noProof/>
          </w:rPr>
          <w:fldChar w:fldCharType="end"/>
        </w:r>
      </w:p>
    </w:sdtContent>
  </w:sdt>
  <w:p w14:paraId="62F43FC9" w14:textId="77777777" w:rsidR="00B91DBE" w:rsidRDefault="00B91D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BD2F54" w14:textId="77777777" w:rsidR="00D34175" w:rsidRDefault="00D34175">
      <w:pPr>
        <w:spacing w:after="0" w:line="240" w:lineRule="auto"/>
      </w:pPr>
      <w:r>
        <w:separator/>
      </w:r>
    </w:p>
  </w:footnote>
  <w:footnote w:type="continuationSeparator" w:id="0">
    <w:p w14:paraId="5A26AC60" w14:textId="77777777" w:rsidR="00D34175" w:rsidRDefault="00D341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1441C5" w14:textId="77777777" w:rsidR="0043086A" w:rsidRDefault="004308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A75D27" w14:textId="77777777" w:rsidR="0043086A" w:rsidRDefault="004308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E93B0" w14:textId="77777777" w:rsidR="0043086A" w:rsidRDefault="004308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A3A59"/>
    <w:multiLevelType w:val="hybridMultilevel"/>
    <w:tmpl w:val="6BE0D1DA"/>
    <w:lvl w:ilvl="0" w:tplc="FB5C8E7E">
      <w:start w:val="1"/>
      <w:numFmt w:val="bullet"/>
      <w:lvlText w:val=""/>
      <w:lvlJc w:val="left"/>
      <w:pPr>
        <w:ind w:left="720" w:hanging="360"/>
      </w:pPr>
      <w:rPr>
        <w:rFonts w:ascii="Symbol" w:hAnsi="Symbol" w:hint="default"/>
      </w:rPr>
    </w:lvl>
    <w:lvl w:ilvl="1" w:tplc="0BECAF4C" w:tentative="1">
      <w:start w:val="1"/>
      <w:numFmt w:val="bullet"/>
      <w:lvlText w:val="o"/>
      <w:lvlJc w:val="left"/>
      <w:pPr>
        <w:ind w:left="1440" w:hanging="360"/>
      </w:pPr>
      <w:rPr>
        <w:rFonts w:ascii="Courier New" w:hAnsi="Courier New" w:cs="Courier New" w:hint="default"/>
      </w:rPr>
    </w:lvl>
    <w:lvl w:ilvl="2" w:tplc="74E4E9AA" w:tentative="1">
      <w:start w:val="1"/>
      <w:numFmt w:val="bullet"/>
      <w:lvlText w:val=""/>
      <w:lvlJc w:val="left"/>
      <w:pPr>
        <w:ind w:left="2160" w:hanging="360"/>
      </w:pPr>
      <w:rPr>
        <w:rFonts w:ascii="Wingdings" w:hAnsi="Wingdings" w:hint="default"/>
      </w:rPr>
    </w:lvl>
    <w:lvl w:ilvl="3" w:tplc="AB3CCAA8" w:tentative="1">
      <w:start w:val="1"/>
      <w:numFmt w:val="bullet"/>
      <w:lvlText w:val=""/>
      <w:lvlJc w:val="left"/>
      <w:pPr>
        <w:ind w:left="2880" w:hanging="360"/>
      </w:pPr>
      <w:rPr>
        <w:rFonts w:ascii="Symbol" w:hAnsi="Symbol" w:hint="default"/>
      </w:rPr>
    </w:lvl>
    <w:lvl w:ilvl="4" w:tplc="2A00C988" w:tentative="1">
      <w:start w:val="1"/>
      <w:numFmt w:val="bullet"/>
      <w:lvlText w:val="o"/>
      <w:lvlJc w:val="left"/>
      <w:pPr>
        <w:ind w:left="3600" w:hanging="360"/>
      </w:pPr>
      <w:rPr>
        <w:rFonts w:ascii="Courier New" w:hAnsi="Courier New" w:cs="Courier New" w:hint="default"/>
      </w:rPr>
    </w:lvl>
    <w:lvl w:ilvl="5" w:tplc="15C2F02C" w:tentative="1">
      <w:start w:val="1"/>
      <w:numFmt w:val="bullet"/>
      <w:lvlText w:val=""/>
      <w:lvlJc w:val="left"/>
      <w:pPr>
        <w:ind w:left="4320" w:hanging="360"/>
      </w:pPr>
      <w:rPr>
        <w:rFonts w:ascii="Wingdings" w:hAnsi="Wingdings" w:hint="default"/>
      </w:rPr>
    </w:lvl>
    <w:lvl w:ilvl="6" w:tplc="8F3EA238" w:tentative="1">
      <w:start w:val="1"/>
      <w:numFmt w:val="bullet"/>
      <w:lvlText w:val=""/>
      <w:lvlJc w:val="left"/>
      <w:pPr>
        <w:ind w:left="5040" w:hanging="360"/>
      </w:pPr>
      <w:rPr>
        <w:rFonts w:ascii="Symbol" w:hAnsi="Symbol" w:hint="default"/>
      </w:rPr>
    </w:lvl>
    <w:lvl w:ilvl="7" w:tplc="D04A39DC" w:tentative="1">
      <w:start w:val="1"/>
      <w:numFmt w:val="bullet"/>
      <w:lvlText w:val="o"/>
      <w:lvlJc w:val="left"/>
      <w:pPr>
        <w:ind w:left="5760" w:hanging="360"/>
      </w:pPr>
      <w:rPr>
        <w:rFonts w:ascii="Courier New" w:hAnsi="Courier New" w:cs="Courier New" w:hint="default"/>
      </w:rPr>
    </w:lvl>
    <w:lvl w:ilvl="8" w:tplc="240C515C" w:tentative="1">
      <w:start w:val="1"/>
      <w:numFmt w:val="bullet"/>
      <w:lvlText w:val=""/>
      <w:lvlJc w:val="left"/>
      <w:pPr>
        <w:ind w:left="6480" w:hanging="360"/>
      </w:pPr>
      <w:rPr>
        <w:rFonts w:ascii="Wingdings" w:hAnsi="Wingdings" w:hint="default"/>
      </w:rPr>
    </w:lvl>
  </w:abstractNum>
  <w:num w:numId="1" w16cid:durableId="17259873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F7F31"/>
    <w:rsid w:val="000D2588"/>
    <w:rsid w:val="00176C7B"/>
    <w:rsid w:val="00207E02"/>
    <w:rsid w:val="00255AD7"/>
    <w:rsid w:val="002634FD"/>
    <w:rsid w:val="002D3ABA"/>
    <w:rsid w:val="002F79A3"/>
    <w:rsid w:val="0036259D"/>
    <w:rsid w:val="003D4C32"/>
    <w:rsid w:val="003D60D3"/>
    <w:rsid w:val="003F7F31"/>
    <w:rsid w:val="0043086A"/>
    <w:rsid w:val="00451FCD"/>
    <w:rsid w:val="00470D10"/>
    <w:rsid w:val="004D6339"/>
    <w:rsid w:val="00511D80"/>
    <w:rsid w:val="00514377"/>
    <w:rsid w:val="00623706"/>
    <w:rsid w:val="00645854"/>
    <w:rsid w:val="00680D5F"/>
    <w:rsid w:val="006A4388"/>
    <w:rsid w:val="006B20E3"/>
    <w:rsid w:val="006F308D"/>
    <w:rsid w:val="00724874"/>
    <w:rsid w:val="00747133"/>
    <w:rsid w:val="007E5D83"/>
    <w:rsid w:val="008255DF"/>
    <w:rsid w:val="00832851"/>
    <w:rsid w:val="0085199F"/>
    <w:rsid w:val="0088572A"/>
    <w:rsid w:val="00912B17"/>
    <w:rsid w:val="009141DF"/>
    <w:rsid w:val="00937D30"/>
    <w:rsid w:val="009438AC"/>
    <w:rsid w:val="009E3325"/>
    <w:rsid w:val="00A05FA9"/>
    <w:rsid w:val="00B215C3"/>
    <w:rsid w:val="00B91DBE"/>
    <w:rsid w:val="00BF07F8"/>
    <w:rsid w:val="00C62EF2"/>
    <w:rsid w:val="00C63EB5"/>
    <w:rsid w:val="00C66BFF"/>
    <w:rsid w:val="00C715A9"/>
    <w:rsid w:val="00CA0572"/>
    <w:rsid w:val="00CD60E0"/>
    <w:rsid w:val="00D17F2A"/>
    <w:rsid w:val="00D24013"/>
    <w:rsid w:val="00D34175"/>
    <w:rsid w:val="00D55359"/>
    <w:rsid w:val="00D87084"/>
    <w:rsid w:val="00D9484C"/>
    <w:rsid w:val="00DC08F5"/>
    <w:rsid w:val="00DC318C"/>
    <w:rsid w:val="00DE06E0"/>
    <w:rsid w:val="00DF2AAB"/>
    <w:rsid w:val="00EB7216"/>
    <w:rsid w:val="00EB7D59"/>
    <w:rsid w:val="00F85781"/>
    <w:rsid w:val="00FA6855"/>
    <w:rsid w:val="00FE39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AE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F31"/>
    <w:pPr>
      <w:spacing w:line="360" w:lineRule="auto"/>
      <w:jc w:val="both"/>
    </w:pPr>
    <w:rPr>
      <w:rFonts w:ascii="Arial" w:hAnsi="Arial"/>
      <w:sz w:val="24"/>
    </w:rPr>
  </w:style>
  <w:style w:type="paragraph" w:styleId="Heading1">
    <w:name w:val="heading 1"/>
    <w:basedOn w:val="Normal"/>
    <w:next w:val="Normal"/>
    <w:link w:val="Heading1Char"/>
    <w:uiPriority w:val="9"/>
    <w:qFormat/>
    <w:rsid w:val="003F7F31"/>
    <w:pPr>
      <w:keepNext/>
      <w:keepLines/>
      <w:spacing w:before="480" w:after="0"/>
      <w:outlineLvl w:val="0"/>
    </w:pPr>
    <w:rPr>
      <w:rFonts w:eastAsiaTheme="majorEastAsia" w:cstheme="majorBidi"/>
      <w:b/>
      <w:bCs/>
      <w:color w:val="365F91" w:themeColor="accent1" w:themeShade="BF"/>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F31"/>
    <w:rPr>
      <w:rFonts w:ascii="Arial" w:eastAsiaTheme="majorEastAsia" w:hAnsi="Arial" w:cstheme="majorBidi"/>
      <w:b/>
      <w:bCs/>
      <w:color w:val="365F91" w:themeColor="accent1" w:themeShade="BF"/>
      <w:sz w:val="32"/>
      <w:szCs w:val="28"/>
    </w:rPr>
  </w:style>
  <w:style w:type="table" w:styleId="LightGrid-Accent5">
    <w:name w:val="Light Grid Accent 5"/>
    <w:basedOn w:val="TableNormal"/>
    <w:uiPriority w:val="62"/>
    <w:rsid w:val="006A4388"/>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BalloonText">
    <w:name w:val="Balloon Text"/>
    <w:basedOn w:val="Normal"/>
    <w:link w:val="BalloonTextChar"/>
    <w:uiPriority w:val="99"/>
    <w:semiHidden/>
    <w:unhideWhenUsed/>
    <w:rsid w:val="00C715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15A9"/>
    <w:rPr>
      <w:rFonts w:ascii="Tahoma" w:hAnsi="Tahoma" w:cs="Tahoma"/>
      <w:sz w:val="16"/>
      <w:szCs w:val="16"/>
    </w:rPr>
  </w:style>
  <w:style w:type="paragraph" w:styleId="Caption">
    <w:name w:val="caption"/>
    <w:basedOn w:val="Normal"/>
    <w:next w:val="Normal"/>
    <w:uiPriority w:val="35"/>
    <w:unhideWhenUsed/>
    <w:qFormat/>
    <w:rsid w:val="00C715A9"/>
    <w:pPr>
      <w:spacing w:line="240" w:lineRule="auto"/>
    </w:pPr>
    <w:rPr>
      <w:b/>
      <w:bCs/>
      <w:color w:val="4F81BD" w:themeColor="accent1"/>
      <w:sz w:val="18"/>
      <w:szCs w:val="18"/>
    </w:rPr>
  </w:style>
  <w:style w:type="character" w:styleId="Hyperlink">
    <w:name w:val="Hyperlink"/>
    <w:basedOn w:val="DefaultParagraphFont"/>
    <w:uiPriority w:val="99"/>
    <w:unhideWhenUsed/>
    <w:rsid w:val="002F79A3"/>
    <w:rPr>
      <w:color w:val="0000FF" w:themeColor="hyperlink"/>
      <w:u w:val="single"/>
    </w:rPr>
  </w:style>
  <w:style w:type="paragraph" w:styleId="ListParagraph">
    <w:name w:val="List Paragraph"/>
    <w:basedOn w:val="Normal"/>
    <w:uiPriority w:val="34"/>
    <w:qFormat/>
    <w:rsid w:val="00B91DBE"/>
    <w:pPr>
      <w:ind w:left="720"/>
      <w:contextualSpacing/>
    </w:pPr>
  </w:style>
  <w:style w:type="paragraph" w:styleId="Header">
    <w:name w:val="header"/>
    <w:basedOn w:val="Normal"/>
    <w:link w:val="HeaderChar"/>
    <w:uiPriority w:val="99"/>
    <w:unhideWhenUsed/>
    <w:rsid w:val="00B91D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1DBE"/>
    <w:rPr>
      <w:rFonts w:ascii="Arial" w:hAnsi="Arial"/>
      <w:sz w:val="24"/>
    </w:rPr>
  </w:style>
  <w:style w:type="paragraph" w:styleId="Footer">
    <w:name w:val="footer"/>
    <w:basedOn w:val="Normal"/>
    <w:link w:val="FooterChar"/>
    <w:uiPriority w:val="99"/>
    <w:unhideWhenUsed/>
    <w:rsid w:val="00B91D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1DBE"/>
    <w:rPr>
      <w:rFonts w:ascii="Arial" w:hAnsi="Arial"/>
      <w:sz w:val="24"/>
    </w:rPr>
  </w:style>
  <w:style w:type="paragraph" w:styleId="TOCHeading">
    <w:name w:val="TOC Heading"/>
    <w:basedOn w:val="Heading1"/>
    <w:next w:val="Normal"/>
    <w:uiPriority w:val="39"/>
    <w:semiHidden/>
    <w:unhideWhenUsed/>
    <w:qFormat/>
    <w:rsid w:val="00B91DBE"/>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B91DB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7244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doi.org/10.6007/ijarbss/v13-i3/16493"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52970/grmapb.v1i2.103"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doi.org/10.54254/2754-1169/54/20230868"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07/s12186-020-09257-x" TargetMode="External"/><Relationship Id="rId20" Type="http://schemas.openxmlformats.org/officeDocument/2006/relationships/hyperlink" Target="https://doi.org/10.31344/ijhhs.v6i2.43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image" Target="media/image3.jpeg"/><Relationship Id="rId10" Type="http://schemas.openxmlformats.org/officeDocument/2006/relationships/header" Target="header2.xml"/><Relationship Id="rId19" Type="http://schemas.openxmlformats.org/officeDocument/2006/relationships/hyperlink" Target="https://doi.org/10.1063/5.0143375"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peer.asee.org/revisiting-tuckman-s-team-development-model-in-first-year-engineering-multicultural-te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ED78D9-926B-4D00-AADF-481630CEAE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2079</Words>
  <Characters>11856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2025-11-04T08:06:00Z</dcterms:created>
  <dcterms:modified xsi:type="dcterms:W3CDTF">2025-11-08T17:27:00Z</dcterms:modified>
</cp:coreProperties>
</file>