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BAB993" w14:textId="15C32F37" w:rsidR="00E01D30" w:rsidRDefault="00E01D30" w:rsidP="00E01D30">
      <w:pPr>
        <w:spacing w:before="240" w:after="240"/>
        <w:jc w:val="center"/>
        <w:rPr>
          <w:rFonts w:ascii="Arial Nova" w:eastAsia="Arial Nova" w:hAnsi="Arial Nova" w:cs="Arial Nova"/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7BF71BD5" wp14:editId="51F3BCD4">
            <wp:extent cx="3200400" cy="1428750"/>
            <wp:effectExtent l="0" t="0" r="0" b="0"/>
            <wp:docPr id="900832781" name="Picture 1" descr="Picture 638942447, 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0832781" name="Picture 900832781" descr="Picture 638942447, Picture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0400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3776B5" w14:textId="77777777" w:rsidR="00E01D30" w:rsidRDefault="00E01D30" w:rsidP="1F92FC76">
      <w:pPr>
        <w:spacing w:before="240" w:after="240"/>
        <w:jc w:val="both"/>
        <w:rPr>
          <w:rFonts w:ascii="Arial Nova" w:eastAsia="Arial Nova" w:hAnsi="Arial Nova" w:cs="Arial Nova"/>
          <w:b/>
          <w:bCs/>
          <w:sz w:val="32"/>
          <w:szCs w:val="32"/>
        </w:rPr>
      </w:pPr>
    </w:p>
    <w:p w14:paraId="73F5A71B" w14:textId="77777777" w:rsidR="00E01D30" w:rsidRPr="00E01D30" w:rsidRDefault="00E01D30" w:rsidP="00E01D30">
      <w:pPr>
        <w:spacing w:before="240" w:after="240"/>
        <w:jc w:val="center"/>
        <w:rPr>
          <w:rFonts w:ascii="Arial Nova" w:eastAsia="Arial Nova" w:hAnsi="Arial Nova" w:cs="Arial Nova"/>
          <w:b/>
          <w:bCs/>
          <w:color w:val="C00000"/>
          <w:sz w:val="36"/>
          <w:szCs w:val="36"/>
        </w:rPr>
      </w:pPr>
      <w:r w:rsidRPr="00E01D30">
        <w:rPr>
          <w:rFonts w:ascii="Arial Nova" w:eastAsia="Arial Nova" w:hAnsi="Arial Nova" w:cs="Arial Nova"/>
          <w:b/>
          <w:bCs/>
          <w:color w:val="C00000"/>
          <w:sz w:val="36"/>
          <w:szCs w:val="36"/>
          <w:u w:val="single"/>
        </w:rPr>
        <w:t>Health and Social Care</w:t>
      </w:r>
    </w:p>
    <w:p w14:paraId="4597C5DA" w14:textId="77777777" w:rsidR="00E01D30" w:rsidRPr="00C75C7A" w:rsidRDefault="00E01D30" w:rsidP="00E01D30">
      <w:pPr>
        <w:spacing w:before="240" w:after="240"/>
        <w:jc w:val="center"/>
        <w:rPr>
          <w:rFonts w:ascii="Georgia Pro Cond" w:eastAsia="Arial Nova" w:hAnsi="Georgia Pro Cond" w:cs="Arial Nova"/>
          <w:b/>
          <w:bCs/>
          <w:i/>
          <w:iCs/>
          <w:sz w:val="52"/>
          <w:szCs w:val="52"/>
        </w:rPr>
      </w:pPr>
      <w:r w:rsidRPr="00C75C7A">
        <w:rPr>
          <w:rFonts w:ascii="Georgia Pro Cond" w:eastAsia="Arial Nova" w:hAnsi="Georgia Pro Cond" w:cs="Arial Nova"/>
          <w:b/>
          <w:bCs/>
          <w:i/>
          <w:iCs/>
          <w:sz w:val="52"/>
          <w:szCs w:val="52"/>
        </w:rPr>
        <w:t>Empowering the Older Person</w:t>
      </w:r>
    </w:p>
    <w:p w14:paraId="77435614" w14:textId="5E6DE611" w:rsidR="00E01D30" w:rsidRPr="00E01D30" w:rsidRDefault="00E01D30" w:rsidP="00E01D30">
      <w:pPr>
        <w:spacing w:before="240" w:after="240"/>
        <w:jc w:val="center"/>
        <w:rPr>
          <w:rFonts w:ascii="Arial Nova" w:eastAsia="Arial Nova" w:hAnsi="Arial Nova" w:cs="Arial Nova"/>
          <w:b/>
          <w:bCs/>
          <w:i/>
          <w:iCs/>
          <w:sz w:val="32"/>
          <w:szCs w:val="32"/>
        </w:rPr>
      </w:pPr>
      <w:r w:rsidRPr="00E01D30">
        <w:rPr>
          <w:rFonts w:ascii="Arial Nova" w:eastAsia="Arial Nova" w:hAnsi="Arial Nova" w:cs="Arial Nova"/>
          <w:b/>
          <w:bCs/>
          <w:sz w:val="32"/>
          <w:szCs w:val="32"/>
        </w:rPr>
        <w:t xml:space="preserve"> (BMHP</w:t>
      </w:r>
      <w:r>
        <w:rPr>
          <w:rFonts w:ascii="Arial Nova" w:eastAsia="Arial Nova" w:hAnsi="Arial Nova" w:cs="Arial Nova"/>
          <w:b/>
          <w:bCs/>
          <w:sz w:val="32"/>
          <w:szCs w:val="32"/>
        </w:rPr>
        <w:t>6027</w:t>
      </w:r>
      <w:r w:rsidRPr="00E01D30">
        <w:rPr>
          <w:rFonts w:ascii="Arial Nova" w:eastAsia="Arial Nova" w:hAnsi="Arial Nova" w:cs="Arial Nova"/>
          <w:b/>
          <w:bCs/>
          <w:sz w:val="32"/>
          <w:szCs w:val="32"/>
        </w:rPr>
        <w:t>_BIRM) Level - 5</w:t>
      </w:r>
    </w:p>
    <w:p w14:paraId="6D4A2FE7" w14:textId="77777777" w:rsidR="00E01D30" w:rsidRPr="00E01D30" w:rsidRDefault="00E01D30" w:rsidP="00E01D30">
      <w:pPr>
        <w:spacing w:before="240" w:after="240"/>
        <w:jc w:val="center"/>
        <w:rPr>
          <w:rFonts w:ascii="Arial Nova" w:eastAsia="Arial Nova" w:hAnsi="Arial Nova" w:cs="Arial Nova"/>
          <w:b/>
          <w:bCs/>
          <w:sz w:val="32"/>
          <w:szCs w:val="32"/>
        </w:rPr>
      </w:pPr>
    </w:p>
    <w:p w14:paraId="521CADD3" w14:textId="132B2C11" w:rsidR="00E01D30" w:rsidRPr="00E01D30" w:rsidRDefault="00E01D30" w:rsidP="00E01D30">
      <w:pPr>
        <w:spacing w:before="240" w:after="240"/>
        <w:jc w:val="center"/>
        <w:rPr>
          <w:rFonts w:ascii="Arial Nova" w:eastAsia="Arial Nova" w:hAnsi="Arial Nova" w:cs="Arial Nova"/>
          <w:b/>
          <w:bCs/>
          <w:i/>
          <w:iCs/>
          <w:sz w:val="48"/>
          <w:szCs w:val="48"/>
        </w:rPr>
      </w:pPr>
      <w:r w:rsidRPr="00E01D30">
        <w:rPr>
          <w:rFonts w:ascii="Arial Nova" w:eastAsia="Arial Nova" w:hAnsi="Arial Nova" w:cs="Arial Nova"/>
          <w:b/>
          <w:bCs/>
          <w:i/>
          <w:iCs/>
          <w:sz w:val="48"/>
          <w:szCs w:val="48"/>
        </w:rPr>
        <w:t>Component 2: Debate</w:t>
      </w:r>
    </w:p>
    <w:p w14:paraId="4A292DE5" w14:textId="77777777" w:rsidR="00E01D30" w:rsidRPr="00E01D30" w:rsidRDefault="00E01D30" w:rsidP="00E01D30">
      <w:pPr>
        <w:spacing w:before="240" w:after="240"/>
        <w:jc w:val="center"/>
        <w:rPr>
          <w:rFonts w:ascii="Arial Nova" w:eastAsia="Arial Nova" w:hAnsi="Arial Nova" w:cs="Arial Nova"/>
          <w:b/>
          <w:bCs/>
          <w:sz w:val="32"/>
          <w:szCs w:val="32"/>
        </w:rPr>
      </w:pPr>
    </w:p>
    <w:p w14:paraId="28D28A2D" w14:textId="255FC988" w:rsidR="00E01D30" w:rsidRPr="00E01D30" w:rsidRDefault="00E01D30" w:rsidP="00E01D30">
      <w:pPr>
        <w:spacing w:before="240" w:after="240"/>
        <w:jc w:val="center"/>
        <w:rPr>
          <w:rFonts w:ascii="Arial Nova" w:eastAsia="Arial Nova" w:hAnsi="Arial Nova" w:cs="Arial Nova"/>
          <w:b/>
          <w:bCs/>
          <w:sz w:val="32"/>
          <w:szCs w:val="32"/>
        </w:rPr>
      </w:pPr>
      <w:r w:rsidRPr="00E01D30">
        <w:rPr>
          <w:rFonts w:ascii="Arial Nova" w:eastAsia="Arial Nova" w:hAnsi="Arial Nova" w:cs="Arial Nova"/>
          <w:b/>
          <w:bCs/>
          <w:sz w:val="32"/>
          <w:szCs w:val="32"/>
        </w:rPr>
        <w:t xml:space="preserve">Lecturer: </w:t>
      </w:r>
      <w:r>
        <w:rPr>
          <w:rFonts w:ascii="Arial Nova" w:eastAsia="Arial Nova" w:hAnsi="Arial Nova" w:cs="Arial Nova"/>
          <w:b/>
          <w:bCs/>
          <w:sz w:val="32"/>
          <w:szCs w:val="32"/>
        </w:rPr>
        <w:t>Kennedy Obohumo</w:t>
      </w:r>
    </w:p>
    <w:p w14:paraId="300BADFA" w14:textId="77777777" w:rsidR="00E01D30" w:rsidRPr="00E01D30" w:rsidRDefault="00E01D30" w:rsidP="00E01D30">
      <w:pPr>
        <w:spacing w:before="240" w:after="240"/>
        <w:jc w:val="center"/>
        <w:rPr>
          <w:rFonts w:ascii="Arial Nova" w:eastAsia="Arial Nova" w:hAnsi="Arial Nova" w:cs="Arial Nova"/>
          <w:b/>
          <w:bCs/>
          <w:sz w:val="32"/>
          <w:szCs w:val="32"/>
        </w:rPr>
      </w:pPr>
      <w:r w:rsidRPr="00E01D30">
        <w:rPr>
          <w:rFonts w:ascii="Arial Nova" w:eastAsia="Arial Nova" w:hAnsi="Arial Nova" w:cs="Arial Nova"/>
          <w:b/>
          <w:bCs/>
          <w:sz w:val="32"/>
          <w:szCs w:val="32"/>
        </w:rPr>
        <w:t>Student: Naheed Ali/ 2311395</w:t>
      </w:r>
    </w:p>
    <w:p w14:paraId="4B1E0A30" w14:textId="78CD760F" w:rsidR="00E01D30" w:rsidRPr="00E01D30" w:rsidRDefault="00E01D30" w:rsidP="00E01D30">
      <w:pPr>
        <w:spacing w:before="240" w:after="240"/>
        <w:jc w:val="center"/>
        <w:rPr>
          <w:rFonts w:ascii="Arial Nova" w:eastAsia="Arial Nova" w:hAnsi="Arial Nova" w:cs="Arial Nova"/>
          <w:b/>
          <w:bCs/>
        </w:rPr>
      </w:pPr>
      <w:r w:rsidRPr="00E01D30">
        <w:rPr>
          <w:rFonts w:ascii="Arial Nova" w:eastAsia="Arial Nova" w:hAnsi="Arial Nova" w:cs="Arial Nova"/>
          <w:b/>
          <w:bCs/>
        </w:rPr>
        <w:t>Submission Due Date: 15/03/2026</w:t>
      </w:r>
    </w:p>
    <w:p w14:paraId="5242C8A3" w14:textId="77777777" w:rsidR="00E01D30" w:rsidRDefault="00E01D30" w:rsidP="00E01D30">
      <w:pPr>
        <w:spacing w:before="240" w:after="240"/>
        <w:rPr>
          <w:rFonts w:ascii="Arial Nova" w:eastAsia="Arial Nova" w:hAnsi="Arial Nova" w:cs="Arial Nova"/>
          <w:b/>
          <w:bCs/>
          <w:sz w:val="32"/>
          <w:szCs w:val="32"/>
        </w:rPr>
      </w:pPr>
    </w:p>
    <w:p w14:paraId="1FEC7336" w14:textId="362A4FE9" w:rsidR="00E01D30" w:rsidRDefault="00E01D30" w:rsidP="00E01D30">
      <w:pPr>
        <w:spacing w:before="240" w:after="240"/>
        <w:jc w:val="center"/>
        <w:rPr>
          <w:rFonts w:ascii="Arial Nova" w:eastAsia="Arial Nova" w:hAnsi="Arial Nova" w:cs="Arial Nova"/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10486BA6" wp14:editId="0568464C">
            <wp:extent cx="1143000" cy="649366"/>
            <wp:effectExtent l="0" t="0" r="0" b="0"/>
            <wp:docPr id="1700533559" name="Picture 1" descr="A group of pink ros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0533559" name="Picture 1" descr="A group of pink roses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51026" cy="6539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04E995" w14:textId="77777777" w:rsidR="00E01D30" w:rsidRDefault="00E01D30" w:rsidP="1F92FC76">
      <w:pPr>
        <w:spacing w:before="240" w:after="240"/>
        <w:jc w:val="both"/>
        <w:rPr>
          <w:rFonts w:ascii="Arial Nova" w:eastAsia="Arial Nova" w:hAnsi="Arial Nova" w:cs="Arial Nova"/>
          <w:b/>
          <w:bCs/>
          <w:sz w:val="32"/>
          <w:szCs w:val="32"/>
        </w:rPr>
      </w:pPr>
    </w:p>
    <w:p w14:paraId="7702892E" w14:textId="504D58F9" w:rsidR="00E01D30" w:rsidRPr="00C75C7A" w:rsidRDefault="00E01D30" w:rsidP="00C75C7A">
      <w:pPr>
        <w:spacing w:before="240" w:after="240" w:line="360" w:lineRule="auto"/>
        <w:jc w:val="both"/>
        <w:rPr>
          <w:rFonts w:ascii="Arial" w:eastAsia="Arial Nova" w:hAnsi="Arial" w:cs="Arial"/>
          <w:b/>
          <w:bCs/>
        </w:rPr>
      </w:pPr>
      <w:r w:rsidRPr="00C75C7A">
        <w:rPr>
          <w:rFonts w:ascii="Arial" w:eastAsia="Arial Nova" w:hAnsi="Arial" w:cs="Arial"/>
          <w:b/>
          <w:bCs/>
        </w:rPr>
        <w:lastRenderedPageBreak/>
        <w:t xml:space="preserve">Does Domiciliary care better promote dignity </w:t>
      </w:r>
      <w:r w:rsidR="007901F9" w:rsidRPr="00C75C7A">
        <w:rPr>
          <w:rFonts w:ascii="Arial" w:eastAsia="Arial Nova" w:hAnsi="Arial" w:cs="Arial"/>
          <w:b/>
          <w:bCs/>
        </w:rPr>
        <w:t xml:space="preserve">and empowerment than residential care? </w:t>
      </w:r>
    </w:p>
    <w:p w14:paraId="37E6A8A9" w14:textId="7F1FF7AA" w:rsidR="007901F9" w:rsidRPr="00C75C7A" w:rsidRDefault="00362020" w:rsidP="00362020">
      <w:pPr>
        <w:rPr>
          <w:rFonts w:eastAsia="Arial Nova"/>
        </w:rPr>
      </w:pPr>
      <w:r w:rsidRPr="00362020">
        <w:rPr>
          <w:rFonts w:ascii="Arial" w:hAnsi="Arial" w:cs="Arial"/>
          <w:color w:val="000000"/>
        </w:rPr>
        <w:t>I'm Student B and will focus on residential care; Rubeka (Student A) will discuss domiciliary care.</w:t>
      </w:r>
    </w:p>
    <w:p w14:paraId="3F6A5652" w14:textId="77777777" w:rsidR="007901F9" w:rsidRPr="007901F9" w:rsidRDefault="007901F9" w:rsidP="1F92FC76">
      <w:pPr>
        <w:spacing w:before="240" w:after="240"/>
        <w:jc w:val="both"/>
        <w:rPr>
          <w:rFonts w:ascii="Arial Nova" w:eastAsia="Arial Nova" w:hAnsi="Arial Nova" w:cs="Arial Nova"/>
          <w:b/>
          <w:bCs/>
          <w:sz w:val="28"/>
          <w:szCs w:val="28"/>
        </w:rPr>
      </w:pPr>
    </w:p>
    <w:p w14:paraId="6DD15767" w14:textId="52797E76" w:rsidR="00E01D30" w:rsidRDefault="00896873" w:rsidP="00C75C7A">
      <w:pPr>
        <w:spacing w:before="240" w:after="240" w:line="360" w:lineRule="auto"/>
        <w:jc w:val="both"/>
        <w:rPr>
          <w:rFonts w:ascii="Arial Nova" w:eastAsia="Arial Nova" w:hAnsi="Arial Nova" w:cs="Arial Nova"/>
          <w:b/>
          <w:bCs/>
          <w:sz w:val="32"/>
          <w:szCs w:val="32"/>
        </w:rPr>
      </w:pPr>
      <w:r>
        <w:rPr>
          <w:rFonts w:ascii="Arial Nova" w:eastAsia="Arial Nova" w:hAnsi="Arial Nova" w:cs="Arial Nova"/>
          <w:b/>
          <w:bCs/>
          <w:noProof/>
          <w:sz w:val="32"/>
          <w:szCs w:val="32"/>
        </w:rPr>
        <w:drawing>
          <wp:inline distT="0" distB="0" distL="0" distR="0" wp14:anchorId="629256C1" wp14:editId="5E99981B">
            <wp:extent cx="5892800" cy="3870960"/>
            <wp:effectExtent l="133350" t="76200" r="88900" b="167640"/>
            <wp:docPr id="176583188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9916" cy="3888772"/>
                    </a:xfrm>
                    <a:prstGeom prst="roundRect">
                      <a:avLst>
                        <a:gd name="adj" fmla="val 16667"/>
                      </a:avLst>
                    </a:prstGeom>
                    <a:ln>
                      <a:solidFill>
                        <a:schemeClr val="bg1">
                          <a:lumMod val="95000"/>
                        </a:schemeClr>
                      </a:solidFill>
                    </a:ln>
                    <a:effectLst>
                      <a:outerShdw blurRad="76200" dist="38100" dir="78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4200000"/>
                      </a:lightRig>
                    </a:scene3d>
                    <a:sp3d prstMaterial="plastic">
                      <a:bevelT w="381000" h="114300" prst="relaxedInset"/>
                      <a:contourClr>
                        <a:srgbClr val="969696"/>
                      </a:contourClr>
                    </a:sp3d>
                  </pic:spPr>
                </pic:pic>
              </a:graphicData>
            </a:graphic>
          </wp:inline>
        </w:drawing>
      </w:r>
    </w:p>
    <w:p w14:paraId="7BEE099D" w14:textId="77777777" w:rsidR="007901F9" w:rsidRDefault="007901F9" w:rsidP="1F92FC76">
      <w:pPr>
        <w:spacing w:before="240" w:after="240"/>
        <w:jc w:val="both"/>
        <w:rPr>
          <w:rFonts w:ascii="Arial Nova" w:eastAsia="Arial Nova" w:hAnsi="Arial Nova" w:cs="Arial Nova"/>
          <w:b/>
          <w:bCs/>
          <w:sz w:val="32"/>
          <w:szCs w:val="32"/>
        </w:rPr>
      </w:pPr>
    </w:p>
    <w:p w14:paraId="21C1966F" w14:textId="77777777" w:rsidR="007901F9" w:rsidRDefault="007901F9" w:rsidP="1F92FC76">
      <w:pPr>
        <w:spacing w:before="240" w:after="240"/>
        <w:jc w:val="both"/>
        <w:rPr>
          <w:rFonts w:ascii="Arial Nova" w:eastAsia="Arial Nova" w:hAnsi="Arial Nova" w:cs="Arial Nova"/>
          <w:b/>
          <w:bCs/>
          <w:sz w:val="32"/>
          <w:szCs w:val="32"/>
        </w:rPr>
      </w:pPr>
    </w:p>
    <w:p w14:paraId="286D1748" w14:textId="77777777" w:rsidR="007901F9" w:rsidRDefault="007901F9" w:rsidP="1F92FC76">
      <w:pPr>
        <w:spacing w:before="240" w:after="240"/>
        <w:jc w:val="both"/>
        <w:rPr>
          <w:rFonts w:ascii="Arial Nova" w:eastAsia="Arial Nova" w:hAnsi="Arial Nova" w:cs="Arial Nova"/>
          <w:b/>
          <w:bCs/>
          <w:sz w:val="32"/>
          <w:szCs w:val="32"/>
        </w:rPr>
      </w:pPr>
    </w:p>
    <w:p w14:paraId="2164083A" w14:textId="77777777" w:rsidR="00896873" w:rsidRDefault="00052968" w:rsidP="00896873">
      <w:pPr>
        <w:spacing w:before="240" w:after="240" w:line="360" w:lineRule="auto"/>
        <w:jc w:val="both"/>
        <w:rPr>
          <w:rFonts w:ascii="Arial Nova" w:eastAsia="Arial Nova" w:hAnsi="Arial Nova" w:cs="Arial Nova"/>
          <w:b/>
          <w:bCs/>
          <w:sz w:val="32"/>
          <w:szCs w:val="32"/>
        </w:rPr>
      </w:pPr>
      <w:r>
        <w:rPr>
          <w:rFonts w:ascii="Arial Nova" w:eastAsia="Arial Nova" w:hAnsi="Arial Nova" w:cs="Arial Nova"/>
          <w:b/>
          <w:bCs/>
          <w:sz w:val="32"/>
          <w:szCs w:val="32"/>
        </w:rPr>
        <w:t xml:space="preserve">        </w:t>
      </w:r>
    </w:p>
    <w:p w14:paraId="61BDA5DE" w14:textId="77777777" w:rsidR="00362020" w:rsidRDefault="00362020" w:rsidP="00896873">
      <w:pPr>
        <w:spacing w:before="240" w:after="240" w:line="360" w:lineRule="auto"/>
        <w:jc w:val="both"/>
        <w:rPr>
          <w:rFonts w:ascii="Arial Nova" w:eastAsia="Arial Nova" w:hAnsi="Arial Nova" w:cs="Arial Nova"/>
          <w:b/>
          <w:bCs/>
          <w:sz w:val="32"/>
          <w:szCs w:val="32"/>
        </w:rPr>
      </w:pPr>
    </w:p>
    <w:p w14:paraId="1E102473" w14:textId="086D3CAE" w:rsidR="0047171D" w:rsidRDefault="0040722B" w:rsidP="00896873">
      <w:pPr>
        <w:spacing w:before="240" w:after="240" w:line="360" w:lineRule="auto"/>
        <w:jc w:val="both"/>
        <w:rPr>
          <w:rFonts w:ascii="Arial Nova" w:eastAsia="Arial Nova" w:hAnsi="Arial Nova" w:cs="Arial Nova"/>
          <w:b/>
          <w:bCs/>
          <w:sz w:val="32"/>
          <w:szCs w:val="32"/>
        </w:rPr>
      </w:pPr>
      <w:r>
        <w:rPr>
          <w:rFonts w:ascii="Arial Nova" w:eastAsia="Arial Nova" w:hAnsi="Arial Nova" w:cs="Arial Nova"/>
          <w:b/>
          <w:bCs/>
          <w:sz w:val="32"/>
          <w:szCs w:val="32"/>
        </w:rPr>
        <w:lastRenderedPageBreak/>
        <w:t xml:space="preserve"> </w:t>
      </w:r>
      <w:r w:rsidR="00E01D30" w:rsidRPr="1F92FC76">
        <w:rPr>
          <w:rFonts w:ascii="Arial Nova" w:eastAsia="Arial Nova" w:hAnsi="Arial Nova" w:cs="Arial Nova"/>
          <w:b/>
          <w:bCs/>
          <w:sz w:val="32"/>
          <w:szCs w:val="32"/>
        </w:rPr>
        <w:t>References</w:t>
      </w:r>
    </w:p>
    <w:p w14:paraId="410A5C6E" w14:textId="77777777" w:rsidR="00362020" w:rsidRPr="00362020" w:rsidRDefault="00362020" w:rsidP="00362020">
      <w:pPr>
        <w:spacing w:before="240" w:after="240" w:line="360" w:lineRule="auto"/>
        <w:ind w:left="57" w:right="57"/>
        <w:jc w:val="both"/>
        <w:rPr>
          <w:rFonts w:ascii="Arial" w:hAnsi="Arial" w:cs="Arial"/>
          <w:sz w:val="22"/>
          <w:szCs w:val="22"/>
          <w:lang w:val="en-GB"/>
        </w:rPr>
      </w:pPr>
      <w:r w:rsidRPr="00362020">
        <w:rPr>
          <w:rFonts w:ascii="Arial" w:hAnsi="Arial" w:cs="Arial"/>
          <w:sz w:val="22"/>
          <w:szCs w:val="22"/>
          <w:lang w:val="en-GB"/>
        </w:rPr>
        <w:t xml:space="preserve">Adaptive Clothing Australia (2025) </w:t>
      </w:r>
      <w:r w:rsidRPr="00362020">
        <w:rPr>
          <w:rFonts w:ascii="Arial" w:hAnsi="Arial" w:cs="Arial"/>
          <w:i/>
          <w:iCs/>
          <w:sz w:val="22"/>
          <w:szCs w:val="22"/>
          <w:lang w:val="en-GB"/>
        </w:rPr>
        <w:t>The future of robotics in elderly care</w:t>
      </w:r>
      <w:r w:rsidRPr="00362020">
        <w:rPr>
          <w:rFonts w:ascii="Arial" w:hAnsi="Arial" w:cs="Arial"/>
          <w:sz w:val="22"/>
          <w:szCs w:val="22"/>
          <w:lang w:val="en-GB"/>
        </w:rPr>
        <w:t xml:space="preserve">. Available at: </w:t>
      </w:r>
      <w:hyperlink r:id="rId11" w:tgtFrame="_new" w:history="1">
        <w:r w:rsidRPr="00362020">
          <w:rPr>
            <w:rStyle w:val="Hyperlink"/>
            <w:rFonts w:ascii="Arial" w:hAnsi="Arial" w:cs="Arial"/>
            <w:sz w:val="22"/>
            <w:szCs w:val="22"/>
            <w:lang w:val="en-GB"/>
          </w:rPr>
          <w:t>https://www.adaptiveclothingaustralia.com/post/the-future-of-robotics-in-elderly-care</w:t>
        </w:r>
      </w:hyperlink>
      <w:r w:rsidRPr="00362020">
        <w:rPr>
          <w:rFonts w:ascii="Arial" w:hAnsi="Arial" w:cs="Arial"/>
          <w:sz w:val="22"/>
          <w:szCs w:val="22"/>
          <w:lang w:val="en-GB"/>
        </w:rPr>
        <w:t xml:space="preserve"> (Accessed: 22 February 2026).</w:t>
      </w:r>
    </w:p>
    <w:p w14:paraId="4588BE5A" w14:textId="77777777" w:rsidR="00362020" w:rsidRPr="00362020" w:rsidRDefault="00362020" w:rsidP="00362020">
      <w:pPr>
        <w:spacing w:before="240" w:after="240" w:line="360" w:lineRule="auto"/>
        <w:ind w:left="57" w:right="57"/>
        <w:jc w:val="both"/>
        <w:rPr>
          <w:rFonts w:ascii="Arial" w:hAnsi="Arial" w:cs="Arial"/>
          <w:sz w:val="22"/>
          <w:szCs w:val="22"/>
          <w:lang w:val="en-GB"/>
        </w:rPr>
      </w:pPr>
      <w:r w:rsidRPr="00362020">
        <w:rPr>
          <w:rFonts w:ascii="Arial" w:hAnsi="Arial" w:cs="Arial"/>
          <w:sz w:val="22"/>
          <w:szCs w:val="22"/>
          <w:lang w:val="en-GB"/>
        </w:rPr>
        <w:t xml:space="preserve">Birt, L., Poland, F., Csipke, E. and Charlesworth, G. (2017) ‘Shifting dementia discourse from deficit to active citizenship’, </w:t>
      </w:r>
      <w:r w:rsidRPr="00362020">
        <w:rPr>
          <w:rFonts w:ascii="Arial" w:hAnsi="Arial" w:cs="Arial"/>
          <w:i/>
          <w:iCs/>
          <w:sz w:val="22"/>
          <w:szCs w:val="22"/>
          <w:lang w:val="en-GB"/>
        </w:rPr>
        <w:t>Sociology of Health &amp; Illness</w:t>
      </w:r>
      <w:r w:rsidRPr="00362020">
        <w:rPr>
          <w:rFonts w:ascii="Arial" w:hAnsi="Arial" w:cs="Arial"/>
          <w:sz w:val="22"/>
          <w:szCs w:val="22"/>
          <w:lang w:val="en-GB"/>
        </w:rPr>
        <w:t xml:space="preserve">, 39(2), pp. 199–211. Available at: </w:t>
      </w:r>
      <w:hyperlink r:id="rId12" w:tgtFrame="_new" w:history="1">
        <w:r w:rsidRPr="00362020">
          <w:rPr>
            <w:rStyle w:val="Hyperlink"/>
            <w:rFonts w:ascii="Arial" w:hAnsi="Arial" w:cs="Arial"/>
            <w:sz w:val="22"/>
            <w:szCs w:val="22"/>
            <w:lang w:val="en-GB"/>
          </w:rPr>
          <w:t>https://pubmed.ncbi.nlm.nih.gov/28177147/</w:t>
        </w:r>
      </w:hyperlink>
      <w:r w:rsidRPr="00362020">
        <w:rPr>
          <w:rFonts w:ascii="Arial" w:hAnsi="Arial" w:cs="Arial"/>
          <w:sz w:val="22"/>
          <w:szCs w:val="22"/>
          <w:lang w:val="en-GB"/>
        </w:rPr>
        <w:t xml:space="preserve"> (Accessed: 4 March 2026).</w:t>
      </w:r>
    </w:p>
    <w:p w14:paraId="29FB6D18" w14:textId="77777777" w:rsidR="00362020" w:rsidRPr="00362020" w:rsidRDefault="00362020" w:rsidP="00362020">
      <w:pPr>
        <w:spacing w:before="240" w:after="240" w:line="360" w:lineRule="auto"/>
        <w:ind w:left="57" w:right="57"/>
        <w:jc w:val="both"/>
        <w:rPr>
          <w:rFonts w:ascii="Arial" w:hAnsi="Arial" w:cs="Arial"/>
          <w:sz w:val="22"/>
          <w:szCs w:val="22"/>
          <w:lang w:val="en-GB"/>
        </w:rPr>
      </w:pPr>
      <w:r w:rsidRPr="00362020">
        <w:rPr>
          <w:rFonts w:ascii="Arial" w:hAnsi="Arial" w:cs="Arial"/>
          <w:sz w:val="22"/>
          <w:szCs w:val="22"/>
          <w:lang w:val="en-GB"/>
        </w:rPr>
        <w:t xml:space="preserve">Brownie, S. and Nancarrow, S. (2013) ‘Effects of person-centered care on residents and staff in aged-care facilities: A systematic review’, </w:t>
      </w:r>
      <w:r w:rsidRPr="00362020">
        <w:rPr>
          <w:rFonts w:ascii="Arial" w:hAnsi="Arial" w:cs="Arial"/>
          <w:i/>
          <w:iCs/>
          <w:sz w:val="22"/>
          <w:szCs w:val="22"/>
          <w:lang w:val="en-GB"/>
        </w:rPr>
        <w:t>Clinical Interventions in Aging</w:t>
      </w:r>
      <w:r w:rsidRPr="00362020">
        <w:rPr>
          <w:rFonts w:ascii="Arial" w:hAnsi="Arial" w:cs="Arial"/>
          <w:sz w:val="22"/>
          <w:szCs w:val="22"/>
          <w:lang w:val="en-GB"/>
        </w:rPr>
        <w:t xml:space="preserve">, 8, pp. 1–10. Available at: </w:t>
      </w:r>
      <w:hyperlink r:id="rId13" w:tgtFrame="_new" w:history="1">
        <w:r w:rsidRPr="00362020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https://doi.org/10.2147/CIA.S38589</w:t>
        </w:r>
      </w:hyperlink>
    </w:p>
    <w:p w14:paraId="2D9508DD" w14:textId="77777777" w:rsidR="00362020" w:rsidRPr="00362020" w:rsidRDefault="00362020" w:rsidP="00362020">
      <w:pPr>
        <w:spacing w:before="240" w:after="240" w:line="360" w:lineRule="auto"/>
        <w:ind w:left="57" w:right="57"/>
        <w:jc w:val="both"/>
        <w:rPr>
          <w:rFonts w:ascii="Arial" w:hAnsi="Arial" w:cs="Arial"/>
          <w:sz w:val="22"/>
          <w:szCs w:val="22"/>
          <w:lang w:val="en-GB"/>
        </w:rPr>
      </w:pPr>
      <w:r w:rsidRPr="00362020">
        <w:rPr>
          <w:rFonts w:ascii="Arial" w:hAnsi="Arial" w:cs="Arial"/>
          <w:sz w:val="22"/>
          <w:szCs w:val="22"/>
          <w:lang w:val="en-GB"/>
        </w:rPr>
        <w:t xml:space="preserve">Care Quality Commission (2023) </w:t>
      </w:r>
      <w:r w:rsidRPr="00362020">
        <w:rPr>
          <w:rFonts w:ascii="Arial" w:hAnsi="Arial" w:cs="Arial"/>
          <w:i/>
          <w:iCs/>
          <w:sz w:val="22"/>
          <w:szCs w:val="22"/>
          <w:lang w:val="en-GB"/>
        </w:rPr>
        <w:t>The state of health care and adult social care in England 2022/23</w:t>
      </w:r>
      <w:r w:rsidRPr="00362020">
        <w:rPr>
          <w:rFonts w:ascii="Arial" w:hAnsi="Arial" w:cs="Arial"/>
          <w:sz w:val="22"/>
          <w:szCs w:val="22"/>
          <w:lang w:val="en-GB"/>
        </w:rPr>
        <w:t xml:space="preserve">. Newcastle upon Tyne: Care Quality Commission. Available at: </w:t>
      </w:r>
      <w:hyperlink r:id="rId14" w:tgtFrame="_new" w:history="1">
        <w:r w:rsidRPr="00362020">
          <w:rPr>
            <w:rStyle w:val="Hyperlink"/>
            <w:rFonts w:ascii="Arial" w:hAnsi="Arial" w:cs="Arial"/>
            <w:sz w:val="22"/>
            <w:szCs w:val="22"/>
            <w:lang w:val="en-GB"/>
          </w:rPr>
          <w:t>https://www.cqc.org.uk/publications/major-report/state-care</w:t>
        </w:r>
      </w:hyperlink>
      <w:r w:rsidRPr="00362020">
        <w:rPr>
          <w:rFonts w:ascii="Arial" w:hAnsi="Arial" w:cs="Arial"/>
          <w:sz w:val="22"/>
          <w:szCs w:val="22"/>
          <w:lang w:val="en-GB"/>
        </w:rPr>
        <w:t xml:space="preserve"> (Accessed: 20 February 2026).</w:t>
      </w:r>
    </w:p>
    <w:p w14:paraId="4981C347" w14:textId="77777777" w:rsidR="00362020" w:rsidRPr="00362020" w:rsidRDefault="00362020" w:rsidP="00362020">
      <w:pPr>
        <w:spacing w:before="240" w:after="240" w:line="360" w:lineRule="auto"/>
        <w:ind w:left="57" w:right="57"/>
        <w:jc w:val="both"/>
        <w:rPr>
          <w:rFonts w:ascii="Arial" w:hAnsi="Arial" w:cs="Arial"/>
          <w:sz w:val="22"/>
          <w:szCs w:val="22"/>
          <w:lang w:val="en-GB"/>
        </w:rPr>
      </w:pPr>
      <w:r w:rsidRPr="00362020">
        <w:rPr>
          <w:rFonts w:ascii="Arial" w:hAnsi="Arial" w:cs="Arial"/>
          <w:sz w:val="22"/>
          <w:szCs w:val="22"/>
          <w:lang w:val="en-GB"/>
        </w:rPr>
        <w:t xml:space="preserve">Centre for Ageing Better (2023) </w:t>
      </w:r>
      <w:r w:rsidRPr="00362020">
        <w:rPr>
          <w:rFonts w:ascii="Arial" w:hAnsi="Arial" w:cs="Arial"/>
          <w:i/>
          <w:iCs/>
          <w:sz w:val="22"/>
          <w:szCs w:val="22"/>
          <w:lang w:val="en-GB"/>
        </w:rPr>
        <w:t>The state of ageing 2023–24</w:t>
      </w:r>
      <w:r w:rsidRPr="00362020">
        <w:rPr>
          <w:rFonts w:ascii="Arial" w:hAnsi="Arial" w:cs="Arial"/>
          <w:sz w:val="22"/>
          <w:szCs w:val="22"/>
          <w:lang w:val="en-GB"/>
        </w:rPr>
        <w:t xml:space="preserve">. Available at: </w:t>
      </w:r>
      <w:hyperlink r:id="rId15" w:tgtFrame="_new" w:history="1">
        <w:r w:rsidRPr="00362020">
          <w:rPr>
            <w:rStyle w:val="Hyperlink"/>
            <w:rFonts w:ascii="Arial" w:hAnsi="Arial" w:cs="Arial"/>
            <w:sz w:val="22"/>
            <w:szCs w:val="22"/>
            <w:lang w:val="en-GB"/>
          </w:rPr>
          <w:t>https://ageing-better.org.uk/our-ageing-population-state-ageing-2023-4</w:t>
        </w:r>
      </w:hyperlink>
      <w:r w:rsidRPr="00362020">
        <w:rPr>
          <w:rFonts w:ascii="Arial" w:hAnsi="Arial" w:cs="Arial"/>
          <w:sz w:val="22"/>
          <w:szCs w:val="22"/>
          <w:lang w:val="en-GB"/>
        </w:rPr>
        <w:t xml:space="preserve"> (Accessed: 18 February 2026).</w:t>
      </w:r>
    </w:p>
    <w:p w14:paraId="122D4F17" w14:textId="77777777" w:rsidR="00362020" w:rsidRPr="00362020" w:rsidRDefault="00362020" w:rsidP="00362020">
      <w:pPr>
        <w:spacing w:before="240" w:after="240" w:line="360" w:lineRule="auto"/>
        <w:ind w:left="57" w:right="57"/>
        <w:jc w:val="both"/>
        <w:rPr>
          <w:rFonts w:ascii="Arial" w:hAnsi="Arial" w:cs="Arial"/>
          <w:sz w:val="22"/>
          <w:szCs w:val="22"/>
          <w:lang w:val="en-GB"/>
        </w:rPr>
      </w:pPr>
      <w:r w:rsidRPr="00362020">
        <w:rPr>
          <w:rFonts w:ascii="Arial" w:hAnsi="Arial" w:cs="Arial"/>
          <w:sz w:val="22"/>
          <w:szCs w:val="22"/>
          <w:lang w:val="en-GB"/>
        </w:rPr>
        <w:t xml:space="preserve">Chenoweth, L., Jeon, Y.H., Stein-Parbury, J., Forbes, I. and Fleming, R. (2020) ‘Person-centred care in aged care’, </w:t>
      </w:r>
      <w:r w:rsidRPr="00362020">
        <w:rPr>
          <w:rFonts w:ascii="Arial" w:hAnsi="Arial" w:cs="Arial"/>
          <w:i/>
          <w:iCs/>
          <w:sz w:val="22"/>
          <w:szCs w:val="22"/>
          <w:lang w:val="en-GB"/>
        </w:rPr>
        <w:t>The Lancet Healthy Longevity</w:t>
      </w:r>
      <w:r w:rsidRPr="00362020">
        <w:rPr>
          <w:rFonts w:ascii="Arial" w:hAnsi="Arial" w:cs="Arial"/>
          <w:sz w:val="22"/>
          <w:szCs w:val="22"/>
          <w:lang w:val="en-GB"/>
        </w:rPr>
        <w:t>, 1(1), pp. e13–e14.</w:t>
      </w:r>
    </w:p>
    <w:p w14:paraId="6F3FE617" w14:textId="77777777" w:rsidR="00362020" w:rsidRPr="00362020" w:rsidRDefault="00362020" w:rsidP="00362020">
      <w:pPr>
        <w:spacing w:before="240" w:after="240" w:line="360" w:lineRule="auto"/>
        <w:ind w:left="57" w:right="57"/>
        <w:jc w:val="both"/>
        <w:rPr>
          <w:rFonts w:ascii="Arial" w:hAnsi="Arial" w:cs="Arial"/>
          <w:sz w:val="22"/>
          <w:szCs w:val="22"/>
          <w:lang w:val="en-GB"/>
        </w:rPr>
      </w:pPr>
      <w:r w:rsidRPr="00362020">
        <w:rPr>
          <w:rFonts w:ascii="Arial" w:hAnsi="Arial" w:cs="Arial"/>
          <w:sz w:val="22"/>
          <w:szCs w:val="22"/>
          <w:lang w:val="en-GB"/>
        </w:rPr>
        <w:t xml:space="preserve">Department of Health and Social Care (2014) </w:t>
      </w:r>
      <w:r w:rsidRPr="00362020">
        <w:rPr>
          <w:rFonts w:ascii="Arial" w:hAnsi="Arial" w:cs="Arial"/>
          <w:i/>
          <w:iCs/>
          <w:sz w:val="22"/>
          <w:szCs w:val="22"/>
          <w:lang w:val="en-GB"/>
        </w:rPr>
        <w:t>Care and support statutory guidance: Statutory guidance for implementation of the Care Act 2014</w:t>
      </w:r>
      <w:r w:rsidRPr="00362020">
        <w:rPr>
          <w:rFonts w:ascii="Arial" w:hAnsi="Arial" w:cs="Arial"/>
          <w:sz w:val="22"/>
          <w:szCs w:val="22"/>
          <w:lang w:val="en-GB"/>
        </w:rPr>
        <w:t xml:space="preserve">. Available at: </w:t>
      </w:r>
      <w:hyperlink r:id="rId16" w:tgtFrame="_new" w:history="1">
        <w:r w:rsidRPr="00362020">
          <w:rPr>
            <w:rStyle w:val="Hyperlink"/>
            <w:rFonts w:ascii="Arial" w:hAnsi="Arial" w:cs="Arial"/>
            <w:sz w:val="22"/>
            <w:szCs w:val="22"/>
            <w:lang w:val="en-GB"/>
          </w:rPr>
          <w:t>https://www.gov.uk/government/publications/care-act-statutory-guidance</w:t>
        </w:r>
      </w:hyperlink>
      <w:r w:rsidRPr="00362020">
        <w:rPr>
          <w:rFonts w:ascii="Arial" w:hAnsi="Arial" w:cs="Arial"/>
          <w:sz w:val="22"/>
          <w:szCs w:val="22"/>
          <w:lang w:val="en-GB"/>
        </w:rPr>
        <w:t xml:space="preserve"> (Accessed: 20 February 2026).</w:t>
      </w:r>
    </w:p>
    <w:p w14:paraId="016AFE2A" w14:textId="77777777" w:rsidR="00362020" w:rsidRPr="00362020" w:rsidRDefault="00362020" w:rsidP="00362020">
      <w:pPr>
        <w:spacing w:before="240" w:after="240" w:line="360" w:lineRule="auto"/>
        <w:ind w:left="57" w:right="57"/>
        <w:jc w:val="both"/>
        <w:rPr>
          <w:rFonts w:ascii="Arial" w:hAnsi="Arial" w:cs="Arial"/>
          <w:sz w:val="22"/>
          <w:szCs w:val="22"/>
          <w:lang w:val="en-GB"/>
        </w:rPr>
      </w:pPr>
      <w:r w:rsidRPr="00362020">
        <w:rPr>
          <w:rFonts w:ascii="Arial" w:hAnsi="Arial" w:cs="Arial"/>
          <w:sz w:val="22"/>
          <w:szCs w:val="22"/>
          <w:lang w:val="en-GB"/>
        </w:rPr>
        <w:t xml:space="preserve">Drageset, J., Eide, G.E. and Ranhoff, A.H. (2013) ‘Emotional loneliness is associated with mortality among mentally intact nursing home residents with and without cancer: a five-year follow-up study’, </w:t>
      </w:r>
      <w:r w:rsidRPr="00362020">
        <w:rPr>
          <w:rFonts w:ascii="Arial" w:hAnsi="Arial" w:cs="Arial"/>
          <w:i/>
          <w:iCs/>
          <w:sz w:val="22"/>
          <w:szCs w:val="22"/>
          <w:lang w:val="en-GB"/>
        </w:rPr>
        <w:t>Journal of Clinical Nursing</w:t>
      </w:r>
      <w:r w:rsidRPr="00362020">
        <w:rPr>
          <w:rFonts w:ascii="Arial" w:hAnsi="Arial" w:cs="Arial"/>
          <w:sz w:val="22"/>
          <w:szCs w:val="22"/>
          <w:lang w:val="en-GB"/>
        </w:rPr>
        <w:t>, 22(1–2), pp. 106–114.</w:t>
      </w:r>
    </w:p>
    <w:p w14:paraId="00A543D7" w14:textId="77777777" w:rsidR="00362020" w:rsidRPr="00362020" w:rsidRDefault="00362020" w:rsidP="00362020">
      <w:pPr>
        <w:spacing w:before="240" w:after="240" w:line="360" w:lineRule="auto"/>
        <w:ind w:left="57" w:right="57"/>
        <w:jc w:val="both"/>
        <w:rPr>
          <w:rFonts w:ascii="Arial" w:hAnsi="Arial" w:cs="Arial"/>
          <w:sz w:val="22"/>
          <w:szCs w:val="22"/>
          <w:lang w:val="en-GB"/>
        </w:rPr>
      </w:pPr>
      <w:r w:rsidRPr="00362020">
        <w:rPr>
          <w:rFonts w:ascii="Arial" w:hAnsi="Arial" w:cs="Arial"/>
          <w:sz w:val="22"/>
          <w:szCs w:val="22"/>
          <w:lang w:val="en-GB"/>
        </w:rPr>
        <w:t xml:space="preserve">Fried, L.P., Tangen, C.M., Walston, J., Newman, A.B., Hirsch, C., Gottdiener, J., Seeman, T., Tracy, R., Kop, W.J., Burke, G. and McBurnie, M.A. (2001) ‘Frailty in older adults: evidence for a phenotype’, </w:t>
      </w:r>
      <w:r w:rsidRPr="00362020">
        <w:rPr>
          <w:rFonts w:ascii="Arial" w:hAnsi="Arial" w:cs="Arial"/>
          <w:i/>
          <w:iCs/>
          <w:sz w:val="22"/>
          <w:szCs w:val="22"/>
          <w:lang w:val="en-GB"/>
        </w:rPr>
        <w:t>The Journals of Gerontology Series A: Biological Sciences and Medical Sciences</w:t>
      </w:r>
      <w:r w:rsidRPr="00362020">
        <w:rPr>
          <w:rFonts w:ascii="Arial" w:hAnsi="Arial" w:cs="Arial"/>
          <w:sz w:val="22"/>
          <w:szCs w:val="22"/>
          <w:lang w:val="en-GB"/>
        </w:rPr>
        <w:t xml:space="preserve">, </w:t>
      </w:r>
      <w:r w:rsidRPr="00362020">
        <w:rPr>
          <w:rFonts w:ascii="Arial" w:hAnsi="Arial" w:cs="Arial"/>
          <w:sz w:val="22"/>
          <w:szCs w:val="22"/>
          <w:lang w:val="en-GB"/>
        </w:rPr>
        <w:lastRenderedPageBreak/>
        <w:t xml:space="preserve">56(3), pp. M146–M156. Available at: </w:t>
      </w:r>
      <w:hyperlink r:id="rId17" w:tgtFrame="_new" w:history="1">
        <w:r w:rsidRPr="00362020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https://doi.org/10.1093/gerona/56.3.m146</w:t>
        </w:r>
      </w:hyperlink>
      <w:r w:rsidRPr="00362020">
        <w:rPr>
          <w:rFonts w:ascii="Arial" w:hAnsi="Arial" w:cs="Arial"/>
          <w:sz w:val="22"/>
          <w:szCs w:val="22"/>
          <w:lang w:val="en-GB"/>
        </w:rPr>
        <w:t xml:space="preserve"> (Accessed: 2 March 2026).</w:t>
      </w:r>
    </w:p>
    <w:p w14:paraId="5F283385" w14:textId="77777777" w:rsidR="00362020" w:rsidRPr="00362020" w:rsidRDefault="00362020" w:rsidP="00362020">
      <w:pPr>
        <w:spacing w:before="240" w:after="240" w:line="360" w:lineRule="auto"/>
        <w:ind w:left="57" w:right="57"/>
        <w:jc w:val="both"/>
        <w:rPr>
          <w:rFonts w:ascii="Arial" w:hAnsi="Arial" w:cs="Arial"/>
          <w:sz w:val="22"/>
          <w:szCs w:val="22"/>
          <w:lang w:val="en-GB"/>
        </w:rPr>
      </w:pPr>
      <w:r w:rsidRPr="00362020">
        <w:rPr>
          <w:rFonts w:ascii="Arial" w:hAnsi="Arial" w:cs="Arial"/>
          <w:sz w:val="22"/>
          <w:szCs w:val="22"/>
          <w:lang w:val="en-GB"/>
        </w:rPr>
        <w:t xml:space="preserve">Goodman, C., Dening, T., Gordon, A.L., Davies, S.L., Meyer, J., Martin, F.C., Gladman, J.R.F. and Bowman, C. (2017) ‘Effective health care for older people living in care homes: an international perspective’, </w:t>
      </w:r>
      <w:r w:rsidRPr="00362020">
        <w:rPr>
          <w:rFonts w:ascii="Arial" w:hAnsi="Arial" w:cs="Arial"/>
          <w:i/>
          <w:iCs/>
          <w:sz w:val="22"/>
          <w:szCs w:val="22"/>
          <w:lang w:val="en-GB"/>
        </w:rPr>
        <w:t>BMC Geriatrics</w:t>
      </w:r>
      <w:r w:rsidRPr="00362020">
        <w:rPr>
          <w:rFonts w:ascii="Arial" w:hAnsi="Arial" w:cs="Arial"/>
          <w:sz w:val="22"/>
          <w:szCs w:val="22"/>
          <w:lang w:val="en-GB"/>
        </w:rPr>
        <w:t xml:space="preserve">, 17, 138. Available at: </w:t>
      </w:r>
      <w:hyperlink r:id="rId18" w:tgtFrame="_new" w:history="1">
        <w:r w:rsidRPr="00362020">
          <w:rPr>
            <w:rStyle w:val="Hyperlink"/>
            <w:rFonts w:ascii="Arial" w:hAnsi="Arial" w:cs="Arial"/>
            <w:sz w:val="22"/>
            <w:szCs w:val="22"/>
            <w:lang w:val="en-GB"/>
          </w:rPr>
          <w:t>https://bmcgeriatr.biomedcentral.com/articles/10.1186/s12877-017-0527-7</w:t>
        </w:r>
      </w:hyperlink>
      <w:r w:rsidRPr="00362020">
        <w:rPr>
          <w:rFonts w:ascii="Arial" w:hAnsi="Arial" w:cs="Arial"/>
          <w:sz w:val="22"/>
          <w:szCs w:val="22"/>
          <w:lang w:val="en-GB"/>
        </w:rPr>
        <w:t xml:space="preserve"> (Accessed: 3 March 2026).</w:t>
      </w:r>
    </w:p>
    <w:p w14:paraId="244D654C" w14:textId="77777777" w:rsidR="00362020" w:rsidRPr="00362020" w:rsidRDefault="00362020" w:rsidP="00362020">
      <w:pPr>
        <w:spacing w:before="240" w:after="240" w:line="360" w:lineRule="auto"/>
        <w:ind w:left="57" w:right="57"/>
        <w:jc w:val="both"/>
        <w:rPr>
          <w:rFonts w:ascii="Arial" w:hAnsi="Arial" w:cs="Arial"/>
          <w:sz w:val="22"/>
          <w:szCs w:val="22"/>
          <w:lang w:val="en-GB"/>
        </w:rPr>
      </w:pPr>
      <w:r w:rsidRPr="00362020">
        <w:rPr>
          <w:rFonts w:ascii="Arial" w:hAnsi="Arial" w:cs="Arial"/>
          <w:sz w:val="22"/>
          <w:szCs w:val="22"/>
          <w:lang w:val="en-GB"/>
        </w:rPr>
        <w:t xml:space="preserve">Hive Life (2020) </w:t>
      </w:r>
      <w:r w:rsidRPr="00362020">
        <w:rPr>
          <w:rFonts w:ascii="Arial" w:hAnsi="Arial" w:cs="Arial"/>
          <w:i/>
          <w:iCs/>
          <w:sz w:val="22"/>
          <w:szCs w:val="22"/>
          <w:lang w:val="en-GB"/>
        </w:rPr>
        <w:t>PARO: The AI therapy robot for elderly patients</w:t>
      </w:r>
      <w:r w:rsidRPr="00362020">
        <w:rPr>
          <w:rFonts w:ascii="Arial" w:hAnsi="Arial" w:cs="Arial"/>
          <w:sz w:val="22"/>
          <w:szCs w:val="22"/>
          <w:lang w:val="en-GB"/>
        </w:rPr>
        <w:t xml:space="preserve">. Available at: </w:t>
      </w:r>
      <w:hyperlink r:id="rId19" w:tgtFrame="_new" w:history="1">
        <w:r w:rsidRPr="00362020">
          <w:rPr>
            <w:rStyle w:val="Hyperlink"/>
            <w:rFonts w:ascii="Arial" w:hAnsi="Arial" w:cs="Arial"/>
            <w:sz w:val="22"/>
            <w:szCs w:val="22"/>
            <w:lang w:val="en-GB"/>
          </w:rPr>
          <w:t>https://hivelife.com/paro/</w:t>
        </w:r>
      </w:hyperlink>
      <w:r w:rsidRPr="00362020">
        <w:rPr>
          <w:rFonts w:ascii="Arial" w:hAnsi="Arial" w:cs="Arial"/>
          <w:sz w:val="22"/>
          <w:szCs w:val="22"/>
          <w:lang w:val="en-GB"/>
        </w:rPr>
        <w:t xml:space="preserve"> (Accessed: 18 February 2026).</w:t>
      </w:r>
    </w:p>
    <w:p w14:paraId="4833D606" w14:textId="77777777" w:rsidR="00362020" w:rsidRPr="00362020" w:rsidRDefault="00362020" w:rsidP="00362020">
      <w:pPr>
        <w:spacing w:before="240" w:after="240" w:line="360" w:lineRule="auto"/>
        <w:ind w:left="57" w:right="57"/>
        <w:jc w:val="both"/>
        <w:rPr>
          <w:rFonts w:ascii="Arial" w:hAnsi="Arial" w:cs="Arial"/>
          <w:sz w:val="22"/>
          <w:szCs w:val="22"/>
          <w:lang w:val="en-GB"/>
        </w:rPr>
      </w:pPr>
      <w:r w:rsidRPr="00362020">
        <w:rPr>
          <w:rFonts w:ascii="Arial" w:hAnsi="Arial" w:cs="Arial"/>
          <w:sz w:val="22"/>
          <w:szCs w:val="22"/>
          <w:lang w:val="en-GB"/>
        </w:rPr>
        <w:t xml:space="preserve">HM Government (2010) </w:t>
      </w:r>
      <w:r w:rsidRPr="00362020">
        <w:rPr>
          <w:rFonts w:ascii="Arial" w:hAnsi="Arial" w:cs="Arial"/>
          <w:i/>
          <w:iCs/>
          <w:sz w:val="22"/>
          <w:szCs w:val="22"/>
          <w:lang w:val="en-GB"/>
        </w:rPr>
        <w:t>Equality Act 2010</w:t>
      </w:r>
      <w:r w:rsidRPr="00362020">
        <w:rPr>
          <w:rFonts w:ascii="Arial" w:hAnsi="Arial" w:cs="Arial"/>
          <w:sz w:val="22"/>
          <w:szCs w:val="22"/>
          <w:lang w:val="en-GB"/>
        </w:rPr>
        <w:t xml:space="preserve">. London: The Stationery Office. Available at: </w:t>
      </w:r>
      <w:hyperlink r:id="rId20" w:tgtFrame="_new" w:history="1">
        <w:r w:rsidRPr="00362020">
          <w:rPr>
            <w:rStyle w:val="Hyperlink"/>
            <w:rFonts w:ascii="Arial" w:hAnsi="Arial" w:cs="Arial"/>
            <w:sz w:val="22"/>
            <w:szCs w:val="22"/>
            <w:lang w:val="en-GB"/>
          </w:rPr>
          <w:t>https://www.legislation.gov.uk/ukpga/2010/15/contents</w:t>
        </w:r>
      </w:hyperlink>
      <w:r w:rsidRPr="00362020">
        <w:rPr>
          <w:rFonts w:ascii="Arial" w:hAnsi="Arial" w:cs="Arial"/>
          <w:sz w:val="22"/>
          <w:szCs w:val="22"/>
          <w:lang w:val="en-GB"/>
        </w:rPr>
        <w:t xml:space="preserve"> (Accessed: 27 February 2026).</w:t>
      </w:r>
    </w:p>
    <w:p w14:paraId="07A66D9D" w14:textId="77777777" w:rsidR="00362020" w:rsidRPr="00362020" w:rsidRDefault="00362020" w:rsidP="00362020">
      <w:pPr>
        <w:spacing w:before="240" w:after="240" w:line="360" w:lineRule="auto"/>
        <w:ind w:left="57" w:right="57"/>
        <w:jc w:val="both"/>
        <w:rPr>
          <w:rFonts w:ascii="Arial" w:hAnsi="Arial" w:cs="Arial"/>
          <w:sz w:val="22"/>
          <w:szCs w:val="22"/>
          <w:lang w:val="en-GB"/>
        </w:rPr>
      </w:pPr>
      <w:r w:rsidRPr="00362020">
        <w:rPr>
          <w:rFonts w:ascii="Arial" w:hAnsi="Arial" w:cs="Arial"/>
          <w:sz w:val="22"/>
          <w:szCs w:val="22"/>
          <w:lang w:val="en-GB"/>
        </w:rPr>
        <w:t xml:space="preserve">Holt-Lunstad, J., Smith, T.B., Baker, M., Harris, T. and Stephenson, D. (2015) ‘Loneliness and social isolation as risk factors for mortality: a meta-analytic review’, </w:t>
      </w:r>
      <w:r w:rsidRPr="00362020">
        <w:rPr>
          <w:rFonts w:ascii="Arial" w:hAnsi="Arial" w:cs="Arial"/>
          <w:i/>
          <w:iCs/>
          <w:sz w:val="22"/>
          <w:szCs w:val="22"/>
          <w:lang w:val="en-GB"/>
        </w:rPr>
        <w:t>Perspectives on Psychological Science</w:t>
      </w:r>
      <w:r w:rsidRPr="00362020">
        <w:rPr>
          <w:rFonts w:ascii="Arial" w:hAnsi="Arial" w:cs="Arial"/>
          <w:sz w:val="22"/>
          <w:szCs w:val="22"/>
          <w:lang w:val="en-GB"/>
        </w:rPr>
        <w:t xml:space="preserve">, 10(2), pp. 227–237. Available at: </w:t>
      </w:r>
      <w:hyperlink r:id="rId21" w:tgtFrame="_new" w:history="1">
        <w:r w:rsidRPr="00362020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https://doi.org/10.1177/1745691614568352</w:t>
        </w:r>
      </w:hyperlink>
      <w:r w:rsidRPr="00362020">
        <w:rPr>
          <w:rFonts w:ascii="Arial" w:hAnsi="Arial" w:cs="Arial"/>
          <w:sz w:val="22"/>
          <w:szCs w:val="22"/>
          <w:lang w:val="en-GB"/>
        </w:rPr>
        <w:t xml:space="preserve"> (Accessed: 4 March 2026).</w:t>
      </w:r>
    </w:p>
    <w:p w14:paraId="16C7D3D0" w14:textId="77777777" w:rsidR="00362020" w:rsidRPr="00362020" w:rsidRDefault="00362020" w:rsidP="00362020">
      <w:pPr>
        <w:spacing w:before="240" w:after="240" w:line="360" w:lineRule="auto"/>
        <w:ind w:left="57" w:right="57"/>
        <w:jc w:val="both"/>
        <w:rPr>
          <w:rFonts w:ascii="Arial" w:hAnsi="Arial" w:cs="Arial"/>
          <w:sz w:val="22"/>
          <w:szCs w:val="22"/>
          <w:lang w:val="en-GB"/>
        </w:rPr>
      </w:pPr>
      <w:r w:rsidRPr="00362020">
        <w:rPr>
          <w:rFonts w:ascii="Arial" w:hAnsi="Arial" w:cs="Arial"/>
          <w:sz w:val="22"/>
          <w:szCs w:val="22"/>
          <w:lang w:val="en-GB"/>
        </w:rPr>
        <w:t xml:space="preserve">Livingston, G., Huntley, J., Sommerlad, A., Ames, D., Ballard, C., Banerjee, S., Brayne, C., Burns, A., Cohen-Mansfield, J., Cooper, C., Costafreda, S.G., Dias, A., Fox, N., Gitlin, L.N., Howard, R., Kales, H.C., Kivimäki, M., Larson, E.B., Ogunniyi, A., Orgeta, V., Ritchie, K., Rockwood, K., Sampson, E.L., Samus, Q., Schneider, L.S., Selbæk, G., Teri, L. and Mukadam, N. (2020) ‘Dementia prevention, intervention, and care: 2020 report of the Lancet Commission’, </w:t>
      </w:r>
      <w:r w:rsidRPr="00362020">
        <w:rPr>
          <w:rFonts w:ascii="Arial" w:hAnsi="Arial" w:cs="Arial"/>
          <w:i/>
          <w:iCs/>
          <w:sz w:val="22"/>
          <w:szCs w:val="22"/>
          <w:lang w:val="en-GB"/>
        </w:rPr>
        <w:t>The Lancet</w:t>
      </w:r>
      <w:r w:rsidRPr="00362020">
        <w:rPr>
          <w:rFonts w:ascii="Arial" w:hAnsi="Arial" w:cs="Arial"/>
          <w:sz w:val="22"/>
          <w:szCs w:val="22"/>
          <w:lang w:val="en-GB"/>
        </w:rPr>
        <w:t xml:space="preserve">, 396(10248), pp. 413–446. Available at: </w:t>
      </w:r>
      <w:hyperlink r:id="rId22" w:tgtFrame="_new" w:history="1">
        <w:r w:rsidRPr="00362020">
          <w:rPr>
            <w:rStyle w:val="Hyperlink"/>
            <w:rFonts w:ascii="Arial" w:hAnsi="Arial" w:cs="Arial"/>
            <w:sz w:val="22"/>
            <w:szCs w:val="22"/>
            <w:lang w:val="en-GB"/>
          </w:rPr>
          <w:t>https://pubmed.ncbi.nlm.nih.gov/32738937/</w:t>
        </w:r>
      </w:hyperlink>
      <w:r w:rsidRPr="00362020">
        <w:rPr>
          <w:rFonts w:ascii="Arial" w:hAnsi="Arial" w:cs="Arial"/>
          <w:sz w:val="22"/>
          <w:szCs w:val="22"/>
          <w:lang w:val="en-GB"/>
        </w:rPr>
        <w:t xml:space="preserve"> (Accessed: 3 March 2026).</w:t>
      </w:r>
    </w:p>
    <w:p w14:paraId="0B1599BF" w14:textId="77777777" w:rsidR="00362020" w:rsidRPr="00362020" w:rsidRDefault="00362020" w:rsidP="00362020">
      <w:pPr>
        <w:spacing w:before="240" w:after="240" w:line="360" w:lineRule="auto"/>
        <w:ind w:left="57" w:right="57"/>
        <w:jc w:val="both"/>
        <w:rPr>
          <w:rFonts w:ascii="Arial" w:hAnsi="Arial" w:cs="Arial"/>
          <w:sz w:val="22"/>
          <w:szCs w:val="22"/>
          <w:lang w:val="en-GB"/>
        </w:rPr>
      </w:pPr>
      <w:r w:rsidRPr="00362020">
        <w:rPr>
          <w:rFonts w:ascii="Arial" w:hAnsi="Arial" w:cs="Arial"/>
          <w:sz w:val="22"/>
          <w:szCs w:val="22"/>
          <w:lang w:val="en-GB"/>
        </w:rPr>
        <w:t xml:space="preserve">National Institute for Health and Care Excellence (2013) </w:t>
      </w:r>
      <w:r w:rsidRPr="00362020">
        <w:rPr>
          <w:rFonts w:ascii="Arial" w:hAnsi="Arial" w:cs="Arial"/>
          <w:i/>
          <w:iCs/>
          <w:sz w:val="22"/>
          <w:szCs w:val="22"/>
          <w:lang w:val="en-GB"/>
        </w:rPr>
        <w:t>Mental wellbeing of older people in care homes (Quality Standard 50)</w:t>
      </w:r>
      <w:r w:rsidRPr="00362020">
        <w:rPr>
          <w:rFonts w:ascii="Arial" w:hAnsi="Arial" w:cs="Arial"/>
          <w:sz w:val="22"/>
          <w:szCs w:val="22"/>
          <w:lang w:val="en-GB"/>
        </w:rPr>
        <w:t xml:space="preserve">. London: NICE. Available at: </w:t>
      </w:r>
      <w:hyperlink r:id="rId23" w:tgtFrame="_new" w:history="1">
        <w:r w:rsidRPr="00362020">
          <w:rPr>
            <w:rStyle w:val="Hyperlink"/>
            <w:rFonts w:ascii="Arial" w:hAnsi="Arial" w:cs="Arial"/>
            <w:sz w:val="22"/>
            <w:szCs w:val="22"/>
            <w:lang w:val="en-GB"/>
          </w:rPr>
          <w:t>https://www.nice.org.uk/guidance/qs50</w:t>
        </w:r>
      </w:hyperlink>
      <w:r w:rsidRPr="00362020">
        <w:rPr>
          <w:rFonts w:ascii="Arial" w:hAnsi="Arial" w:cs="Arial"/>
          <w:sz w:val="22"/>
          <w:szCs w:val="22"/>
          <w:lang w:val="en-GB"/>
        </w:rPr>
        <w:t xml:space="preserve"> (Accessed: 3 March 2026).</w:t>
      </w:r>
    </w:p>
    <w:p w14:paraId="56B7FD4A" w14:textId="77777777" w:rsidR="00362020" w:rsidRPr="00362020" w:rsidRDefault="00362020" w:rsidP="00362020">
      <w:pPr>
        <w:spacing w:before="240" w:after="240" w:line="360" w:lineRule="auto"/>
        <w:ind w:left="57" w:right="57"/>
        <w:jc w:val="both"/>
        <w:rPr>
          <w:rFonts w:ascii="Arial" w:hAnsi="Arial" w:cs="Arial"/>
          <w:sz w:val="22"/>
          <w:szCs w:val="22"/>
          <w:lang w:val="en-GB"/>
        </w:rPr>
      </w:pPr>
      <w:r w:rsidRPr="00362020">
        <w:rPr>
          <w:rFonts w:ascii="Arial" w:hAnsi="Arial" w:cs="Arial"/>
          <w:sz w:val="22"/>
          <w:szCs w:val="22"/>
          <w:lang w:val="en-GB"/>
        </w:rPr>
        <w:t xml:space="preserve">Spillman, B.C., Freedman, V.A., Kasper, J.D. and Wolff, J.L. (2019) ‘Change over time in caregiving networks for older adults with and without dementia’, </w:t>
      </w:r>
      <w:r w:rsidRPr="00362020">
        <w:rPr>
          <w:rFonts w:ascii="Arial" w:hAnsi="Arial" w:cs="Arial"/>
          <w:i/>
          <w:iCs/>
          <w:sz w:val="22"/>
          <w:szCs w:val="22"/>
          <w:lang w:val="en-GB"/>
        </w:rPr>
        <w:t>The Journals of Gerontology: Series B</w:t>
      </w:r>
      <w:r w:rsidRPr="00362020">
        <w:rPr>
          <w:rFonts w:ascii="Arial" w:hAnsi="Arial" w:cs="Arial"/>
          <w:sz w:val="22"/>
          <w:szCs w:val="22"/>
          <w:lang w:val="en-GB"/>
        </w:rPr>
        <w:t xml:space="preserve">, 75(7), pp. 1563–1572. Available at: </w:t>
      </w:r>
      <w:hyperlink r:id="rId24" w:tgtFrame="_new" w:history="1">
        <w:r w:rsidRPr="00362020">
          <w:rPr>
            <w:rStyle w:val="Hyperlink"/>
            <w:rFonts w:ascii="Arial" w:hAnsi="Arial" w:cs="Arial"/>
            <w:sz w:val="22"/>
            <w:szCs w:val="22"/>
            <w:lang w:val="en-GB"/>
          </w:rPr>
          <w:t>https://pubmed.ncbi.nlm.nih.gov/31102533/</w:t>
        </w:r>
      </w:hyperlink>
      <w:r w:rsidRPr="00362020">
        <w:rPr>
          <w:rFonts w:ascii="Arial" w:hAnsi="Arial" w:cs="Arial"/>
          <w:sz w:val="22"/>
          <w:szCs w:val="22"/>
          <w:lang w:val="en-GB"/>
        </w:rPr>
        <w:t xml:space="preserve"> (Accessed: 3 March 2026).</w:t>
      </w:r>
    </w:p>
    <w:p w14:paraId="6B7CF5F8" w14:textId="77777777" w:rsidR="00362020" w:rsidRPr="00362020" w:rsidRDefault="00362020" w:rsidP="00362020">
      <w:pPr>
        <w:spacing w:before="240" w:after="240" w:line="360" w:lineRule="auto"/>
        <w:ind w:left="57" w:right="57"/>
        <w:jc w:val="both"/>
        <w:rPr>
          <w:rFonts w:ascii="Arial" w:hAnsi="Arial" w:cs="Arial"/>
          <w:sz w:val="22"/>
          <w:szCs w:val="22"/>
          <w:lang w:val="en-GB"/>
        </w:rPr>
      </w:pPr>
      <w:r w:rsidRPr="00362020">
        <w:rPr>
          <w:rFonts w:ascii="Arial" w:hAnsi="Arial" w:cs="Arial"/>
          <w:sz w:val="22"/>
          <w:szCs w:val="22"/>
          <w:lang w:val="en-GB"/>
        </w:rPr>
        <w:lastRenderedPageBreak/>
        <w:t xml:space="preserve">Towers, A.-M., Smith, N., Palmer, S., Welch, E., Netten, A. and Forder, J. (2016) ‘The acceptability and feasibility of using the Adult Social Care Outcomes Toolkit (ASCOT) in care homes’, </w:t>
      </w:r>
      <w:r w:rsidRPr="00362020">
        <w:rPr>
          <w:rFonts w:ascii="Arial" w:hAnsi="Arial" w:cs="Arial"/>
          <w:i/>
          <w:iCs/>
          <w:sz w:val="22"/>
          <w:szCs w:val="22"/>
          <w:lang w:val="en-GB"/>
        </w:rPr>
        <w:t>Health and Quality of Life Outcomes</w:t>
      </w:r>
      <w:r w:rsidRPr="00362020">
        <w:rPr>
          <w:rFonts w:ascii="Arial" w:hAnsi="Arial" w:cs="Arial"/>
          <w:sz w:val="22"/>
          <w:szCs w:val="22"/>
          <w:lang w:val="en-GB"/>
        </w:rPr>
        <w:t xml:space="preserve">, 14, 39. Available at: </w:t>
      </w:r>
      <w:hyperlink r:id="rId25" w:tgtFrame="_new" w:history="1">
        <w:r w:rsidRPr="00362020">
          <w:rPr>
            <w:rStyle w:val="Hyperlink"/>
            <w:rFonts w:ascii="Arial" w:hAnsi="Arial" w:cs="Arial"/>
            <w:sz w:val="22"/>
            <w:szCs w:val="22"/>
            <w:lang w:val="en-GB"/>
          </w:rPr>
          <w:t>https://hqlo.biomedcentral.com/articles/10.1186/s12955-016-0432-2</w:t>
        </w:r>
      </w:hyperlink>
      <w:r w:rsidRPr="00362020">
        <w:rPr>
          <w:rFonts w:ascii="Arial" w:hAnsi="Arial" w:cs="Arial"/>
          <w:sz w:val="22"/>
          <w:szCs w:val="22"/>
          <w:lang w:val="en-GB"/>
        </w:rPr>
        <w:t xml:space="preserve"> (Accessed: 4 March 2026).</w:t>
      </w:r>
    </w:p>
    <w:p w14:paraId="33F50F20" w14:textId="5A6DAA9E" w:rsidR="00362020" w:rsidRPr="00362020" w:rsidRDefault="00362020" w:rsidP="00362020">
      <w:pPr>
        <w:spacing w:before="240" w:after="240" w:line="360" w:lineRule="auto"/>
        <w:ind w:left="57" w:right="57"/>
        <w:jc w:val="both"/>
        <w:rPr>
          <w:rFonts w:ascii="Arial" w:hAnsi="Arial" w:cs="Arial"/>
          <w:sz w:val="22"/>
          <w:szCs w:val="22"/>
          <w:lang w:val="en-GB"/>
        </w:rPr>
      </w:pPr>
      <w:r w:rsidRPr="00362020">
        <w:rPr>
          <w:rFonts w:ascii="Arial" w:hAnsi="Arial" w:cs="Arial"/>
          <w:sz w:val="22"/>
          <w:szCs w:val="22"/>
          <w:lang w:val="en-GB"/>
        </w:rPr>
        <w:t xml:space="preserve">World Health Organization (2015) </w:t>
      </w:r>
      <w:r w:rsidRPr="00362020">
        <w:rPr>
          <w:rFonts w:ascii="Arial" w:hAnsi="Arial" w:cs="Arial"/>
          <w:i/>
          <w:iCs/>
          <w:sz w:val="22"/>
          <w:szCs w:val="22"/>
          <w:lang w:val="en-GB"/>
        </w:rPr>
        <w:t>World report on ageing and health</w:t>
      </w:r>
      <w:r w:rsidRPr="00362020">
        <w:rPr>
          <w:rFonts w:ascii="Arial" w:hAnsi="Arial" w:cs="Arial"/>
          <w:sz w:val="22"/>
          <w:szCs w:val="22"/>
          <w:lang w:val="en-GB"/>
        </w:rPr>
        <w:t xml:space="preserve">. Geneva: World Health Organization. Available at: </w:t>
      </w:r>
      <w:hyperlink r:id="rId26" w:tgtFrame="_new" w:history="1">
        <w:r w:rsidRPr="00362020">
          <w:rPr>
            <w:rStyle w:val="Hyperlink"/>
            <w:rFonts w:ascii="Arial" w:hAnsi="Arial" w:cs="Arial"/>
            <w:sz w:val="22"/>
            <w:szCs w:val="22"/>
            <w:lang w:val="en-GB"/>
          </w:rPr>
          <w:t>https://iris.who.int/handle/10665/186463</w:t>
        </w:r>
      </w:hyperlink>
      <w:r w:rsidRPr="00362020">
        <w:rPr>
          <w:rFonts w:ascii="Arial" w:hAnsi="Arial" w:cs="Arial"/>
          <w:sz w:val="22"/>
          <w:szCs w:val="22"/>
          <w:lang w:val="en-GB"/>
        </w:rPr>
        <w:t xml:space="preserve"> (Accessed: </w:t>
      </w:r>
      <w:r w:rsidR="0039703F">
        <w:rPr>
          <w:rFonts w:ascii="Arial" w:hAnsi="Arial" w:cs="Arial"/>
          <w:sz w:val="22"/>
          <w:szCs w:val="22"/>
          <w:lang w:val="en-GB"/>
        </w:rPr>
        <w:t>6</w:t>
      </w:r>
      <w:r w:rsidRPr="00362020">
        <w:rPr>
          <w:rFonts w:ascii="Arial" w:hAnsi="Arial" w:cs="Arial"/>
          <w:sz w:val="22"/>
          <w:szCs w:val="22"/>
          <w:lang w:val="en-GB"/>
        </w:rPr>
        <w:t xml:space="preserve"> March 2026).</w:t>
      </w:r>
    </w:p>
    <w:p w14:paraId="5B5204FB" w14:textId="77777777" w:rsidR="00362020" w:rsidRPr="00362020" w:rsidRDefault="00362020" w:rsidP="00362020">
      <w:pPr>
        <w:spacing w:before="240" w:after="240" w:line="360" w:lineRule="auto"/>
        <w:ind w:left="57" w:right="57"/>
        <w:jc w:val="both"/>
        <w:rPr>
          <w:rFonts w:ascii="Arial" w:hAnsi="Arial" w:cs="Arial"/>
          <w:sz w:val="22"/>
          <w:szCs w:val="22"/>
          <w:lang w:val="en-GB"/>
        </w:rPr>
      </w:pPr>
      <w:r w:rsidRPr="00362020">
        <w:rPr>
          <w:rFonts w:ascii="Arial" w:hAnsi="Arial" w:cs="Arial"/>
          <w:sz w:val="22"/>
          <w:szCs w:val="22"/>
          <w:lang w:val="en-GB"/>
        </w:rPr>
        <w:t xml:space="preserve">World Health Organization (2022) </w:t>
      </w:r>
      <w:r w:rsidRPr="00362020">
        <w:rPr>
          <w:rFonts w:ascii="Arial" w:hAnsi="Arial" w:cs="Arial"/>
          <w:i/>
          <w:iCs/>
          <w:sz w:val="22"/>
          <w:szCs w:val="22"/>
          <w:lang w:val="en-GB"/>
        </w:rPr>
        <w:t>Decade of Healthy Ageing: Baseline report 2021–2030</w:t>
      </w:r>
      <w:r w:rsidRPr="00362020">
        <w:rPr>
          <w:rFonts w:ascii="Arial" w:hAnsi="Arial" w:cs="Arial"/>
          <w:sz w:val="22"/>
          <w:szCs w:val="22"/>
          <w:lang w:val="en-GB"/>
        </w:rPr>
        <w:t xml:space="preserve">. Geneva: World Health Organization. Available at: </w:t>
      </w:r>
      <w:hyperlink r:id="rId27" w:tgtFrame="_new" w:history="1">
        <w:r w:rsidRPr="00362020">
          <w:rPr>
            <w:rStyle w:val="Hyperlink"/>
            <w:rFonts w:ascii="Arial" w:hAnsi="Arial" w:cs="Arial"/>
            <w:sz w:val="22"/>
            <w:szCs w:val="22"/>
            <w:lang w:val="en-GB"/>
          </w:rPr>
          <w:t>https://www.who.int/publications/b/57675</w:t>
        </w:r>
      </w:hyperlink>
      <w:r w:rsidRPr="00362020">
        <w:rPr>
          <w:rFonts w:ascii="Arial" w:hAnsi="Arial" w:cs="Arial"/>
          <w:sz w:val="22"/>
          <w:szCs w:val="22"/>
          <w:lang w:val="en-GB"/>
        </w:rPr>
        <w:t xml:space="preserve"> (Accessed: 3 March 2026).</w:t>
      </w:r>
    </w:p>
    <w:p w14:paraId="74960086" w14:textId="13A383FC" w:rsidR="00362020" w:rsidRPr="00362020" w:rsidRDefault="00362020" w:rsidP="00362020">
      <w:pPr>
        <w:spacing w:before="240" w:after="240" w:line="360" w:lineRule="auto"/>
        <w:ind w:left="57" w:right="57"/>
        <w:jc w:val="both"/>
        <w:rPr>
          <w:rFonts w:ascii="Arial" w:hAnsi="Arial" w:cs="Arial"/>
          <w:sz w:val="22"/>
          <w:szCs w:val="22"/>
          <w:lang w:val="en-GB"/>
        </w:rPr>
      </w:pPr>
      <w:r w:rsidRPr="00362020">
        <w:rPr>
          <w:rFonts w:ascii="Arial" w:hAnsi="Arial" w:cs="Arial"/>
          <w:sz w:val="22"/>
          <w:szCs w:val="22"/>
          <w:lang w:val="en-GB"/>
        </w:rPr>
        <w:t xml:space="preserve">Zimmerman, S., Sloane, P.D. and Katz, P.R. (2020) ‘The need to include assisted living in responding to the COVID-19 pandemic’, </w:t>
      </w:r>
      <w:r w:rsidRPr="00362020">
        <w:rPr>
          <w:rFonts w:ascii="Arial" w:hAnsi="Arial" w:cs="Arial"/>
          <w:i/>
          <w:iCs/>
          <w:sz w:val="22"/>
          <w:szCs w:val="22"/>
          <w:lang w:val="en-GB"/>
        </w:rPr>
        <w:t>Journal of the American Medical Directors Association</w:t>
      </w:r>
      <w:r w:rsidRPr="00362020">
        <w:rPr>
          <w:rFonts w:ascii="Arial" w:hAnsi="Arial" w:cs="Arial"/>
          <w:sz w:val="22"/>
          <w:szCs w:val="22"/>
          <w:lang w:val="en-GB"/>
        </w:rPr>
        <w:t xml:space="preserve">, 21(5), pp. 572–575. Available at: </w:t>
      </w:r>
      <w:hyperlink r:id="rId28" w:tgtFrame="_new" w:history="1">
        <w:r w:rsidRPr="00362020">
          <w:rPr>
            <w:rStyle w:val="Hyperlink"/>
            <w:rFonts w:ascii="Arial" w:hAnsi="Arial" w:cs="Arial"/>
            <w:sz w:val="22"/>
            <w:szCs w:val="22"/>
            <w:lang w:val="en-GB"/>
          </w:rPr>
          <w:t>https://pubmed.ncbi.nlm.nih.gov/32334770/</w:t>
        </w:r>
      </w:hyperlink>
      <w:r w:rsidRPr="00362020">
        <w:rPr>
          <w:rFonts w:ascii="Arial" w:hAnsi="Arial" w:cs="Arial"/>
          <w:sz w:val="22"/>
          <w:szCs w:val="22"/>
          <w:lang w:val="en-GB"/>
        </w:rPr>
        <w:t xml:space="preserve"> (Accessed: </w:t>
      </w:r>
      <w:r w:rsidR="0039703F">
        <w:rPr>
          <w:rFonts w:ascii="Arial" w:hAnsi="Arial" w:cs="Arial"/>
          <w:sz w:val="22"/>
          <w:szCs w:val="22"/>
          <w:lang w:val="en-GB"/>
        </w:rPr>
        <w:t>6</w:t>
      </w:r>
      <w:r w:rsidRPr="00362020">
        <w:rPr>
          <w:rFonts w:ascii="Arial" w:hAnsi="Arial" w:cs="Arial"/>
          <w:sz w:val="22"/>
          <w:szCs w:val="22"/>
          <w:lang w:val="en-GB"/>
        </w:rPr>
        <w:t xml:space="preserve"> March 2026).</w:t>
      </w:r>
    </w:p>
    <w:p w14:paraId="2DD6EE19" w14:textId="77777777" w:rsidR="00A5029A" w:rsidRPr="00A5029A" w:rsidRDefault="00A5029A" w:rsidP="00A5029A">
      <w:pPr>
        <w:spacing w:before="240" w:after="240" w:line="360" w:lineRule="auto"/>
        <w:ind w:left="57" w:right="57"/>
        <w:jc w:val="both"/>
        <w:rPr>
          <w:rFonts w:ascii="Arial" w:hAnsi="Arial" w:cs="Arial"/>
          <w:sz w:val="22"/>
          <w:szCs w:val="22"/>
          <w:lang w:val="en-GB"/>
        </w:rPr>
      </w:pPr>
    </w:p>
    <w:p w14:paraId="325C36FE" w14:textId="77777777" w:rsidR="00A5029A" w:rsidRPr="00C62CDF" w:rsidRDefault="00A5029A" w:rsidP="00C62CDF">
      <w:pPr>
        <w:spacing w:before="240" w:after="240" w:line="360" w:lineRule="auto"/>
        <w:ind w:left="57" w:right="57"/>
        <w:jc w:val="both"/>
        <w:rPr>
          <w:rFonts w:ascii="Arial" w:hAnsi="Arial" w:cs="Arial"/>
          <w:sz w:val="22"/>
          <w:szCs w:val="22"/>
        </w:rPr>
      </w:pPr>
    </w:p>
    <w:p w14:paraId="2C078E63" w14:textId="4274528F" w:rsidR="0047171D" w:rsidRDefault="00E01D30" w:rsidP="00E01D30">
      <w:pPr>
        <w:jc w:val="center"/>
      </w:pPr>
      <w:r>
        <w:rPr>
          <w:noProof/>
        </w:rPr>
        <w:drawing>
          <wp:inline distT="0" distB="0" distL="0" distR="0" wp14:anchorId="039011DE" wp14:editId="66A2630C">
            <wp:extent cx="2209800" cy="819150"/>
            <wp:effectExtent l="0" t="0" r="0" b="0"/>
            <wp:docPr id="531174984" name="drawing" descr="A pink roses and green leav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1174984" name="drawing" descr="A pink roses and green leaves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9800" cy="81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7171D">
      <w:footerReference w:type="default" r:id="rId3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89B0E4" w14:textId="77777777" w:rsidR="008E12D5" w:rsidRDefault="008E12D5" w:rsidP="00896873">
      <w:pPr>
        <w:spacing w:after="0" w:line="240" w:lineRule="auto"/>
      </w:pPr>
      <w:r>
        <w:separator/>
      </w:r>
    </w:p>
  </w:endnote>
  <w:endnote w:type="continuationSeparator" w:id="0">
    <w:p w14:paraId="05AA5820" w14:textId="77777777" w:rsidR="008E12D5" w:rsidRDefault="008E12D5" w:rsidP="008968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Georgia Pro Cond">
    <w:panose1 w:val="02040506050405020303"/>
    <w:charset w:val="00"/>
    <w:family w:val="roman"/>
    <w:pitch w:val="variable"/>
    <w:sig w:usb0="800002AF" w:usb1="00000003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4970958"/>
      <w:docPartObj>
        <w:docPartGallery w:val="Page Numbers (Bottom of Page)"/>
        <w:docPartUnique/>
      </w:docPartObj>
    </w:sdtPr>
    <w:sdtContent>
      <w:p w14:paraId="7FD12569" w14:textId="567C9050" w:rsidR="00896873" w:rsidRDefault="00896873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3501524C" w14:textId="77777777" w:rsidR="00896873" w:rsidRDefault="0089687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B0E15D" w14:textId="77777777" w:rsidR="008E12D5" w:rsidRDefault="008E12D5" w:rsidP="00896873">
      <w:pPr>
        <w:spacing w:after="0" w:line="240" w:lineRule="auto"/>
      </w:pPr>
      <w:r>
        <w:separator/>
      </w:r>
    </w:p>
  </w:footnote>
  <w:footnote w:type="continuationSeparator" w:id="0">
    <w:p w14:paraId="1B806A2B" w14:textId="77777777" w:rsidR="008E12D5" w:rsidRDefault="008E12D5" w:rsidP="0089687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374ECB"/>
    <w:multiLevelType w:val="hybridMultilevel"/>
    <w:tmpl w:val="9E6C3CB2"/>
    <w:lvl w:ilvl="0" w:tplc="E66A30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412BD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0D84DD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CB2EF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7644C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F1AAB6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C66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CC94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5E255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C7F75B"/>
    <w:multiLevelType w:val="hybridMultilevel"/>
    <w:tmpl w:val="EBA4B8CA"/>
    <w:lvl w:ilvl="0" w:tplc="9C96C6CA">
      <w:start w:val="1"/>
      <w:numFmt w:val="decimal"/>
      <w:lvlText w:val="%1."/>
      <w:lvlJc w:val="left"/>
      <w:pPr>
        <w:ind w:left="720" w:hanging="360"/>
      </w:pPr>
    </w:lvl>
    <w:lvl w:ilvl="1" w:tplc="BCC673D4">
      <w:start w:val="1"/>
      <w:numFmt w:val="lowerLetter"/>
      <w:lvlText w:val="%2."/>
      <w:lvlJc w:val="left"/>
      <w:pPr>
        <w:ind w:left="1440" w:hanging="360"/>
      </w:pPr>
    </w:lvl>
    <w:lvl w:ilvl="2" w:tplc="0B82C6EE">
      <w:start w:val="1"/>
      <w:numFmt w:val="lowerRoman"/>
      <w:lvlText w:val="%3."/>
      <w:lvlJc w:val="right"/>
      <w:pPr>
        <w:ind w:left="2160" w:hanging="180"/>
      </w:pPr>
    </w:lvl>
    <w:lvl w:ilvl="3" w:tplc="49A481AA">
      <w:start w:val="1"/>
      <w:numFmt w:val="decimal"/>
      <w:lvlText w:val="%4."/>
      <w:lvlJc w:val="left"/>
      <w:pPr>
        <w:ind w:left="2880" w:hanging="360"/>
      </w:pPr>
    </w:lvl>
    <w:lvl w:ilvl="4" w:tplc="F7284F9E">
      <w:start w:val="1"/>
      <w:numFmt w:val="lowerLetter"/>
      <w:lvlText w:val="%5."/>
      <w:lvlJc w:val="left"/>
      <w:pPr>
        <w:ind w:left="3600" w:hanging="360"/>
      </w:pPr>
    </w:lvl>
    <w:lvl w:ilvl="5" w:tplc="C18E1C72">
      <w:start w:val="1"/>
      <w:numFmt w:val="lowerRoman"/>
      <w:lvlText w:val="%6."/>
      <w:lvlJc w:val="right"/>
      <w:pPr>
        <w:ind w:left="4320" w:hanging="180"/>
      </w:pPr>
    </w:lvl>
    <w:lvl w:ilvl="6" w:tplc="897025DE">
      <w:start w:val="1"/>
      <w:numFmt w:val="decimal"/>
      <w:lvlText w:val="%7."/>
      <w:lvlJc w:val="left"/>
      <w:pPr>
        <w:ind w:left="5040" w:hanging="360"/>
      </w:pPr>
    </w:lvl>
    <w:lvl w:ilvl="7" w:tplc="FCDE9CEA">
      <w:start w:val="1"/>
      <w:numFmt w:val="lowerLetter"/>
      <w:lvlText w:val="%8."/>
      <w:lvlJc w:val="left"/>
      <w:pPr>
        <w:ind w:left="5760" w:hanging="360"/>
      </w:pPr>
    </w:lvl>
    <w:lvl w:ilvl="8" w:tplc="6C3E156C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384AD6"/>
    <w:multiLevelType w:val="hybridMultilevel"/>
    <w:tmpl w:val="B7E424F6"/>
    <w:lvl w:ilvl="0" w:tplc="4170CF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35CFE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40C34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9C849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A50A9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241BF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3E213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64A4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3A0F4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7B3D12F"/>
    <w:multiLevelType w:val="hybridMultilevel"/>
    <w:tmpl w:val="F5161204"/>
    <w:lvl w:ilvl="0" w:tplc="83745A60">
      <w:start w:val="1"/>
      <w:numFmt w:val="decimal"/>
      <w:lvlText w:val="%1."/>
      <w:lvlJc w:val="left"/>
      <w:pPr>
        <w:ind w:left="720" w:hanging="360"/>
      </w:pPr>
    </w:lvl>
    <w:lvl w:ilvl="1" w:tplc="8E748E1C">
      <w:start w:val="1"/>
      <w:numFmt w:val="lowerLetter"/>
      <w:lvlText w:val="%2."/>
      <w:lvlJc w:val="left"/>
      <w:pPr>
        <w:ind w:left="1440" w:hanging="360"/>
      </w:pPr>
    </w:lvl>
    <w:lvl w:ilvl="2" w:tplc="7400C592">
      <w:start w:val="1"/>
      <w:numFmt w:val="lowerRoman"/>
      <w:lvlText w:val="%3."/>
      <w:lvlJc w:val="right"/>
      <w:pPr>
        <w:ind w:left="2160" w:hanging="180"/>
      </w:pPr>
    </w:lvl>
    <w:lvl w:ilvl="3" w:tplc="15384E0C">
      <w:start w:val="1"/>
      <w:numFmt w:val="decimal"/>
      <w:lvlText w:val="%4."/>
      <w:lvlJc w:val="left"/>
      <w:pPr>
        <w:ind w:left="2880" w:hanging="360"/>
      </w:pPr>
    </w:lvl>
    <w:lvl w:ilvl="4" w:tplc="997E0768">
      <w:start w:val="1"/>
      <w:numFmt w:val="lowerLetter"/>
      <w:lvlText w:val="%5."/>
      <w:lvlJc w:val="left"/>
      <w:pPr>
        <w:ind w:left="3600" w:hanging="360"/>
      </w:pPr>
    </w:lvl>
    <w:lvl w:ilvl="5" w:tplc="61B84BC8">
      <w:start w:val="1"/>
      <w:numFmt w:val="lowerRoman"/>
      <w:lvlText w:val="%6."/>
      <w:lvlJc w:val="right"/>
      <w:pPr>
        <w:ind w:left="4320" w:hanging="180"/>
      </w:pPr>
    </w:lvl>
    <w:lvl w:ilvl="6" w:tplc="9ABCA53E">
      <w:start w:val="1"/>
      <w:numFmt w:val="decimal"/>
      <w:lvlText w:val="%7."/>
      <w:lvlJc w:val="left"/>
      <w:pPr>
        <w:ind w:left="5040" w:hanging="360"/>
      </w:pPr>
    </w:lvl>
    <w:lvl w:ilvl="7" w:tplc="E3DC0A2C">
      <w:start w:val="1"/>
      <w:numFmt w:val="lowerLetter"/>
      <w:lvlText w:val="%8."/>
      <w:lvlJc w:val="left"/>
      <w:pPr>
        <w:ind w:left="5760" w:hanging="360"/>
      </w:pPr>
    </w:lvl>
    <w:lvl w:ilvl="8" w:tplc="B00EA5D4">
      <w:start w:val="1"/>
      <w:numFmt w:val="lowerRoman"/>
      <w:lvlText w:val="%9."/>
      <w:lvlJc w:val="right"/>
      <w:pPr>
        <w:ind w:left="6480" w:hanging="180"/>
      </w:pPr>
    </w:lvl>
  </w:abstractNum>
  <w:num w:numId="1" w16cid:durableId="326711511">
    <w:abstractNumId w:val="2"/>
  </w:num>
  <w:num w:numId="2" w16cid:durableId="112792326">
    <w:abstractNumId w:val="3"/>
  </w:num>
  <w:num w:numId="3" w16cid:durableId="1552186738">
    <w:abstractNumId w:val="0"/>
  </w:num>
  <w:num w:numId="4" w16cid:durableId="115529758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E2452AA"/>
    <w:rsid w:val="00052968"/>
    <w:rsid w:val="000C3F22"/>
    <w:rsid w:val="002D7851"/>
    <w:rsid w:val="00362020"/>
    <w:rsid w:val="0039703F"/>
    <w:rsid w:val="0040722B"/>
    <w:rsid w:val="0047171D"/>
    <w:rsid w:val="0049452A"/>
    <w:rsid w:val="00642622"/>
    <w:rsid w:val="007760AA"/>
    <w:rsid w:val="007901F9"/>
    <w:rsid w:val="007F00CB"/>
    <w:rsid w:val="00896873"/>
    <w:rsid w:val="008E12D5"/>
    <w:rsid w:val="009F1875"/>
    <w:rsid w:val="00A5029A"/>
    <w:rsid w:val="00B77C6F"/>
    <w:rsid w:val="00C62CDF"/>
    <w:rsid w:val="00C75C7A"/>
    <w:rsid w:val="00CA4AE7"/>
    <w:rsid w:val="00DF687D"/>
    <w:rsid w:val="00E01D30"/>
    <w:rsid w:val="00FF5A71"/>
    <w:rsid w:val="0253736E"/>
    <w:rsid w:val="05E265E7"/>
    <w:rsid w:val="078EF284"/>
    <w:rsid w:val="0CA309D1"/>
    <w:rsid w:val="0D149C4F"/>
    <w:rsid w:val="0F322F2E"/>
    <w:rsid w:val="11BBBD0D"/>
    <w:rsid w:val="190D9C7A"/>
    <w:rsid w:val="1AF5E924"/>
    <w:rsid w:val="1E32046C"/>
    <w:rsid w:val="1E698456"/>
    <w:rsid w:val="1F92FC76"/>
    <w:rsid w:val="26C982A0"/>
    <w:rsid w:val="28CD315D"/>
    <w:rsid w:val="298DB0CD"/>
    <w:rsid w:val="2AAE7F22"/>
    <w:rsid w:val="303F514F"/>
    <w:rsid w:val="30667031"/>
    <w:rsid w:val="330EE450"/>
    <w:rsid w:val="348A86E6"/>
    <w:rsid w:val="352B0835"/>
    <w:rsid w:val="395AFAF3"/>
    <w:rsid w:val="3EA51090"/>
    <w:rsid w:val="42A9B649"/>
    <w:rsid w:val="4340FC2B"/>
    <w:rsid w:val="44A1E3E9"/>
    <w:rsid w:val="46093688"/>
    <w:rsid w:val="46A06080"/>
    <w:rsid w:val="4BA5A42A"/>
    <w:rsid w:val="4CFF1570"/>
    <w:rsid w:val="536BE322"/>
    <w:rsid w:val="5AD33FF6"/>
    <w:rsid w:val="5BEADB83"/>
    <w:rsid w:val="5C90F61D"/>
    <w:rsid w:val="5CA5DA4D"/>
    <w:rsid w:val="5D94FEBB"/>
    <w:rsid w:val="647EFA9E"/>
    <w:rsid w:val="64954710"/>
    <w:rsid w:val="65B1A555"/>
    <w:rsid w:val="66D16886"/>
    <w:rsid w:val="6A2747C1"/>
    <w:rsid w:val="6A4352F1"/>
    <w:rsid w:val="6C632EBA"/>
    <w:rsid w:val="6FABBD68"/>
    <w:rsid w:val="70C50972"/>
    <w:rsid w:val="7285422F"/>
    <w:rsid w:val="74E0BC59"/>
    <w:rsid w:val="74F5049E"/>
    <w:rsid w:val="75DC9882"/>
    <w:rsid w:val="7C5D7F90"/>
    <w:rsid w:val="7E2452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2452AA"/>
  <w15:chartTrackingRefBased/>
  <w15:docId w15:val="{9C41C651-8B74-4C0D-8D4F-20F334151E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1F92FC76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1F92FC7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968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6873"/>
  </w:style>
  <w:style w:type="paragraph" w:styleId="Footer">
    <w:name w:val="footer"/>
    <w:basedOn w:val="Normal"/>
    <w:link w:val="FooterChar"/>
    <w:uiPriority w:val="99"/>
    <w:unhideWhenUsed/>
    <w:rsid w:val="008968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6873"/>
  </w:style>
  <w:style w:type="character" w:styleId="UnresolvedMention">
    <w:name w:val="Unresolved Mention"/>
    <w:basedOn w:val="DefaultParagraphFont"/>
    <w:uiPriority w:val="99"/>
    <w:semiHidden/>
    <w:unhideWhenUsed/>
    <w:rsid w:val="00A5029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oi.org/10.2147/CIA.S38589" TargetMode="External"/><Relationship Id="rId18" Type="http://schemas.openxmlformats.org/officeDocument/2006/relationships/hyperlink" Target="https://bmcgeriatr.biomedcentral.com/articles/10.1186/s12877-017-0527-7" TargetMode="External"/><Relationship Id="rId26" Type="http://schemas.openxmlformats.org/officeDocument/2006/relationships/hyperlink" Target="https://iris.who.int/handle/10665/186463" TargetMode="External"/><Relationship Id="rId3" Type="http://schemas.openxmlformats.org/officeDocument/2006/relationships/styles" Target="styles.xml"/><Relationship Id="rId21" Type="http://schemas.openxmlformats.org/officeDocument/2006/relationships/hyperlink" Target="https://doi.org/10.1177/1745691614568352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pubmed.ncbi.nlm.nih.gov/28177147/" TargetMode="External"/><Relationship Id="rId17" Type="http://schemas.openxmlformats.org/officeDocument/2006/relationships/hyperlink" Target="https://doi.org/10.1093/gerona/56.3.m146" TargetMode="External"/><Relationship Id="rId25" Type="http://schemas.openxmlformats.org/officeDocument/2006/relationships/hyperlink" Target="https://hqlo.biomedcentral.com/articles/10.1186/s12955-016-0432-2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gov.uk/government/publications/care-act-statutory-guidance" TargetMode="External"/><Relationship Id="rId20" Type="http://schemas.openxmlformats.org/officeDocument/2006/relationships/hyperlink" Target="https://www.legislation.gov.uk/ukpga/2010/15/contents" TargetMode="External"/><Relationship Id="rId29" Type="http://schemas.openxmlformats.org/officeDocument/2006/relationships/image" Target="media/image4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daptiveclothingaustralia.com/post/the-future-of-robotics-in-elderly-care" TargetMode="External"/><Relationship Id="rId24" Type="http://schemas.openxmlformats.org/officeDocument/2006/relationships/hyperlink" Target="https://pubmed.ncbi.nlm.nih.gov/31102533/" TargetMode="External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ageing-better.org.uk/our-ageing-population-state-ageing-2023-4" TargetMode="External"/><Relationship Id="rId23" Type="http://schemas.openxmlformats.org/officeDocument/2006/relationships/hyperlink" Target="https://www.nice.org.uk/guidance/qs50" TargetMode="External"/><Relationship Id="rId28" Type="http://schemas.openxmlformats.org/officeDocument/2006/relationships/hyperlink" Target="https://pubmed.ncbi.nlm.nih.gov/32334770/" TargetMode="External"/><Relationship Id="rId10" Type="http://schemas.openxmlformats.org/officeDocument/2006/relationships/image" Target="media/image3.jpeg"/><Relationship Id="rId19" Type="http://schemas.openxmlformats.org/officeDocument/2006/relationships/hyperlink" Target="https://hivelife.com/paro/" TargetMode="Externa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cqc.org.uk/publications/major-report/state-care" TargetMode="External"/><Relationship Id="rId22" Type="http://schemas.openxmlformats.org/officeDocument/2006/relationships/hyperlink" Target="https://pubmed.ncbi.nlm.nih.gov/32738937/" TargetMode="External"/><Relationship Id="rId27" Type="http://schemas.openxmlformats.org/officeDocument/2006/relationships/hyperlink" Target="https://www.who.int/publications/b/57675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337D527-0B18-484D-8E51-FD0BA8CEED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</TotalTime>
  <Pages>1</Pages>
  <Words>897</Words>
  <Characters>6133</Characters>
  <Application>Microsoft Office Word</Application>
  <DocSecurity>0</DocSecurity>
  <Lines>122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Naheed Ali</dc:creator>
  <cp:keywords/>
  <dc:description/>
  <cp:lastModifiedBy>Naheed Ali</cp:lastModifiedBy>
  <cp:revision>10</cp:revision>
  <dcterms:created xsi:type="dcterms:W3CDTF">2026-03-03T14:54:00Z</dcterms:created>
  <dcterms:modified xsi:type="dcterms:W3CDTF">2026-03-14T14:31:00Z</dcterms:modified>
</cp:coreProperties>
</file>