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F967FD" w14:textId="77777777" w:rsidR="00CF454B" w:rsidRDefault="00CF454B" w:rsidP="00CF454B">
      <w:pPr>
        <w:rPr>
          <w:rFonts w:ascii="Arial" w:hAnsi="Arial" w:cs="Arial"/>
          <w:sz w:val="24"/>
          <w:szCs w:val="24"/>
        </w:rPr>
      </w:pPr>
      <w:r>
        <w:rPr>
          <w:rFonts w:ascii="Arial" w:hAnsi="Arial" w:cs="Arial"/>
          <w:sz w:val="24"/>
          <w:szCs w:val="24"/>
        </w:rPr>
        <w:t>Natalie Newlands</w:t>
      </w:r>
    </w:p>
    <w:p w14:paraId="611727DB" w14:textId="77777777" w:rsidR="00CF454B" w:rsidRDefault="00CF454B" w:rsidP="00CF454B">
      <w:pPr>
        <w:rPr>
          <w:rFonts w:ascii="Arial" w:hAnsi="Arial" w:cs="Arial"/>
          <w:sz w:val="24"/>
          <w:szCs w:val="24"/>
        </w:rPr>
      </w:pPr>
      <w:r>
        <w:rPr>
          <w:rFonts w:ascii="Arial" w:hAnsi="Arial" w:cs="Arial"/>
          <w:sz w:val="24"/>
          <w:szCs w:val="24"/>
        </w:rPr>
        <w:t>2005030</w:t>
      </w:r>
    </w:p>
    <w:p w14:paraId="5060D952" w14:textId="77777777" w:rsidR="00CF454B" w:rsidRDefault="00CF454B" w:rsidP="00CF454B">
      <w:pPr>
        <w:rPr>
          <w:rFonts w:ascii="Arial" w:hAnsi="Arial" w:cs="Arial"/>
          <w:sz w:val="24"/>
          <w:szCs w:val="24"/>
        </w:rPr>
      </w:pPr>
      <w:r>
        <w:rPr>
          <w:rFonts w:ascii="Arial" w:hAnsi="Arial" w:cs="Arial"/>
          <w:sz w:val="24"/>
          <w:szCs w:val="24"/>
        </w:rPr>
        <w:t>Karen Eaton-Thomas</w:t>
      </w:r>
    </w:p>
    <w:p w14:paraId="2E7DF3AF" w14:textId="77777777" w:rsidR="00CF454B" w:rsidRDefault="00CF454B" w:rsidP="00CF454B">
      <w:pPr>
        <w:rPr>
          <w:rFonts w:ascii="Arial" w:hAnsi="Arial" w:cs="Arial"/>
          <w:sz w:val="24"/>
          <w:szCs w:val="24"/>
        </w:rPr>
      </w:pPr>
      <w:r>
        <w:rPr>
          <w:rFonts w:ascii="Arial" w:hAnsi="Arial" w:cs="Arial"/>
          <w:sz w:val="24"/>
          <w:szCs w:val="24"/>
        </w:rPr>
        <w:t>ECAP4004</w:t>
      </w:r>
    </w:p>
    <w:p w14:paraId="30FA52B2" w14:textId="77777777" w:rsidR="00CF454B" w:rsidRDefault="00CF454B" w:rsidP="00CF454B">
      <w:pPr>
        <w:rPr>
          <w:rFonts w:ascii="Arial" w:hAnsi="Arial" w:cs="Arial"/>
          <w:sz w:val="24"/>
          <w:szCs w:val="24"/>
        </w:rPr>
      </w:pPr>
      <w:r>
        <w:rPr>
          <w:rFonts w:ascii="Arial" w:hAnsi="Arial" w:cs="Arial"/>
          <w:sz w:val="24"/>
          <w:szCs w:val="24"/>
        </w:rPr>
        <w:t>10/02/21</w:t>
      </w:r>
    </w:p>
    <w:p w14:paraId="0E435381" w14:textId="77777777" w:rsidR="00CF454B" w:rsidRDefault="00CF454B" w:rsidP="00CF454B">
      <w:pPr>
        <w:jc w:val="center"/>
        <w:rPr>
          <w:rFonts w:ascii="Arial" w:hAnsi="Arial" w:cs="Arial"/>
          <w:sz w:val="24"/>
          <w:szCs w:val="24"/>
        </w:rPr>
      </w:pPr>
    </w:p>
    <w:p w14:paraId="47E7315D" w14:textId="77777777" w:rsidR="00CF454B" w:rsidRDefault="00CF454B" w:rsidP="00CF454B">
      <w:pPr>
        <w:jc w:val="center"/>
        <w:rPr>
          <w:rFonts w:ascii="Arial" w:hAnsi="Arial" w:cs="Arial"/>
          <w:sz w:val="24"/>
          <w:szCs w:val="24"/>
        </w:rPr>
      </w:pPr>
      <w:r>
        <w:rPr>
          <w:rFonts w:ascii="Arial" w:hAnsi="Arial" w:cs="Arial"/>
          <w:sz w:val="24"/>
          <w:szCs w:val="24"/>
        </w:rPr>
        <w:t>To what extent does the media contribute towards violent and aggressive behaviour in an individual?</w:t>
      </w:r>
    </w:p>
    <w:p w14:paraId="0B5D8ACA" w14:textId="77777777" w:rsidR="00CF454B" w:rsidRDefault="00CF454B" w:rsidP="00CF454B">
      <w:pPr>
        <w:jc w:val="center"/>
        <w:rPr>
          <w:rFonts w:ascii="Arial" w:hAnsi="Arial" w:cs="Arial"/>
          <w:sz w:val="24"/>
          <w:szCs w:val="24"/>
        </w:rPr>
      </w:pPr>
      <w:r>
        <w:rPr>
          <w:rFonts w:ascii="Arial" w:hAnsi="Arial" w:cs="Arial"/>
          <w:sz w:val="24"/>
          <w:szCs w:val="24"/>
        </w:rPr>
        <w:t>Discuss with reference to psychological theory and evidence.</w:t>
      </w:r>
    </w:p>
    <w:p w14:paraId="1EA21E3C" w14:textId="77777777" w:rsidR="00CF454B" w:rsidRDefault="00CF454B" w:rsidP="00CF454B">
      <w:pPr>
        <w:rPr>
          <w:rFonts w:ascii="Arial" w:hAnsi="Arial" w:cs="Arial"/>
          <w:sz w:val="24"/>
          <w:szCs w:val="24"/>
        </w:rPr>
      </w:pPr>
    </w:p>
    <w:p w14:paraId="4C6E95C6" w14:textId="77777777" w:rsidR="00CF454B" w:rsidRDefault="00CF454B" w:rsidP="00CF454B">
      <w:pPr>
        <w:jc w:val="center"/>
        <w:rPr>
          <w:rFonts w:ascii="Arial" w:hAnsi="Arial" w:cs="Arial"/>
          <w:sz w:val="24"/>
          <w:szCs w:val="24"/>
        </w:rPr>
      </w:pPr>
      <w:r>
        <w:rPr>
          <w:rFonts w:ascii="Arial" w:hAnsi="Arial" w:cs="Arial"/>
          <w:sz w:val="24"/>
          <w:szCs w:val="24"/>
        </w:rPr>
        <w:t>Disclaimer: Contains mentions of rape and sexual violence against children.</w:t>
      </w:r>
    </w:p>
    <w:p w14:paraId="4974ACB0" w14:textId="77777777" w:rsidR="00CF454B" w:rsidRDefault="00CF454B" w:rsidP="00CF454B">
      <w:pPr>
        <w:jc w:val="both"/>
        <w:rPr>
          <w:rFonts w:ascii="Arial" w:hAnsi="Arial" w:cs="Arial"/>
          <w:sz w:val="24"/>
          <w:szCs w:val="24"/>
        </w:rPr>
      </w:pPr>
    </w:p>
    <w:p w14:paraId="1C11BB06" w14:textId="77777777" w:rsidR="00CF454B" w:rsidRDefault="00CF454B" w:rsidP="00CF454B">
      <w:pPr>
        <w:jc w:val="both"/>
        <w:rPr>
          <w:rFonts w:ascii="Arial" w:hAnsi="Arial" w:cs="Arial"/>
          <w:sz w:val="24"/>
          <w:szCs w:val="24"/>
        </w:rPr>
      </w:pPr>
      <w:bookmarkStart w:id="0" w:name="_Hlk64638720"/>
      <w:r>
        <w:rPr>
          <w:rFonts w:ascii="Arial" w:hAnsi="Arial" w:cs="Arial"/>
          <w:sz w:val="24"/>
          <w:szCs w:val="24"/>
        </w:rPr>
        <w:t>According to Wright (2015), media has been around for a long time, although the term media is far more recent and became common use in the 1920’s. We have been improving how we communicate for centuries right up to present day, where we now have everything we need at our fingertips. However, with exposure to media there comes its effects. In my essay, I will be discussing the introduction of media, how media could create violence and aggression and to what extent it could cause aggressive behaviour. Children are introduced to media from a young age; it starts with books, television shows/films, as well as children magazines, media both private and social, and video games. Recently homework has been online and even more recently due to the pandemic schooling has also become remotely accessed and delivered. Many children have access to mobile phones at an early age and this exposes them to media that is not age appropriate. In the Guardian (2020) news article, it was recorded that “many children by the age of 7 own a phone” not only this but a lot of them are fearful of being without it. In that article they spoke with a director of CHILDWISE– a company that leads in the research with children. Sam Leggett said “The moment a child owns a mobile phone, it can be a challenge to monitor what your child is accessing online because it’s such a private technology that most keep, literally, close to their chest”</w:t>
      </w:r>
    </w:p>
    <w:p w14:paraId="6F409BE9" w14:textId="77777777" w:rsidR="00CF454B" w:rsidRDefault="00CF454B" w:rsidP="00CF454B">
      <w:pPr>
        <w:jc w:val="both"/>
        <w:rPr>
          <w:rFonts w:ascii="Arial" w:hAnsi="Arial" w:cs="Arial"/>
          <w:sz w:val="24"/>
          <w:szCs w:val="24"/>
        </w:rPr>
      </w:pPr>
      <w:r>
        <w:rPr>
          <w:rFonts w:ascii="Arial" w:hAnsi="Arial" w:cs="Arial"/>
          <w:sz w:val="24"/>
          <w:szCs w:val="24"/>
        </w:rPr>
        <w:t>Social learning theory was written by Bandura (1977), he tested his theory through the bobo doll experiment where he observed how children would play with the doll without demonstration and then again with a demonstration only. Groups were divided and some shown aggressive behaviour, some non-aggressive behaviour and then a control group. Children shown aggressive behaviour would imitate it. In relation to this Bushman et al (2006) tested to see the long term and short-term effects of violence in shows, music, games, and comic books on children younger than 18 and adults. They did note that the short-term aggression was increased for both adults and children however for long-term effects they stated, “Consequently, children need the most protection from repeated exposures to violence. Infrequent exposure is not likely to produce lasting consequences, but parents particularly need to be urged to protect their children against the kinds of repeated exposures that heavy play with violent video games or immersion in violent TV programs is likely to produce.” It is the long-</w:t>
      </w:r>
      <w:r>
        <w:rPr>
          <w:rFonts w:ascii="Arial" w:hAnsi="Arial" w:cs="Arial"/>
          <w:sz w:val="24"/>
          <w:szCs w:val="24"/>
        </w:rPr>
        <w:lastRenderedPageBreak/>
        <w:t xml:space="preserve">term exposure to violence that will encourage a child to believe violence is acceptable. If a child sees violence everywhere for example – games, television, films, on the news or even in comic books, they will desensitise, gain acceptance for that behaviour, and perceive it as normal. This is supported by Bandura’s theory; children learn what they are taught and live around. The theory describes the model in five factors. These are, firstly attention, which is where the child notices the aggressive/violent behaviour from media. Then retention, this is when the behaviour needs to be stored into the long-term memory. Production is next and this is the replication of the behaviour, the child will also need the physical capabilities to do so. After production is the factor of motivation, which is the positive reinforcement off said behaviour, this can come from peers and does not necessarily need to be a tangible reward. Finally, self-efficiency which is the expectation to gain positive reinforcement for what they are doing.    </w:t>
      </w:r>
    </w:p>
    <w:p w14:paraId="1CAA2578" w14:textId="46698EE1" w:rsidR="00CF454B" w:rsidRDefault="00CF454B" w:rsidP="00CF454B">
      <w:pPr>
        <w:jc w:val="both"/>
        <w:rPr>
          <w:rFonts w:ascii="Arial" w:hAnsi="Arial" w:cs="Arial"/>
          <w:sz w:val="24"/>
          <w:szCs w:val="24"/>
        </w:rPr>
      </w:pPr>
      <w:r>
        <w:rPr>
          <w:rFonts w:ascii="Arial" w:hAnsi="Arial" w:cs="Arial"/>
          <w:sz w:val="24"/>
          <w:szCs w:val="24"/>
        </w:rPr>
        <w:t xml:space="preserve">There is pressure on teenagers and young adults to be on social media and be a part of that online community however there are unspoken expectations of people. There are situations where the communities turn against those who do not uphold them. Bullying has progressed from physical/present form to online abuse, which is now termed Cyberbullying. A lot of these cyberbullies feel safe saying what they want because of the screen between them. dosomething.org (2019) states that 37% of teens aged between 12-17 have been bullied online, 81% of teens say they would intervene if they could do it anonymously. Cyberbullying can be motivated by others which makes the perpetrator feel good about what they did reinforcing this behaviour meaning they will lightly repeat their actions. Since cyberbullying does not require you to be present with the person in public, it can happen 24/7 and anywhere which creates a feeling of not being able to hide. Peebles (2014) observes that “Cyberbullying also provides anonymity to the bully not possible with traditional bullying. Because of this, bullies cannot see the reactions of their victims and studies have shown that they feel less remorse” in the article they also discovered that those who cyberbully tend to have more destructive behaviours as well to name a few are property damage, being absent from school and police contact. </w:t>
      </w:r>
      <w:r w:rsidR="00E66875">
        <w:rPr>
          <w:rFonts w:ascii="Arial" w:hAnsi="Arial" w:cs="Arial"/>
          <w:sz w:val="24"/>
          <w:szCs w:val="24"/>
        </w:rPr>
        <w:t>However,</w:t>
      </w:r>
      <w:r>
        <w:rPr>
          <w:rFonts w:ascii="Arial" w:hAnsi="Arial" w:cs="Arial"/>
          <w:sz w:val="24"/>
          <w:szCs w:val="24"/>
        </w:rPr>
        <w:t xml:space="preserve"> they are also in greater risk of suicide with still a lower risk than their victims.</w:t>
      </w:r>
    </w:p>
    <w:p w14:paraId="466C2EC1" w14:textId="77777777" w:rsidR="00CF454B" w:rsidRDefault="00CF454B" w:rsidP="00CF454B">
      <w:pPr>
        <w:jc w:val="both"/>
        <w:rPr>
          <w:rFonts w:ascii="Arial" w:hAnsi="Arial" w:cs="Arial"/>
          <w:sz w:val="24"/>
          <w:szCs w:val="24"/>
        </w:rPr>
      </w:pPr>
      <w:r>
        <w:rPr>
          <w:rFonts w:ascii="Arial" w:hAnsi="Arial" w:cs="Arial"/>
          <w:sz w:val="24"/>
          <w:szCs w:val="24"/>
        </w:rPr>
        <w:t xml:space="preserve">Having access to such a wide online platform gives anyone the opportunity to use and manipulate the internet to get what they want. It creates a vast number of windows of opportunity to display aggressive or violent behaviour. Grierson (2020) wrote that since 2017, when the legislation (section 15A – Sexual communications with a child) was introduced there have been 10,019 offences of sexual communications with a child. Most of these incidences were committed on Facebook or Facebook owned apps such as Messenger, Instagram, and WhatsApp. It was Peter Wanless that said, “child abuse is an inconvenient truth for tech bosses who have failed to make their site safe and enable defenders to use them as a playground in which to groom our kids”. The internet is full of easily accessible photos and contact information of children, which gives groomers the feeling of safety and opportunity to do what they urge.  </w:t>
      </w:r>
    </w:p>
    <w:p w14:paraId="3F4A8ADD" w14:textId="77777777" w:rsidR="00CF454B" w:rsidRDefault="00CF454B" w:rsidP="00CF454B">
      <w:pPr>
        <w:jc w:val="both"/>
      </w:pPr>
      <w:r>
        <w:rPr>
          <w:rFonts w:ascii="Arial" w:hAnsi="Arial" w:cs="Arial"/>
          <w:sz w:val="24"/>
          <w:szCs w:val="24"/>
        </w:rPr>
        <w:t xml:space="preserve">Rostad et al (2019) discovered a relation to exposure of violent pornography in boys before the age of 18 with rape tolerance and sexual violence behaviour. While they were not clear about why this is, they do believe that the violent pornography normalizes the tolerance for rape myths and their belief of old-fashioned gender norms. Along with this, Marijuana use was common with those with these beliefs. Another example of the possible effect of violent pornography is Theodore Robert Bundy also known as Ted Bundy whom spent 4 years raping and murdering young </w:t>
      </w:r>
      <w:r>
        <w:rPr>
          <w:rFonts w:ascii="Arial" w:hAnsi="Arial" w:cs="Arial"/>
          <w:sz w:val="24"/>
          <w:szCs w:val="24"/>
        </w:rPr>
        <w:lastRenderedPageBreak/>
        <w:t>women and children. After he was caught and sentenced to death, he gave his final interview in which he stated that it was pornography that made him the way he was.</w:t>
      </w:r>
      <w:r>
        <w:rPr>
          <w:sz w:val="24"/>
          <w:szCs w:val="24"/>
        </w:rPr>
        <w:t xml:space="preserve"> </w:t>
      </w:r>
      <w:r>
        <w:rPr>
          <w:rFonts w:ascii="Arial" w:hAnsi="Arial" w:cs="Arial"/>
          <w:sz w:val="24"/>
          <w:szCs w:val="24"/>
        </w:rPr>
        <w:t xml:space="preserve">Casuso (1989) wrote the article the day Bundy was executed, while this is what came from Bundy himself it is not to be trusted, as not only were there other reasons for the way he was but this claim was made alongside his last-minute insanity plea, he was just denying responsibility for his actions. Porterfield (2020) covered the recent allegations of child pornography and abuse at Pornhub whose owners were held accountable for allowing videos of multiple girls to be uploaded to the site. While these charges were settled and the videos removed, incidences like this will always happen so long as the Internet exists. Due to the freedom the internet creates and the advancements in technology, it is borderline impossible to monitor every single upload.  When an option is taken away, other options are available or created. </w:t>
      </w:r>
    </w:p>
    <w:p w14:paraId="29BE1794" w14:textId="000D9430" w:rsidR="00CF454B" w:rsidRDefault="00CF454B" w:rsidP="00CF454B">
      <w:pPr>
        <w:jc w:val="both"/>
        <w:rPr>
          <w:rFonts w:ascii="Arial" w:hAnsi="Arial" w:cs="Arial"/>
          <w:sz w:val="24"/>
          <w:szCs w:val="24"/>
        </w:rPr>
      </w:pPr>
      <w:r>
        <w:rPr>
          <w:rFonts w:ascii="Arial" w:hAnsi="Arial" w:cs="Arial"/>
          <w:sz w:val="24"/>
          <w:szCs w:val="24"/>
        </w:rPr>
        <w:t xml:space="preserve">In contrast to this, aggression and violence is not solely caused by the </w:t>
      </w:r>
      <w:r w:rsidR="00E66875">
        <w:rPr>
          <w:rFonts w:ascii="Arial" w:hAnsi="Arial" w:cs="Arial"/>
          <w:sz w:val="24"/>
          <w:szCs w:val="24"/>
        </w:rPr>
        <w:t>media and</w:t>
      </w:r>
      <w:r>
        <w:rPr>
          <w:rFonts w:ascii="Arial" w:hAnsi="Arial" w:cs="Arial"/>
          <w:sz w:val="24"/>
          <w:szCs w:val="24"/>
        </w:rPr>
        <w:t xml:space="preserve"> can differ from person to person. Aggression and violence can stem from sibling rivalry; Felson (1983) says that sibling rivalry is more focused on the jealousy between siblings. The older sibling can resent the younger siblings for coming along and depriving them of their parent’s affection. It is also possible that they become aggressive due to their diverging interests. The dynamic of siblings is important in how they behave, younger siblings tend to begin with copying their elder then eventually, depending on their relationship growing up they either gain different interests or keep the same interests and become competitive. Felson came to the conclusion that in America sibling aggression is the most common form of aggression. There are biological reasons for people who become violent and aggressive, Fernàndez-Castillo (2016) wrote about when there is a deficiency in an allele for protein that metabolizes serotonin, the increase and excess serotonin can lead to aggression along with a link to a stressful socioeconomic environment. </w:t>
      </w:r>
    </w:p>
    <w:p w14:paraId="7C9B53B1" w14:textId="6DEF9F1D" w:rsidR="00CF454B" w:rsidRDefault="00CF454B" w:rsidP="00CF454B">
      <w:pPr>
        <w:jc w:val="both"/>
        <w:rPr>
          <w:rFonts w:ascii="Arial" w:hAnsi="Arial" w:cs="Arial"/>
          <w:sz w:val="24"/>
          <w:szCs w:val="24"/>
        </w:rPr>
      </w:pPr>
      <w:r>
        <w:rPr>
          <w:rFonts w:ascii="Arial" w:hAnsi="Arial" w:cs="Arial"/>
          <w:sz w:val="24"/>
          <w:szCs w:val="24"/>
        </w:rPr>
        <w:t xml:space="preserve">When looking at video games it is the majority opinion that states it has violent and aggressive effects on their children, however Ferguson (2014) believes </w:t>
      </w:r>
      <w:r w:rsidR="00E66875">
        <w:rPr>
          <w:rFonts w:ascii="Arial" w:hAnsi="Arial" w:cs="Arial"/>
          <w:sz w:val="24"/>
          <w:szCs w:val="24"/>
        </w:rPr>
        <w:t>otherwise,</w:t>
      </w:r>
      <w:r>
        <w:rPr>
          <w:rFonts w:ascii="Arial" w:hAnsi="Arial" w:cs="Arial"/>
          <w:sz w:val="24"/>
          <w:szCs w:val="24"/>
        </w:rPr>
        <w:t xml:space="preserve"> and his research is written to prove it. Violent games have been linked to school shootings in the U.S or even Norway. He begins by noting that mass shootings would link to video games if you do not pay attention to the cases that do not fit the profile. Brown et al (2018) found that 50.7% of all school shootings in America between 1982 and 2018 were by people over the age of 21, it was 87.9% of mass shootings from all venues that were those over the age 21, along with this they have found the median age of shooters to be 35 years old which will likely rule out video games in being the cause. Ferguson (2014) also found that since the beginning of the video game era youth violence has actually “dramatically declined” cross nationally. To prove this there was a case written by Rushton (2013) that spoke of a non-clinician that spoke at trial where a man was accused of murdering a family of five. The evidence against him was massive and therefore the defence attempted to persuade the court that the </w:t>
      </w:r>
      <w:r w:rsidR="00E66875">
        <w:rPr>
          <w:rFonts w:ascii="Arial" w:hAnsi="Arial" w:cs="Arial"/>
          <w:sz w:val="24"/>
          <w:szCs w:val="24"/>
        </w:rPr>
        <w:t>14-year-old</w:t>
      </w:r>
      <w:r>
        <w:rPr>
          <w:rFonts w:ascii="Arial" w:hAnsi="Arial" w:cs="Arial"/>
          <w:sz w:val="24"/>
          <w:szCs w:val="24"/>
        </w:rPr>
        <w:t xml:space="preserve"> son had murdered his family forcing the man to kill him using a tyre iron to beat him 57 </w:t>
      </w:r>
      <w:r w:rsidR="00E66875">
        <w:rPr>
          <w:rFonts w:ascii="Arial" w:hAnsi="Arial" w:cs="Arial"/>
          <w:sz w:val="24"/>
          <w:szCs w:val="24"/>
        </w:rPr>
        <w:t>times and</w:t>
      </w:r>
      <w:r>
        <w:rPr>
          <w:rFonts w:ascii="Arial" w:hAnsi="Arial" w:cs="Arial"/>
          <w:sz w:val="24"/>
          <w:szCs w:val="24"/>
        </w:rPr>
        <w:t xml:space="preserve"> claimed that the son played violent video games such as “Mortal Kombat”. The researcher had not done a risk assessment and could not provide evidence that violent video games were linked to homicide. They had even suggested that Pac-Man was violent. Kaplan (2012) wrote in the psychiatric times about violence and its </w:t>
      </w:r>
      <w:r w:rsidR="00E66875">
        <w:rPr>
          <w:rFonts w:ascii="Arial" w:hAnsi="Arial" w:cs="Arial"/>
          <w:sz w:val="24"/>
          <w:szCs w:val="24"/>
        </w:rPr>
        <w:t>effect</w:t>
      </w:r>
      <w:r>
        <w:rPr>
          <w:rFonts w:ascii="Arial" w:hAnsi="Arial" w:cs="Arial"/>
          <w:sz w:val="24"/>
          <w:szCs w:val="24"/>
        </w:rPr>
        <w:t xml:space="preserve"> on behaviour, however what she wrote was that there is evidence that proves that media violence effects are minimal. In the article a quote from Tanay, a psychiatry professor that Kaplan references states, “Anything that promotes something can be called propaganda.” Kaplan then proceeds to explain that if media </w:t>
      </w:r>
      <w:r>
        <w:rPr>
          <w:rFonts w:ascii="Arial" w:hAnsi="Arial" w:cs="Arial"/>
          <w:sz w:val="24"/>
          <w:szCs w:val="24"/>
        </w:rPr>
        <w:lastRenderedPageBreak/>
        <w:t xml:space="preserve">is anything it is propaganda for violence. With this in consideration, violent victimization rate has gone down from 2001 – 2010 by 40%. According to Statistica (2021), in 2001 crime was 110 per 1000 population and is now down to 96.4 per 1000 population in 2020, meaning that with the popularization and evident presence of violent media the crime rate still decreased. However, they do recognise that there are exceptions to the case for example there were two teenage boys who were mentally ill and shot their classmates and peers along with injuring 21 more people before committing suicide. Their lives were concentrated on video games that would eventually lead to their depersonalization of their victims.  </w:t>
      </w:r>
    </w:p>
    <w:p w14:paraId="6DE69FB7" w14:textId="77777777" w:rsidR="00CF454B" w:rsidRDefault="00CF454B" w:rsidP="00CF454B">
      <w:pPr>
        <w:jc w:val="both"/>
        <w:rPr>
          <w:rFonts w:ascii="Arial" w:hAnsi="Arial" w:cs="Arial"/>
          <w:sz w:val="24"/>
          <w:szCs w:val="24"/>
        </w:rPr>
      </w:pPr>
      <w:r>
        <w:rPr>
          <w:rFonts w:ascii="Arial" w:hAnsi="Arial" w:cs="Arial"/>
          <w:sz w:val="24"/>
          <w:szCs w:val="24"/>
        </w:rPr>
        <w:t xml:space="preserve">Kent (2007) wrote that Freud created a theory called instinct theory of aggression. Theory of aggression states that aggression is a primal instinct like the instincts that are related to hunger or sex. Freud says that they are instinctual and an automatic reaction. In order to maintain it adaptation and control are necessary. If Freuds theory is correct then it would be that media does not cause aggression in an individual instead just trigger aggression that is already there. A child would not have learnt control and hence violence would seem more prevalent in them. In relation to his theory of aggression is his instinct theory of death. Unfortunately, there were no credible sources for this, however a history and biography fact checked article by Cherry (2020) is available. Cherry wrote that Aggression arises from the death instinct, these instincts can be directed inward and could cause self-destructive tendencies such as self-harm or suicide. Freud does maintain that if the energy is directed outward it is “expressed as aggression and violence”. It is true that Freuds theories are not always seen as correct, however like his psychosexual theory, to begin with it was seen as irrelevant but recently is the foundation of child development. </w:t>
      </w:r>
    </w:p>
    <w:p w14:paraId="438A1768" w14:textId="77777777" w:rsidR="00CF454B" w:rsidRDefault="00CF454B" w:rsidP="00CF454B">
      <w:pPr>
        <w:jc w:val="both"/>
      </w:pPr>
      <w:r>
        <w:rPr>
          <w:rFonts w:ascii="Arial" w:hAnsi="Arial" w:cs="Arial"/>
          <w:sz w:val="24"/>
          <w:szCs w:val="24"/>
        </w:rPr>
        <w:t>To conclude the essay,</w:t>
      </w:r>
      <w:r>
        <w:rPr>
          <w:sz w:val="24"/>
          <w:szCs w:val="24"/>
        </w:rPr>
        <w:t xml:space="preserve"> </w:t>
      </w:r>
      <w:r>
        <w:rPr>
          <w:rFonts w:ascii="Arial" w:hAnsi="Arial" w:cs="Arial"/>
          <w:sz w:val="24"/>
          <w:szCs w:val="24"/>
        </w:rPr>
        <w:t xml:space="preserve">aggression is learnt and conditioned into people from the media they use, it has short term effects on adults and children however in order to protect children from it, it is important that they do not have any prolonged exposure. It is clear that majority of aggression does seem to stem from media and is backed up by Banduras Social learning theory that behaviour is learnt from others and reinforced either positively or negatively. The existence of media creates a world of false sense of safety where people believe there are no consequences for their actions and a prolonged exposure to certain media outlets, which will lead to violent and aggressive behaviour. However, it has been proven media is not the entire cause of violence and aggression in an individual, as biological factors and family relationships can be considered to play a part. Most of all Ferguson creates a valid argument into how even though the existence of media and violent media is prevalent it does not automatically mean it is the cause, there is no real link between violent games and offenders though cases have been tried.  Kaplan has also provided evidence to back her claim in that media is not the leading cause for aggressive or violent behaviour. </w:t>
      </w:r>
    </w:p>
    <w:bookmarkEnd w:id="0"/>
    <w:p w14:paraId="23B0C83A" w14:textId="77777777" w:rsidR="00CF454B" w:rsidRDefault="00CF454B" w:rsidP="00CF454B">
      <w:pPr>
        <w:rPr>
          <w:rFonts w:ascii="Arial" w:hAnsi="Arial" w:cs="Arial"/>
          <w:sz w:val="24"/>
          <w:szCs w:val="24"/>
        </w:rPr>
      </w:pPr>
    </w:p>
    <w:p w14:paraId="4FFE0B92" w14:textId="77777777" w:rsidR="00CF454B" w:rsidRDefault="00CF454B" w:rsidP="00CF454B">
      <w:pPr>
        <w:rPr>
          <w:rFonts w:ascii="Arial" w:hAnsi="Arial" w:cs="Arial"/>
          <w:sz w:val="24"/>
          <w:szCs w:val="24"/>
        </w:rPr>
      </w:pPr>
    </w:p>
    <w:p w14:paraId="600ECA36" w14:textId="77777777" w:rsidR="00CF454B" w:rsidRDefault="00CF454B" w:rsidP="00CF454B">
      <w:pPr>
        <w:rPr>
          <w:rFonts w:ascii="Arial" w:hAnsi="Arial" w:cs="Arial"/>
          <w:sz w:val="24"/>
          <w:szCs w:val="24"/>
        </w:rPr>
      </w:pPr>
    </w:p>
    <w:p w14:paraId="32706238" w14:textId="77777777" w:rsidR="00CF454B" w:rsidRDefault="00CF454B" w:rsidP="00CF454B">
      <w:pPr>
        <w:rPr>
          <w:rFonts w:ascii="Arial" w:hAnsi="Arial" w:cs="Arial"/>
          <w:sz w:val="24"/>
          <w:szCs w:val="24"/>
        </w:rPr>
      </w:pPr>
    </w:p>
    <w:p w14:paraId="1C74C7B3" w14:textId="77777777" w:rsidR="00CF454B" w:rsidRDefault="00CF454B" w:rsidP="00CF454B">
      <w:pPr>
        <w:rPr>
          <w:rFonts w:ascii="Arial" w:hAnsi="Arial" w:cs="Arial"/>
          <w:sz w:val="24"/>
          <w:szCs w:val="24"/>
        </w:rPr>
      </w:pPr>
    </w:p>
    <w:p w14:paraId="471DF133" w14:textId="77777777" w:rsidR="00CF454B" w:rsidRDefault="00CF454B" w:rsidP="00CF454B">
      <w:pPr>
        <w:rPr>
          <w:rFonts w:ascii="Arial" w:hAnsi="Arial" w:cs="Arial"/>
          <w:sz w:val="24"/>
          <w:szCs w:val="24"/>
        </w:rPr>
      </w:pPr>
    </w:p>
    <w:p w14:paraId="62BAFCD4" w14:textId="77777777" w:rsidR="00CF454B" w:rsidRDefault="00CF454B" w:rsidP="00CF454B">
      <w:pPr>
        <w:rPr>
          <w:rFonts w:ascii="Arial" w:hAnsi="Arial" w:cs="Arial"/>
          <w:sz w:val="24"/>
          <w:szCs w:val="24"/>
        </w:rPr>
      </w:pPr>
      <w:r>
        <w:rPr>
          <w:rFonts w:ascii="Arial" w:hAnsi="Arial" w:cs="Arial"/>
          <w:sz w:val="24"/>
          <w:szCs w:val="24"/>
        </w:rPr>
        <w:lastRenderedPageBreak/>
        <w:t>Reference List</w:t>
      </w:r>
    </w:p>
    <w:p w14:paraId="3A823FE9" w14:textId="77777777" w:rsidR="00CF454B" w:rsidRDefault="00CF454B" w:rsidP="00CF454B">
      <w:r>
        <w:rPr>
          <w:rFonts w:ascii="Arial" w:hAnsi="Arial" w:cs="Arial"/>
          <w:sz w:val="24"/>
          <w:szCs w:val="24"/>
        </w:rPr>
        <w:t xml:space="preserve">Bandura, A. (1977). </w:t>
      </w:r>
      <w:r>
        <w:rPr>
          <w:rFonts w:ascii="Arial" w:hAnsi="Arial" w:cs="Arial"/>
          <w:i/>
          <w:iCs/>
          <w:sz w:val="24"/>
          <w:szCs w:val="24"/>
        </w:rPr>
        <w:t>Social Learning Theory</w:t>
      </w:r>
      <w:r>
        <w:rPr>
          <w:rFonts w:ascii="Arial" w:hAnsi="Arial" w:cs="Arial"/>
          <w:sz w:val="24"/>
          <w:szCs w:val="24"/>
        </w:rPr>
        <w:t>. Prentice Hall.</w:t>
      </w:r>
      <w:r>
        <w:rPr>
          <w:rFonts w:ascii="Arial" w:hAnsi="Arial" w:cs="Arial"/>
          <w:i/>
          <w:iCs/>
          <w:sz w:val="24"/>
          <w:szCs w:val="24"/>
        </w:rPr>
        <w:t xml:space="preserve"> </w:t>
      </w:r>
    </w:p>
    <w:p w14:paraId="31DAA0E4" w14:textId="77777777" w:rsidR="00CF454B" w:rsidRDefault="00CF454B" w:rsidP="00CF454B">
      <w:r>
        <w:rPr>
          <w:rFonts w:ascii="Arial" w:hAnsi="Arial" w:cs="Arial"/>
          <w:sz w:val="24"/>
          <w:szCs w:val="24"/>
        </w:rPr>
        <w:t xml:space="preserve">Brown. J. D., &amp; Goodin. A. J. (2018) Mass Casualty Shooting Venues, Types of Firearms, and Age of Perpetrators in the United States, 1982–2018. </w:t>
      </w:r>
      <w:r>
        <w:rPr>
          <w:rFonts w:ascii="Arial" w:hAnsi="Arial" w:cs="Arial"/>
          <w:i/>
          <w:iCs/>
          <w:sz w:val="24"/>
          <w:szCs w:val="24"/>
        </w:rPr>
        <w:t xml:space="preserve">American Journal of Public Health, 108(10) </w:t>
      </w:r>
      <w:r>
        <w:rPr>
          <w:rFonts w:ascii="Arial" w:hAnsi="Arial" w:cs="Arial"/>
          <w:sz w:val="24"/>
          <w:szCs w:val="24"/>
        </w:rPr>
        <w:t>1385-1387.</w:t>
      </w:r>
    </w:p>
    <w:p w14:paraId="2B5B1D1A" w14:textId="77777777" w:rsidR="00CF454B" w:rsidRDefault="00CF454B" w:rsidP="00CF454B">
      <w:r>
        <w:rPr>
          <w:rFonts w:ascii="Arial" w:hAnsi="Arial" w:cs="Arial"/>
          <w:sz w:val="24"/>
          <w:szCs w:val="24"/>
        </w:rPr>
        <w:t xml:space="preserve">Brown. N. O. (1959) </w:t>
      </w:r>
      <w:r>
        <w:rPr>
          <w:rFonts w:ascii="Arial" w:hAnsi="Arial" w:cs="Arial"/>
          <w:i/>
          <w:iCs/>
          <w:sz w:val="24"/>
          <w:szCs w:val="24"/>
        </w:rPr>
        <w:t>Life Against Death. (1</w:t>
      </w:r>
      <w:r>
        <w:rPr>
          <w:rFonts w:ascii="Arial" w:hAnsi="Arial" w:cs="Arial"/>
          <w:i/>
          <w:iCs/>
          <w:sz w:val="24"/>
          <w:szCs w:val="24"/>
          <w:vertAlign w:val="superscript"/>
        </w:rPr>
        <w:t>st</w:t>
      </w:r>
      <w:r>
        <w:rPr>
          <w:rFonts w:ascii="Arial" w:hAnsi="Arial" w:cs="Arial"/>
          <w:i/>
          <w:iCs/>
          <w:sz w:val="24"/>
          <w:szCs w:val="24"/>
        </w:rPr>
        <w:t xml:space="preserve"> ed).</w:t>
      </w:r>
      <w:r>
        <w:rPr>
          <w:rFonts w:ascii="Arial" w:hAnsi="Arial" w:cs="Arial"/>
          <w:sz w:val="24"/>
          <w:szCs w:val="24"/>
        </w:rPr>
        <w:t xml:space="preserve"> Wesleyan University Press.</w:t>
      </w:r>
      <w:r>
        <w:rPr>
          <w:rFonts w:ascii="Arial" w:hAnsi="Arial" w:cs="Arial"/>
          <w:i/>
          <w:iCs/>
          <w:sz w:val="24"/>
          <w:szCs w:val="24"/>
        </w:rPr>
        <w:t xml:space="preserve"> </w:t>
      </w:r>
    </w:p>
    <w:p w14:paraId="617832DA" w14:textId="77777777" w:rsidR="00CF454B" w:rsidRDefault="00CF454B" w:rsidP="00CF454B">
      <w:pPr>
        <w:spacing w:before="240"/>
      </w:pPr>
      <w:r>
        <w:rPr>
          <w:rFonts w:ascii="Arial" w:hAnsi="Arial" w:cs="Arial"/>
          <w:sz w:val="24"/>
          <w:szCs w:val="24"/>
        </w:rPr>
        <w:t>Bushman. B. J., &amp; Huesmann. L. R. (2006) Short-term and Long-term Effects of Violent Media on Aggression in Children and Adults</w:t>
      </w:r>
      <w:r>
        <w:rPr>
          <w:rFonts w:ascii="Arial" w:hAnsi="Arial" w:cs="Arial"/>
          <w:i/>
          <w:iCs/>
          <w:sz w:val="24"/>
          <w:szCs w:val="24"/>
        </w:rPr>
        <w:t xml:space="preserve">. JAMA Pediatrics 160(4):348-352 </w:t>
      </w:r>
      <w:r>
        <w:rPr>
          <w:rFonts w:ascii="Arial" w:hAnsi="Arial" w:cs="Arial"/>
          <w:sz w:val="24"/>
          <w:szCs w:val="24"/>
        </w:rPr>
        <w:t>doi:10.1001/archpedi.160.4.348</w:t>
      </w:r>
    </w:p>
    <w:p w14:paraId="5B43CF2D" w14:textId="77777777" w:rsidR="00CF454B" w:rsidRDefault="00CF454B" w:rsidP="00CF454B">
      <w:r>
        <w:rPr>
          <w:rFonts w:ascii="Arial" w:hAnsi="Arial" w:cs="Arial"/>
          <w:sz w:val="24"/>
          <w:szCs w:val="24"/>
        </w:rPr>
        <w:t xml:space="preserve">Casuso. J. (1989) </w:t>
      </w:r>
      <w:r>
        <w:rPr>
          <w:rFonts w:ascii="Arial" w:hAnsi="Arial" w:cs="Arial"/>
          <w:i/>
          <w:iCs/>
          <w:sz w:val="24"/>
          <w:szCs w:val="24"/>
        </w:rPr>
        <w:t>Bundy Blames Pornography.</w:t>
      </w:r>
      <w:r>
        <w:rPr>
          <w:rFonts w:ascii="Arial" w:hAnsi="Arial" w:cs="Arial"/>
          <w:sz w:val="24"/>
          <w:szCs w:val="24"/>
        </w:rPr>
        <w:t xml:space="preserve"> https://www.chicagotribune.com/news/ct-xpm-1989-01-24-8902270928-story.html </w:t>
      </w:r>
    </w:p>
    <w:p w14:paraId="536FE676" w14:textId="77777777" w:rsidR="00CF454B" w:rsidRDefault="00CF454B" w:rsidP="00CF454B">
      <w:r>
        <w:rPr>
          <w:rFonts w:ascii="Arial" w:hAnsi="Arial" w:cs="Arial"/>
          <w:sz w:val="24"/>
          <w:szCs w:val="24"/>
        </w:rPr>
        <w:t xml:space="preserve">Cherry. K. (2020) Freud's Theories of Life and Death Instincts. https://www.verywellmind.com/life-and-death-instincts-2795847 </w:t>
      </w:r>
    </w:p>
    <w:p w14:paraId="06E9130A" w14:textId="77777777" w:rsidR="00CF454B" w:rsidRDefault="00CF454B" w:rsidP="00CF454B">
      <w:r>
        <w:rPr>
          <w:rFonts w:ascii="Arial" w:hAnsi="Arial" w:cs="Arial"/>
          <w:sz w:val="24"/>
          <w:szCs w:val="24"/>
        </w:rPr>
        <w:t>dosomething.org (2019) 1</w:t>
      </w:r>
      <w:r>
        <w:rPr>
          <w:rFonts w:ascii="Arial" w:hAnsi="Arial" w:cs="Arial"/>
          <w:i/>
          <w:iCs/>
          <w:sz w:val="24"/>
          <w:szCs w:val="24"/>
        </w:rPr>
        <w:t xml:space="preserve">1 Facts About Cyberbullying. </w:t>
      </w:r>
      <w:hyperlink r:id="rId6" w:history="1">
        <w:r>
          <w:rPr>
            <w:rStyle w:val="Hyperlink"/>
            <w:rFonts w:ascii="Arial" w:hAnsi="Arial" w:cs="Arial"/>
            <w:color w:val="auto"/>
            <w:sz w:val="24"/>
            <w:szCs w:val="24"/>
            <w:u w:val="none"/>
          </w:rPr>
          <w:t>https://www.dosomething.org/us/facts/11-facts-about-cyber-bullying</w:t>
        </w:r>
      </w:hyperlink>
    </w:p>
    <w:p w14:paraId="368C15C3" w14:textId="77777777" w:rsidR="00CF454B" w:rsidRDefault="00CF454B" w:rsidP="00CF454B">
      <w:r>
        <w:rPr>
          <w:rFonts w:ascii="Arial" w:hAnsi="Arial" w:cs="Arial"/>
          <w:sz w:val="24"/>
          <w:szCs w:val="24"/>
        </w:rPr>
        <w:t>Felson, R. (1983). Aggression and Violence Between Siblings.</w:t>
      </w:r>
      <w:r>
        <w:rPr>
          <w:rFonts w:ascii="Arial" w:hAnsi="Arial" w:cs="Arial"/>
          <w:i/>
          <w:iCs/>
          <w:sz w:val="24"/>
          <w:szCs w:val="24"/>
        </w:rPr>
        <w:t xml:space="preserve"> Social Psychology Quarterly</w:t>
      </w:r>
      <w:r>
        <w:rPr>
          <w:rFonts w:ascii="Arial" w:hAnsi="Arial" w:cs="Arial"/>
          <w:sz w:val="24"/>
          <w:szCs w:val="24"/>
        </w:rPr>
        <w:t xml:space="preserve">, </w:t>
      </w:r>
      <w:r>
        <w:rPr>
          <w:rFonts w:ascii="Arial" w:hAnsi="Arial" w:cs="Arial"/>
          <w:i/>
          <w:iCs/>
          <w:sz w:val="24"/>
          <w:szCs w:val="24"/>
        </w:rPr>
        <w:t>46(4), 271-285</w:t>
      </w:r>
      <w:r>
        <w:rPr>
          <w:rFonts w:ascii="Arial" w:hAnsi="Arial" w:cs="Arial"/>
          <w:sz w:val="24"/>
          <w:szCs w:val="24"/>
        </w:rPr>
        <w:t>. https://doi-org.ezproxy.uwtsd.ac.uk/10.2307/3033715</w:t>
      </w:r>
    </w:p>
    <w:p w14:paraId="372BBD58" w14:textId="77777777" w:rsidR="00CF454B" w:rsidRDefault="00CF454B" w:rsidP="00CF454B">
      <w:r>
        <w:rPr>
          <w:rFonts w:ascii="Arial" w:hAnsi="Arial" w:cs="Arial"/>
          <w:sz w:val="24"/>
          <w:szCs w:val="24"/>
        </w:rPr>
        <w:t xml:space="preserve">Ferguson. C. J. (2014) Is video game violence bad?. </w:t>
      </w:r>
      <w:r>
        <w:rPr>
          <w:rFonts w:ascii="Arial" w:hAnsi="Arial" w:cs="Arial"/>
          <w:i/>
          <w:iCs/>
          <w:sz w:val="24"/>
          <w:szCs w:val="24"/>
        </w:rPr>
        <w:t xml:space="preserve">The psychologist…, 27(5) </w:t>
      </w:r>
      <w:r>
        <w:rPr>
          <w:rFonts w:ascii="Arial" w:hAnsi="Arial" w:cs="Arial"/>
          <w:sz w:val="24"/>
          <w:szCs w:val="24"/>
        </w:rPr>
        <w:t xml:space="preserve">324-327. </w:t>
      </w:r>
    </w:p>
    <w:p w14:paraId="240BBB34" w14:textId="77777777" w:rsidR="00CF454B" w:rsidRDefault="00CF454B" w:rsidP="00CF454B">
      <w:r>
        <w:rPr>
          <w:rFonts w:ascii="Arial" w:hAnsi="Arial" w:cs="Arial"/>
          <w:sz w:val="24"/>
          <w:szCs w:val="24"/>
        </w:rPr>
        <w:t xml:space="preserve">Fernàndez-Castillo. N (2016) Aggressive behavior in humans: Genes and pathways identified through association studies. </w:t>
      </w:r>
      <w:r>
        <w:rPr>
          <w:rFonts w:ascii="Arial" w:hAnsi="Arial" w:cs="Arial"/>
          <w:i/>
          <w:iCs/>
          <w:sz w:val="24"/>
          <w:szCs w:val="24"/>
        </w:rPr>
        <w:t xml:space="preserve">American Journal of Medical Genetics Part B: Neuropsychiatric Genetics 171(5) 676-696 </w:t>
      </w:r>
      <w:r>
        <w:rPr>
          <w:rFonts w:ascii="Arial" w:hAnsi="Arial" w:cs="Arial"/>
          <w:sz w:val="24"/>
          <w:szCs w:val="24"/>
        </w:rPr>
        <w:t xml:space="preserve">https://doi.org/10.1002/ajmg.b.32419 </w:t>
      </w:r>
    </w:p>
    <w:p w14:paraId="71197262" w14:textId="77777777" w:rsidR="00CF454B" w:rsidRDefault="00CF454B" w:rsidP="00CF454B">
      <w:r>
        <w:rPr>
          <w:rFonts w:ascii="Arial" w:hAnsi="Arial" w:cs="Arial"/>
          <w:sz w:val="24"/>
          <w:szCs w:val="24"/>
        </w:rPr>
        <w:t xml:space="preserve">Grierson. J. (2020) </w:t>
      </w:r>
      <w:r>
        <w:rPr>
          <w:rFonts w:ascii="Arial" w:hAnsi="Arial" w:cs="Arial"/>
          <w:i/>
          <w:iCs/>
          <w:sz w:val="24"/>
          <w:szCs w:val="24"/>
        </w:rPr>
        <w:t>Most online grooming offences in UK committed on Facebook-owned app</w:t>
      </w:r>
      <w:r>
        <w:rPr>
          <w:rFonts w:ascii="Arial" w:hAnsi="Arial" w:cs="Arial"/>
          <w:sz w:val="24"/>
          <w:szCs w:val="24"/>
        </w:rPr>
        <w:t>. https://www.theguardian.com/society/2020/may/29/most-online-grooming-offences-in-uk-committed-on-facebook-owned-apps</w:t>
      </w:r>
    </w:p>
    <w:p w14:paraId="78461827" w14:textId="77777777" w:rsidR="00CF454B" w:rsidRDefault="00CF454B" w:rsidP="00CF454B">
      <w:r>
        <w:rPr>
          <w:rFonts w:ascii="Arial" w:hAnsi="Arial" w:cs="Arial"/>
          <w:sz w:val="24"/>
          <w:szCs w:val="24"/>
        </w:rPr>
        <w:t xml:space="preserve">Kaplan. A. (2012) Violence in the Media: What effects on behaviour. </w:t>
      </w:r>
      <w:r>
        <w:rPr>
          <w:rFonts w:ascii="Arial" w:hAnsi="Arial" w:cs="Arial"/>
          <w:i/>
          <w:iCs/>
          <w:sz w:val="24"/>
          <w:szCs w:val="24"/>
        </w:rPr>
        <w:t xml:space="preserve">Psychiatric Times. 29(10). </w:t>
      </w:r>
    </w:p>
    <w:p w14:paraId="3419886E" w14:textId="77777777" w:rsidR="00CF454B" w:rsidRDefault="00CF454B" w:rsidP="00CF454B">
      <w:r>
        <w:rPr>
          <w:rFonts w:ascii="Arial" w:hAnsi="Arial" w:cs="Arial"/>
          <w:sz w:val="24"/>
          <w:szCs w:val="24"/>
        </w:rPr>
        <w:t xml:space="preserve">Kent. M. (2007) </w:t>
      </w:r>
      <w:r>
        <w:rPr>
          <w:rFonts w:ascii="Arial" w:hAnsi="Arial" w:cs="Arial"/>
          <w:i/>
          <w:iCs/>
          <w:sz w:val="24"/>
          <w:szCs w:val="24"/>
        </w:rPr>
        <w:t>The oxford dictionary of sports science and medicine. (3</w:t>
      </w:r>
      <w:r>
        <w:rPr>
          <w:rFonts w:ascii="Arial" w:hAnsi="Arial" w:cs="Arial"/>
          <w:i/>
          <w:iCs/>
          <w:sz w:val="24"/>
          <w:szCs w:val="24"/>
          <w:vertAlign w:val="superscript"/>
        </w:rPr>
        <w:t>rd</w:t>
      </w:r>
      <w:r>
        <w:rPr>
          <w:rFonts w:ascii="Arial" w:hAnsi="Arial" w:cs="Arial"/>
          <w:i/>
          <w:iCs/>
          <w:sz w:val="24"/>
          <w:szCs w:val="24"/>
        </w:rPr>
        <w:t xml:space="preserve"> ed.)</w:t>
      </w:r>
      <w:r>
        <w:rPr>
          <w:rFonts w:ascii="Arial" w:hAnsi="Arial" w:cs="Arial"/>
          <w:sz w:val="24"/>
          <w:szCs w:val="24"/>
        </w:rPr>
        <w:t xml:space="preserve"> Oxford University Press. </w:t>
      </w:r>
    </w:p>
    <w:p w14:paraId="5293ABF7" w14:textId="77777777" w:rsidR="00CF454B" w:rsidRDefault="00CF454B" w:rsidP="00CF454B">
      <w:r>
        <w:rPr>
          <w:rFonts w:ascii="Arial" w:hAnsi="Arial" w:cs="Arial"/>
          <w:sz w:val="24"/>
          <w:szCs w:val="24"/>
        </w:rPr>
        <w:t xml:space="preserve">Peebles. E. (2014) Cyberbullying: Hiding behind the screen. </w:t>
      </w:r>
      <w:r>
        <w:rPr>
          <w:rFonts w:ascii="Arial" w:hAnsi="Arial" w:cs="Arial"/>
          <w:i/>
          <w:iCs/>
          <w:sz w:val="24"/>
          <w:szCs w:val="24"/>
        </w:rPr>
        <w:t xml:space="preserve">Paediatrics child health. 19(10): 527–528. </w:t>
      </w:r>
      <w:r>
        <w:rPr>
          <w:rFonts w:ascii="Arial" w:hAnsi="Arial" w:cs="Arial"/>
          <w:color w:val="000000"/>
          <w:sz w:val="24"/>
          <w:szCs w:val="24"/>
          <w:shd w:val="clear" w:color="auto" w:fill="FFFFFF"/>
        </w:rPr>
        <w:t>doi: </w:t>
      </w:r>
      <w:r>
        <w:rPr>
          <w:rFonts w:ascii="Arial" w:hAnsi="Arial" w:cs="Arial"/>
          <w:sz w:val="24"/>
          <w:szCs w:val="24"/>
          <w:shd w:val="clear" w:color="auto" w:fill="FFFFFF"/>
        </w:rPr>
        <w:t>10.1093/pch/19.10.527</w:t>
      </w:r>
    </w:p>
    <w:p w14:paraId="063911EE" w14:textId="77777777" w:rsidR="00CF454B" w:rsidRDefault="00CF454B" w:rsidP="00CF454B">
      <w:r>
        <w:rPr>
          <w:rFonts w:ascii="Arial" w:hAnsi="Arial" w:cs="Arial"/>
          <w:sz w:val="24"/>
          <w:szCs w:val="24"/>
        </w:rPr>
        <w:t xml:space="preserve">Porterfield. C. (2020) </w:t>
      </w:r>
      <w:r>
        <w:rPr>
          <w:rFonts w:ascii="Arial" w:hAnsi="Arial" w:cs="Arial"/>
          <w:i/>
          <w:iCs/>
          <w:sz w:val="24"/>
          <w:szCs w:val="24"/>
        </w:rPr>
        <w:t>Pornhub Says It Will Make Sweeping Changes After Allegations It Hosts Videos of Child Abuse, Assault.</w:t>
      </w:r>
      <w:r>
        <w:rPr>
          <w:rFonts w:ascii="Arial" w:hAnsi="Arial" w:cs="Arial"/>
          <w:sz w:val="24"/>
          <w:szCs w:val="24"/>
        </w:rPr>
        <w:t xml:space="preserve"> https://www.forbes.com/sites/carlieporterfield/2020/12/08/pornhub-says-it-will-make-sweeping-changes-after-allegations-it-hosts-videos-of-child-abuse-assault/?sh=9c206992acbb </w:t>
      </w:r>
    </w:p>
    <w:p w14:paraId="567179DA" w14:textId="77777777" w:rsidR="00CF454B" w:rsidRDefault="00CF454B" w:rsidP="00CF454B">
      <w:r>
        <w:rPr>
          <w:rFonts w:ascii="Arial" w:hAnsi="Arial" w:cs="Arial"/>
          <w:sz w:val="24"/>
          <w:szCs w:val="24"/>
        </w:rPr>
        <w:t>The Guardian. (2020)</w:t>
      </w:r>
      <w:r>
        <w:t xml:space="preserve"> </w:t>
      </w:r>
      <w:r>
        <w:rPr>
          <w:rFonts w:ascii="Arial" w:hAnsi="Arial" w:cs="Arial"/>
          <w:i/>
          <w:iCs/>
          <w:sz w:val="24"/>
          <w:szCs w:val="24"/>
        </w:rPr>
        <w:t>Most children own mobile phone by age of seven, study finds.</w:t>
      </w:r>
      <w:r>
        <w:rPr>
          <w:rFonts w:ascii="Arial" w:hAnsi="Arial" w:cs="Arial"/>
          <w:sz w:val="24"/>
          <w:szCs w:val="24"/>
        </w:rPr>
        <w:t xml:space="preserve">  https://www.theguardian.com/society/2020/jan/30/most-children-own-mobile-phone-by-age-of-seven-study</w:t>
      </w:r>
      <w:bookmarkStart w:id="1" w:name="_Hlt64473417"/>
      <w:bookmarkStart w:id="2" w:name="_Hlt64473418"/>
      <w:bookmarkEnd w:id="1"/>
      <w:bookmarkEnd w:id="2"/>
      <w:r>
        <w:rPr>
          <w:rFonts w:ascii="Arial" w:hAnsi="Arial" w:cs="Arial"/>
          <w:sz w:val="24"/>
          <w:szCs w:val="24"/>
        </w:rPr>
        <w:t xml:space="preserve">-finds </w:t>
      </w:r>
    </w:p>
    <w:p w14:paraId="5A5C8858" w14:textId="77777777" w:rsidR="00CF454B" w:rsidRDefault="00CF454B" w:rsidP="00CF454B">
      <w:r>
        <w:rPr>
          <w:rFonts w:ascii="Arial" w:hAnsi="Arial" w:cs="Arial"/>
          <w:sz w:val="24"/>
          <w:szCs w:val="24"/>
        </w:rPr>
        <w:lastRenderedPageBreak/>
        <w:t xml:space="preserve">Rostad, W. L., Gittins-Stone, D., Huntington, C., Rizzo, C. J., Pearlman, D., &amp; Orchowski, L. (2019). </w:t>
      </w:r>
      <w:r>
        <w:rPr>
          <w:rFonts w:ascii="Arial" w:hAnsi="Arial" w:cs="Arial"/>
          <w:i/>
          <w:iCs/>
          <w:sz w:val="24"/>
          <w:szCs w:val="24"/>
        </w:rPr>
        <w:t>The Association Between Exposure to Violent Pornography and Teen Dating Violence in Grade 10 High School Students. Archives of sexual behavior</w:t>
      </w:r>
      <w:r>
        <w:rPr>
          <w:rFonts w:ascii="Arial" w:hAnsi="Arial" w:cs="Arial"/>
          <w:sz w:val="24"/>
          <w:szCs w:val="24"/>
        </w:rPr>
        <w:t xml:space="preserve">, </w:t>
      </w:r>
      <w:r>
        <w:rPr>
          <w:rFonts w:ascii="Arial" w:hAnsi="Arial" w:cs="Arial"/>
          <w:i/>
          <w:iCs/>
          <w:sz w:val="24"/>
          <w:szCs w:val="24"/>
        </w:rPr>
        <w:t>48</w:t>
      </w:r>
      <w:r>
        <w:rPr>
          <w:rFonts w:ascii="Arial" w:hAnsi="Arial" w:cs="Arial"/>
          <w:sz w:val="24"/>
          <w:szCs w:val="24"/>
        </w:rPr>
        <w:t xml:space="preserve">(7), 2137–2147. https://doi.org/10.1007/s10508-019-1435-4 </w:t>
      </w:r>
    </w:p>
    <w:p w14:paraId="2AE7843E" w14:textId="77777777" w:rsidR="00CF454B" w:rsidRDefault="00CF454B" w:rsidP="00CF454B">
      <w:r>
        <w:rPr>
          <w:rFonts w:ascii="Arial" w:hAnsi="Arial" w:cs="Arial"/>
          <w:sz w:val="24"/>
          <w:szCs w:val="24"/>
        </w:rPr>
        <w:t xml:space="preserve">Rushton. B. (2013) Backdooring it: Defense maneuvers around setback. </w:t>
      </w:r>
      <w:hyperlink r:id="rId7" w:history="1">
        <w:r>
          <w:rPr>
            <w:rStyle w:val="Hyperlink"/>
            <w:rFonts w:ascii="Arial" w:hAnsi="Arial" w:cs="Arial"/>
            <w:sz w:val="24"/>
            <w:szCs w:val="24"/>
          </w:rPr>
          <w:t>https://www.illinoistimes.com/springfield/backdooring-it/Content?oid=11452567</w:t>
        </w:r>
      </w:hyperlink>
    </w:p>
    <w:p w14:paraId="0EC9040F" w14:textId="77777777" w:rsidR="00CF454B" w:rsidRDefault="00CF454B" w:rsidP="00CF454B">
      <w:r>
        <w:rPr>
          <w:rFonts w:ascii="Arial" w:hAnsi="Arial" w:cs="Arial"/>
          <w:sz w:val="24"/>
          <w:szCs w:val="24"/>
        </w:rPr>
        <w:t xml:space="preserve">Statistica (2021) </w:t>
      </w:r>
      <w:r>
        <w:rPr>
          <w:rFonts w:ascii="Arial" w:hAnsi="Arial" w:cs="Arial"/>
          <w:i/>
          <w:iCs/>
          <w:sz w:val="24"/>
          <w:szCs w:val="24"/>
        </w:rPr>
        <w:t>Crime rate per 1,000 population in the United Kingdom from 2002/03 to 2019/20, by country.</w:t>
      </w:r>
      <w:r>
        <w:rPr>
          <w:rFonts w:ascii="Arial" w:hAnsi="Arial" w:cs="Arial"/>
          <w:sz w:val="24"/>
          <w:szCs w:val="24"/>
        </w:rPr>
        <w:t xml:space="preserve"> https://www.statista.com/statistics/1030625/crime-rate-uk/</w:t>
      </w:r>
    </w:p>
    <w:p w14:paraId="50AD7C81" w14:textId="77777777" w:rsidR="00CF454B" w:rsidRDefault="00CF454B" w:rsidP="00CF454B">
      <w:r>
        <w:rPr>
          <w:rFonts w:ascii="Arial" w:hAnsi="Arial" w:cs="Arial"/>
          <w:sz w:val="24"/>
          <w:szCs w:val="24"/>
        </w:rPr>
        <w:t>Wright. J. (2015) International Encyclopedia of the Social &amp; Behavioral Sciences (2</w:t>
      </w:r>
      <w:r>
        <w:rPr>
          <w:rFonts w:ascii="Arial" w:hAnsi="Arial" w:cs="Arial"/>
          <w:sz w:val="24"/>
          <w:szCs w:val="24"/>
          <w:vertAlign w:val="superscript"/>
        </w:rPr>
        <w:t>nd</w:t>
      </w:r>
      <w:r>
        <w:rPr>
          <w:rFonts w:ascii="Arial" w:hAnsi="Arial" w:cs="Arial"/>
          <w:sz w:val="24"/>
          <w:szCs w:val="24"/>
        </w:rPr>
        <w:t xml:space="preserve"> ed.). Elsevier.</w:t>
      </w:r>
    </w:p>
    <w:p w14:paraId="2A8E3E86" w14:textId="77777777" w:rsidR="00CF454B" w:rsidRDefault="00CF454B" w:rsidP="00CF454B">
      <w:pPr>
        <w:rPr>
          <w:rFonts w:ascii="Arial" w:hAnsi="Arial" w:cs="Arial"/>
          <w:sz w:val="24"/>
          <w:szCs w:val="24"/>
        </w:rPr>
      </w:pPr>
    </w:p>
    <w:p w14:paraId="2E017678" w14:textId="77777777" w:rsidR="00533F83" w:rsidRDefault="00533F83"/>
    <w:sectPr w:rsidR="00533F83">
      <w:headerReference w:type="default" r:id="rId8"/>
      <w:footerReference w:type="default" r:id="rId9"/>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E28BA6" w14:textId="77777777" w:rsidR="008C79D5" w:rsidRDefault="008C79D5" w:rsidP="00CF454B">
      <w:pPr>
        <w:spacing w:after="0" w:line="240" w:lineRule="auto"/>
      </w:pPr>
      <w:r>
        <w:separator/>
      </w:r>
    </w:p>
  </w:endnote>
  <w:endnote w:type="continuationSeparator" w:id="0">
    <w:p w14:paraId="2FED1421" w14:textId="77777777" w:rsidR="008C79D5" w:rsidRDefault="008C79D5" w:rsidP="00CF45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1DBBFB" w14:textId="77777777" w:rsidR="00CA52E7" w:rsidRDefault="00CF454B">
    <w:pPr>
      <w:pStyle w:val="Footer"/>
    </w:pPr>
    <w:r>
      <w:rPr>
        <w:noProof/>
        <w:lang w:eastAsia="en-GB"/>
      </w:rPr>
      <mc:AlternateContent>
        <mc:Choice Requires="wps">
          <w:drawing>
            <wp:anchor distT="0" distB="0" distL="114300" distR="114300" simplePos="0" relativeHeight="251659264" behindDoc="0" locked="0" layoutInCell="1" allowOverlap="1" wp14:anchorId="3C13789D" wp14:editId="5206F760">
              <wp:simplePos x="0" y="0"/>
              <wp:positionH relativeFrom="page">
                <wp:posOffset>0</wp:posOffset>
              </wp:positionH>
              <wp:positionV relativeFrom="page">
                <wp:posOffset>10234934</wp:posOffset>
              </wp:positionV>
              <wp:extent cx="7560314" cy="266703"/>
              <wp:effectExtent l="0" t="0" r="0" b="0"/>
              <wp:wrapNone/>
              <wp:docPr id="1" name="MSIPCMe7754a91ba8d7846a8e14edc" descr="{&quot;HashCode&quot;:-1217922534,&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4" cy="266703"/>
                      </a:xfrm>
                      <a:prstGeom prst="rect">
                        <a:avLst/>
                      </a:prstGeom>
                      <a:noFill/>
                      <a:ln>
                        <a:noFill/>
                        <a:prstDash/>
                      </a:ln>
                    </wps:spPr>
                    <wps:txbx>
                      <w:txbxContent>
                        <w:p w14:paraId="704CFDA1" w14:textId="77777777" w:rsidR="00CA52E7" w:rsidRDefault="00CF454B">
                          <w:pPr>
                            <w:spacing w:after="0"/>
                            <w:jc w:val="center"/>
                            <w:rPr>
                              <w:rFonts w:cs="Calibri"/>
                              <w:color w:val="000000"/>
                              <w:sz w:val="20"/>
                            </w:rPr>
                          </w:pPr>
                          <w:r>
                            <w:rPr>
                              <w:rFonts w:cs="Calibri"/>
                              <w:color w:val="000000"/>
                              <w:sz w:val="20"/>
                            </w:rPr>
                            <w:t>Company General Use</w:t>
                          </w:r>
                        </w:p>
                      </w:txbxContent>
                    </wps:txbx>
                    <wps:bodyPr vert="horz" wrap="square" lIns="91440" tIns="0" rIns="91440" bIns="0" anchor="b" anchorCtr="0" compatLnSpc="1">
                      <a:noAutofit/>
                    </wps:bodyPr>
                  </wps:wsp>
                </a:graphicData>
              </a:graphic>
            </wp:anchor>
          </w:drawing>
        </mc:Choice>
        <mc:Fallback>
          <w:pict>
            <v:shapetype w14:anchorId="3C13789D" id="_x0000_t202" coordsize="21600,21600" o:spt="202" path="m,l,21600r21600,l21600,xe">
              <v:stroke joinstyle="miter"/>
              <v:path gradientshapeok="t" o:connecttype="rect"/>
            </v:shapetype>
            <v:shape id="MSIPCMe7754a91ba8d7846a8e14edc" o:spid="_x0000_s1026" type="#_x0000_t202" alt="{&quot;HashCode&quot;:-1217922534,&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RUWUgIAAIcEAAAOAAAAZHJzL2Uyb0RvYy54bWysVEtv2zAMvg/YfxB02Gmt7dR5eXWKrUXX&#10;Au0WIB12ViQ6FmBLqqQ0zob991G2knbdbdhFJj9SfOmjzy+6tiFPYJ3UqqTZaUoJKK6FVJuSfnu4&#10;PplR4jxTgjVaQUn34OjF4u2b850pYKRr3QiwBIMoV+xMSWvvTZEkjtfQMneqDSg0Vtq2zKNqN4mw&#10;bIfR2yYZpekk2WkrjNUcnEP0ajDSRR+/qoD7r1XlwJOmpFib70/bn+twJotzVmwsM7XksQz2D1W0&#10;TCpMegx1xTwjWyv/CtVKbrXTlT/luk10VUkOfQ/YTZa+6mZVMwN9LzgcZ45jcv8vLP/ytLRECnw7&#10;ShRr8YnuV7fLy3uYTsc5m2drNhPTWT5hM8hyEJwSAY7jBH++e9xq/+GGufpSCxi04iQbZdP5aDQ+&#10;y99HB5Cb2kfzLEeKRMN3KXwd8fF8fMSXDePQgjrcGVyutfZgBzkGuFUCuhhg+CytbJnd/+G1Qg4g&#10;OaNfFu8+aBOR9Jj4DqpDTgR/BW7sjCtwRCuDQ/LdJ92FOUXcIRievKtsG774mATtyLL9kVnQecIR&#10;nI4n6VmWU8LRNppMpulZCJM83zbW+c+gWxKEklqsuicUe7pzfnA9uIRkSl/LpkGcFY16BQS/K3yW&#10;4VYwJ6GPod4g+W7doTGIay322BtuMCattf1ByQ63oaTuccssUNLcKqTbPMvzsD69goJ9ia4PKFMc&#10;Q5R0TckgXnrU0B25bpi/UyvDwwCHej9uva5k39tzJbFWZHs/nbiZYZ1e6r3X8/9j8RsAAP//AwBQ&#10;SwMEFAAGAAgAAAAhAPmRFPjeAAAACwEAAA8AAABkcnMvZG93bnJldi54bWxMj0tPwzAQhO9I/Adr&#10;kbgg6hhEFEKcqkJCHIHykLi58eYh4rUVu23g17M5wXFnRrPzVevZjeKAUxw8aVCrDARS4+1AnYa3&#10;14fLAkRMhqwZPaGGb4ywrk9PKlNaf6QXPGxTJ7iEYmk09CmFUsrY9OhMXPmAxF7rJ2cSn1Mn7WSO&#10;XO5GeZVluXRmIP7Qm4D3PTZf273T0Krw/L55ktheyM+iKX4ouI9Hrc/P5s0diIRz+gvDMp+nQ82b&#10;dn5PNopRA4MkVnOlmGDx1W2Wg9gt2s11AbKu5H+G+hcAAP//AwBQSwECLQAUAAYACAAAACEAtoM4&#10;kv4AAADhAQAAEwAAAAAAAAAAAAAAAAAAAAAAW0NvbnRlbnRfVHlwZXNdLnhtbFBLAQItABQABgAI&#10;AAAAIQA4/SH/1gAAAJQBAAALAAAAAAAAAAAAAAAAAC8BAABfcmVscy8ucmVsc1BLAQItABQABgAI&#10;AAAAIQAhURUWUgIAAIcEAAAOAAAAAAAAAAAAAAAAAC4CAABkcnMvZTJvRG9jLnhtbFBLAQItABQA&#10;BgAIAAAAIQD5kRT43gAAAAsBAAAPAAAAAAAAAAAAAAAAAKwEAABkcnMvZG93bnJldi54bWxQSwUG&#10;AAAAAAQABADzAAAAtwUAAAAA&#10;" filled="f" stroked="f">
              <v:textbox inset=",0,,0">
                <w:txbxContent>
                  <w:p w14:paraId="704CFDA1" w14:textId="77777777" w:rsidR="00CA52E7" w:rsidRDefault="00CF454B">
                    <w:pPr>
                      <w:spacing w:after="0"/>
                      <w:jc w:val="center"/>
                      <w:rPr>
                        <w:rFonts w:cs="Calibri"/>
                        <w:color w:val="000000"/>
                        <w:sz w:val="20"/>
                      </w:rPr>
                    </w:pPr>
                    <w:r>
                      <w:rPr>
                        <w:rFonts w:cs="Calibri"/>
                        <w:color w:val="000000"/>
                        <w:sz w:val="20"/>
                      </w:rPr>
                      <w:t>Company General Use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45EB42" w14:textId="77777777" w:rsidR="008C79D5" w:rsidRDefault="008C79D5" w:rsidP="00CF454B">
      <w:pPr>
        <w:spacing w:after="0" w:line="240" w:lineRule="auto"/>
      </w:pPr>
      <w:r>
        <w:separator/>
      </w:r>
    </w:p>
  </w:footnote>
  <w:footnote w:type="continuationSeparator" w:id="0">
    <w:p w14:paraId="776E54C5" w14:textId="77777777" w:rsidR="008C79D5" w:rsidRDefault="008C79D5" w:rsidP="00CF45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6DCD59" w14:textId="77777777" w:rsidR="00CA52E7" w:rsidRDefault="00CF454B">
    <w:pPr>
      <w:pStyle w:val="Header"/>
      <w:rPr>
        <w:lang w:val="en-US"/>
      </w:rPr>
    </w:pPr>
    <w:r>
      <w:rPr>
        <w:lang w:val="en-US"/>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454B"/>
    <w:rsid w:val="0044161C"/>
    <w:rsid w:val="00533F83"/>
    <w:rsid w:val="008C79D5"/>
    <w:rsid w:val="00BC6B40"/>
    <w:rsid w:val="00CF454B"/>
    <w:rsid w:val="00E66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1E0C24"/>
  <w15:chartTrackingRefBased/>
  <w15:docId w15:val="{BA6B9B8B-873E-4D78-9B92-F89A3975B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F454B"/>
    <w:pPr>
      <w:suppressAutoHyphens/>
      <w:autoSpaceDN w:val="0"/>
      <w:spacing w:line="242" w:lineRule="auto"/>
      <w:textAlignment w:val="baseline"/>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F454B"/>
    <w:pPr>
      <w:tabs>
        <w:tab w:val="center" w:pos="4513"/>
        <w:tab w:val="right" w:pos="9026"/>
      </w:tabs>
      <w:spacing w:after="0" w:line="240" w:lineRule="auto"/>
    </w:pPr>
  </w:style>
  <w:style w:type="character" w:customStyle="1" w:styleId="HeaderChar">
    <w:name w:val="Header Char"/>
    <w:basedOn w:val="DefaultParagraphFont"/>
    <w:link w:val="Header"/>
    <w:rsid w:val="00CF454B"/>
    <w:rPr>
      <w:rFonts w:ascii="Calibri" w:eastAsia="Calibri" w:hAnsi="Calibri" w:cs="Times New Roman"/>
    </w:rPr>
  </w:style>
  <w:style w:type="paragraph" w:styleId="Footer">
    <w:name w:val="footer"/>
    <w:basedOn w:val="Normal"/>
    <w:link w:val="FooterChar"/>
    <w:rsid w:val="00CF454B"/>
    <w:pPr>
      <w:tabs>
        <w:tab w:val="center" w:pos="4513"/>
        <w:tab w:val="right" w:pos="9026"/>
      </w:tabs>
      <w:spacing w:after="0" w:line="240" w:lineRule="auto"/>
    </w:pPr>
  </w:style>
  <w:style w:type="character" w:customStyle="1" w:styleId="FooterChar">
    <w:name w:val="Footer Char"/>
    <w:basedOn w:val="DefaultParagraphFont"/>
    <w:link w:val="Footer"/>
    <w:rsid w:val="00CF454B"/>
    <w:rPr>
      <w:rFonts w:ascii="Calibri" w:eastAsia="Calibri" w:hAnsi="Calibri" w:cs="Times New Roman"/>
    </w:rPr>
  </w:style>
  <w:style w:type="character" w:styleId="Hyperlink">
    <w:name w:val="Hyperlink"/>
    <w:basedOn w:val="DefaultParagraphFont"/>
    <w:rsid w:val="00CF454B"/>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illinoistimes.com/springfield/backdooring-it/Content?oid=1145256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osomething.org/us/facts/11-facts-about-cyber-bullying"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2604</Words>
  <Characters>14844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Leonardo Helicopters</Company>
  <LinksUpToDate>false</LinksUpToDate>
  <CharactersWithSpaces>17414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 Drew</dc:creator>
  <cp:keywords/>
  <dc:description/>
  <cp:lastModifiedBy>Natalie Siobhan Newlands (2005030)</cp:lastModifiedBy>
  <cp:revision>2</cp:revision>
  <dcterms:created xsi:type="dcterms:W3CDTF">2021-02-19T20:07:00Z</dcterms:created>
  <dcterms:modified xsi:type="dcterms:W3CDTF">2021-02-19T20:07:00Z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5b32904-7b88-4fbd-853e-1545dcc6f0e3_Enabled">
    <vt:lpwstr>True</vt:lpwstr>
  </property>
  <property fmtid="{D5CDD505-2E9C-101B-9397-08002B2CF9AE}" pid="3" name="MSIP_Label_05b32904-7b88-4fbd-853e-1545dcc6f0e3_SiteId">
    <vt:lpwstr>31ae1cef-2393-4eb1-8962-4e4bbfccd663</vt:lpwstr>
  </property>
  <property fmtid="{D5CDD505-2E9C-101B-9397-08002B2CF9AE}" pid="4" name="MSIP_Label_05b32904-7b88-4fbd-853e-1545dcc6f0e3_Owner">
    <vt:lpwstr>908298@agustawestland.local</vt:lpwstr>
  </property>
  <property fmtid="{D5CDD505-2E9C-101B-9397-08002B2CF9AE}" pid="5" name="MSIP_Label_05b32904-7b88-4fbd-853e-1545dcc6f0e3_SetDate">
    <vt:lpwstr>2021-02-19T19:35:37.9123922Z</vt:lpwstr>
  </property>
  <property fmtid="{D5CDD505-2E9C-101B-9397-08002B2CF9AE}" pid="6" name="MSIP_Label_05b32904-7b88-4fbd-853e-1545dcc6f0e3_Name">
    <vt:lpwstr>Company General Use</vt:lpwstr>
  </property>
  <property fmtid="{D5CDD505-2E9C-101B-9397-08002B2CF9AE}" pid="7" name="MSIP_Label_05b32904-7b88-4fbd-853e-1545dcc6f0e3_Application">
    <vt:lpwstr>Microsoft Azure Information Protection</vt:lpwstr>
  </property>
  <property fmtid="{D5CDD505-2E9C-101B-9397-08002B2CF9AE}" pid="8" name="MSIP_Label_05b32904-7b88-4fbd-853e-1545dcc6f0e3_ActionId">
    <vt:lpwstr>38fbe97c-525c-4d96-bfef-7609289d3fdb</vt:lpwstr>
  </property>
  <property fmtid="{D5CDD505-2E9C-101B-9397-08002B2CF9AE}" pid="9" name="MSIP_Label_05b32904-7b88-4fbd-853e-1545dcc6f0e3_Extended_MSFT_Method">
    <vt:lpwstr>Manual</vt:lpwstr>
  </property>
  <property fmtid="{D5CDD505-2E9C-101B-9397-08002B2CF9AE}" pid="10" name="MSIP_Label_3bb4f5e6-4689-4e32-8ee0-7c59def9675b_Enabled">
    <vt:lpwstr>True</vt:lpwstr>
  </property>
  <property fmtid="{D5CDD505-2E9C-101B-9397-08002B2CF9AE}" pid="11" name="MSIP_Label_3bb4f5e6-4689-4e32-8ee0-7c59def9675b_SiteId">
    <vt:lpwstr>31ae1cef-2393-4eb1-8962-4e4bbfccd663</vt:lpwstr>
  </property>
  <property fmtid="{D5CDD505-2E9C-101B-9397-08002B2CF9AE}" pid="12" name="MSIP_Label_3bb4f5e6-4689-4e32-8ee0-7c59def9675b_Owner">
    <vt:lpwstr>908298@agustawestland.local</vt:lpwstr>
  </property>
  <property fmtid="{D5CDD505-2E9C-101B-9397-08002B2CF9AE}" pid="13" name="MSIP_Label_3bb4f5e6-4689-4e32-8ee0-7c59def9675b_SetDate">
    <vt:lpwstr>2021-02-19T19:35:37.9123922Z</vt:lpwstr>
  </property>
  <property fmtid="{D5CDD505-2E9C-101B-9397-08002B2CF9AE}" pid="14" name="MSIP_Label_3bb4f5e6-4689-4e32-8ee0-7c59def9675b_Name">
    <vt:lpwstr>Mark</vt:lpwstr>
  </property>
  <property fmtid="{D5CDD505-2E9C-101B-9397-08002B2CF9AE}" pid="15" name="MSIP_Label_3bb4f5e6-4689-4e32-8ee0-7c59def9675b_Application">
    <vt:lpwstr>Microsoft Azure Information Protection</vt:lpwstr>
  </property>
  <property fmtid="{D5CDD505-2E9C-101B-9397-08002B2CF9AE}" pid="16" name="MSIP_Label_3bb4f5e6-4689-4e32-8ee0-7c59def9675b_ActionId">
    <vt:lpwstr>38fbe97c-525c-4d96-bfef-7609289d3fdb</vt:lpwstr>
  </property>
  <property fmtid="{D5CDD505-2E9C-101B-9397-08002B2CF9AE}" pid="17" name="MSIP_Label_3bb4f5e6-4689-4e32-8ee0-7c59def9675b_Parent">
    <vt:lpwstr>05b32904-7b88-4fbd-853e-1545dcc6f0e3</vt:lpwstr>
  </property>
  <property fmtid="{D5CDD505-2E9C-101B-9397-08002B2CF9AE}" pid="18" name="MSIP_Label_3bb4f5e6-4689-4e32-8ee0-7c59def9675b_Extended_MSFT_Method">
    <vt:lpwstr>Manual</vt:lpwstr>
  </property>
  <property fmtid="{D5CDD505-2E9C-101B-9397-08002B2CF9AE}" pid="19" name="Sensitivity">
    <vt:lpwstr>Company General Use Mark</vt:lpwstr>
  </property>
</Properties>
</file>