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bookmarkStart w:id="1" w:name="_GoBack"/>
      <w:bookmarkEnd w:id="1"/>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8"/>
        <w:gridCol w:w="717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Borders>
              <w:top w:val="single" w:color="auto" w:sz="4" w:space="0"/>
              <w:left w:val="single" w:color="auto" w:sz="4" w:space="0"/>
              <w:bottom w:val="single" w:color="auto" w:sz="4" w:space="0"/>
              <w:right w:val="single" w:color="auto" w:sz="4" w:space="0"/>
            </w:tcBorders>
          </w:tcPr>
          <w:p>
            <w:pPr>
              <w:pStyle w:val="9"/>
              <w:spacing w:line="360" w:lineRule="auto"/>
              <w:rPr>
                <w:rFonts w:ascii="Arial" w:hAnsi="Arial" w:cs="Arial"/>
                <w:szCs w:val="20"/>
              </w:rPr>
            </w:pPr>
            <w:bookmarkStart w:id="0" w:name="cysill"/>
            <w:bookmarkEnd w:id="0"/>
            <w:r>
              <w:rPr>
                <w:rFonts w:ascii="Arial" w:hAnsi="Arial" w:cs="Arial"/>
                <w:szCs w:val="20"/>
              </w:rPr>
              <w:t>Target 1</w:t>
            </w:r>
          </w:p>
        </w:tc>
        <w:tc>
          <w:tcPr>
            <w:tcW w:w="7178" w:type="dxa"/>
            <w:tcBorders>
              <w:top w:val="single" w:color="auto" w:sz="4" w:space="0"/>
              <w:left w:val="nil"/>
              <w:bottom w:val="single" w:color="auto" w:sz="4" w:space="0"/>
              <w:right w:val="single" w:color="auto" w:sz="4" w:space="0"/>
            </w:tcBorders>
          </w:tcPr>
          <w:p>
            <w:pPr>
              <w:pStyle w:val="9"/>
              <w:spacing w:line="360" w:lineRule="auto"/>
              <w:rPr>
                <w:rFonts w:ascii="Arial" w:hAnsi="Arial" w:cs="Arial"/>
                <w:szCs w:val="20"/>
              </w:rPr>
            </w:pPr>
            <w:r>
              <w:rPr>
                <w:rFonts w:ascii="Arial" w:hAnsi="Arial" w:cs="Arial"/>
                <w:szCs w:val="20"/>
              </w:rPr>
              <w:t>To engage closely with the requirements of the question in identifying the focus for writing.</w:t>
            </w:r>
          </w:p>
        </w:tc>
      </w:tr>
    </w:tbl>
    <w:p>
      <w:pPr>
        <w:spacing w:line="360" w:lineRule="auto"/>
        <w:jc w:val="center"/>
        <w:rPr>
          <w:rFonts w:ascii="Arial" w:hAnsi="Arial" w:cs="Arial"/>
          <w:b/>
          <w:sz w:val="36"/>
        </w:rPr>
      </w:pPr>
    </w:p>
    <w:p>
      <w:pPr>
        <w:spacing w:line="360" w:lineRule="auto"/>
        <w:jc w:val="center"/>
        <w:rPr>
          <w:rFonts w:ascii="Arial" w:hAnsi="Arial" w:cs="Arial"/>
          <w:b/>
          <w:sz w:val="36"/>
        </w:rPr>
      </w:pPr>
    </w:p>
    <w:p>
      <w:pPr>
        <w:spacing w:line="360" w:lineRule="auto"/>
        <w:jc w:val="center"/>
        <w:rPr>
          <w:rFonts w:ascii="Arial" w:hAnsi="Arial" w:cs="Arial"/>
          <w:b/>
          <w:sz w:val="36"/>
        </w:rPr>
      </w:pPr>
    </w:p>
    <w:p>
      <w:pPr>
        <w:spacing w:line="360" w:lineRule="auto"/>
        <w:jc w:val="center"/>
        <w:rPr>
          <w:rFonts w:ascii="Arial" w:hAnsi="Arial" w:cs="Arial"/>
          <w:b/>
          <w:sz w:val="36"/>
          <w:u w:val="single"/>
        </w:rPr>
      </w:pPr>
    </w:p>
    <w:p>
      <w:pPr>
        <w:spacing w:line="360" w:lineRule="auto"/>
        <w:jc w:val="center"/>
        <w:rPr>
          <w:rFonts w:ascii="Arial" w:hAnsi="Arial" w:cs="Arial"/>
          <w:b/>
          <w:sz w:val="36"/>
          <w:u w:val="single"/>
        </w:rPr>
      </w:pPr>
      <w:r>
        <w:rPr>
          <w:rFonts w:ascii="Arial" w:hAnsi="Arial" w:cs="Arial"/>
          <w:b/>
          <w:sz w:val="36"/>
          <w:u w:val="single"/>
        </w:rPr>
        <w:t>Rosie Evans</w:t>
      </w:r>
    </w:p>
    <w:p>
      <w:pPr>
        <w:spacing w:line="360" w:lineRule="auto"/>
        <w:jc w:val="center"/>
        <w:rPr>
          <w:rFonts w:ascii="Arial" w:hAnsi="Arial" w:cs="Arial"/>
          <w:b/>
          <w:sz w:val="36"/>
          <w:u w:val="single"/>
        </w:rPr>
      </w:pPr>
      <w:r>
        <w:rPr>
          <w:rFonts w:ascii="Arial" w:hAnsi="Arial" w:cs="Arial"/>
          <w:b/>
          <w:sz w:val="36"/>
          <w:u w:val="single"/>
        </w:rPr>
        <w:t>Student Number: 1900565</w:t>
      </w:r>
    </w:p>
    <w:p>
      <w:pPr>
        <w:spacing w:line="360" w:lineRule="auto"/>
        <w:jc w:val="center"/>
        <w:rPr>
          <w:rFonts w:ascii="Arial" w:hAnsi="Arial" w:cs="Arial"/>
          <w:b/>
          <w:sz w:val="36"/>
          <w:u w:val="single"/>
        </w:rPr>
      </w:pPr>
      <w:r>
        <w:rPr>
          <w:rFonts w:ascii="Arial" w:hAnsi="Arial" w:cs="Arial"/>
          <w:b/>
          <w:sz w:val="36"/>
          <w:u w:val="single"/>
        </w:rPr>
        <w:t>ECAD4009-C: Cycle 1 Learners, schools and communities: Where am I teaching?</w:t>
      </w:r>
    </w:p>
    <w:p>
      <w:pPr>
        <w:spacing w:line="360" w:lineRule="auto"/>
        <w:jc w:val="center"/>
        <w:rPr>
          <w:rFonts w:ascii="Arial" w:hAnsi="Arial" w:cs="Arial"/>
          <w:b/>
          <w:sz w:val="36"/>
          <w:u w:val="single"/>
        </w:rPr>
      </w:pPr>
      <w:r>
        <w:rPr>
          <w:rFonts w:ascii="Arial" w:hAnsi="Arial" w:cs="Arial"/>
          <w:b/>
          <w:sz w:val="36"/>
          <w:u w:val="single"/>
        </w:rPr>
        <w:t>13</w:t>
      </w:r>
      <w:r>
        <w:rPr>
          <w:rFonts w:ascii="Arial" w:hAnsi="Arial" w:cs="Arial"/>
          <w:b/>
          <w:sz w:val="36"/>
          <w:u w:val="single"/>
          <w:vertAlign w:val="superscript"/>
        </w:rPr>
        <w:t>th</w:t>
      </w:r>
      <w:r>
        <w:rPr>
          <w:rFonts w:ascii="Arial" w:hAnsi="Arial" w:cs="Arial"/>
          <w:b/>
          <w:sz w:val="36"/>
          <w:u w:val="single"/>
        </w:rPr>
        <w:t xml:space="preserve"> February 2020</w:t>
      </w:r>
    </w:p>
    <w:p>
      <w:pPr>
        <w:spacing w:line="360" w:lineRule="auto"/>
        <w:rPr>
          <w:rFonts w:ascii="Arial" w:hAnsi="Arial" w:cs="Arial"/>
          <w:sz w:val="36"/>
          <w:u w:val="single"/>
        </w:rPr>
      </w:pPr>
    </w:p>
    <w:p>
      <w:pPr>
        <w:spacing w:line="360" w:lineRule="auto"/>
        <w:rPr>
          <w:rFonts w:ascii="Arial" w:hAnsi="Arial" w:cs="Arial"/>
          <w:sz w:val="36"/>
        </w:rPr>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pStyle w:val="12"/>
        <w:spacing w:line="360" w:lineRule="auto"/>
        <w:rPr>
          <w:rFonts w:cstheme="minorHAnsi"/>
          <w:shd w:val="clear" w:color="auto" w:fill="FFFFFF"/>
        </w:rPr>
      </w:pPr>
      <w:r>
        <w:rPr>
          <w:rFonts w:cstheme="minorHAnsi"/>
        </w:rPr>
        <w:t xml:space="preserve">Literature and Professional experience has always challenged my beliefs and assumptions about how schools respond to opportunities and challenges  within their communities. Prior to me starting my Professional Teaching Experience (PTE), and learning about early years childcare provision, I believed that the Foundation Phase Framework (2015), was working well and further change was not required. My impression was that children learned and developed accordingly in schools and that it was through the Foundation Phase children learnt more quickly when their whole body is involved in one activity. I thought their learning was, and still is, holistic when following this framework and that children make multiple connections when being independent learners. I believe this way of learning can not only help them at the time but it can also help them when they are solving multiple problems, testing their abilities and completing a focused task. Children can relate their experiences to their work and this can help them enjoy learning. A child centred learning environment can actively help children to develop their learning abilities more positively </w:t>
      </w:r>
      <w:r>
        <w:rPr>
          <w:rFonts w:cstheme="minorHAnsi"/>
          <w:shd w:val="clear" w:color="auto" w:fill="FFFFFF"/>
        </w:rPr>
        <w:t>(Thomas and Lewis, 2016).</w:t>
      </w:r>
    </w:p>
    <w:p>
      <w:pPr>
        <w:pStyle w:val="12"/>
        <w:rPr>
          <w:rFonts w:cstheme="minorHAnsi"/>
          <w:shd w:val="clear" w:color="auto" w:fill="FFFFFF"/>
        </w:rPr>
      </w:pPr>
    </w:p>
    <w:p>
      <w:pPr>
        <w:pStyle w:val="12"/>
        <w:spacing w:line="360" w:lineRule="auto"/>
        <w:rPr>
          <w:rFonts w:cstheme="minorHAnsi"/>
        </w:rPr>
      </w:pPr>
      <w:r>
        <w:rPr>
          <w:rFonts w:cstheme="minorHAnsi"/>
        </w:rPr>
        <w:t>However, prior to me having teaching experience and learning how to train as a professional, I did not believe how effective an outdoor area can be in a Foundation Phase classroom. I thought that children learnt from professionals delivering a lesson at the front of a classroom. According to Meyer et al (2008) it is through being in a child centred learning environment, such as a primary school, that the focus is based more on independent learning. The responsibility of teachers teaching the pupils has moved. It now involves children expressing themselves, interacting with others, making choices, testing ideas, solving problems and making discoveries. This is done through children motivating themselves. There is lots of evidence to suggest that children benefit when they spend as much time as possible playing outdoors. After researching, I have discovered that children learn through the type of place or environment they are in and use their senses to discover the things they are unsure of. Providing children with materials and resources of the highest quality should be paramount. Reading books should be attractive and well maintained to help children explore and spark their imagination. According to Welsh Government (2017), children enjoy looking at pictures relating to the planets, sea, landmarks and other scientific areas.</w:t>
      </w:r>
    </w:p>
    <w:p>
      <w:pPr>
        <w:pStyle w:val="12"/>
        <w:spacing w:line="360" w:lineRule="auto"/>
        <w:rPr>
          <w:rFonts w:cstheme="minorHAnsi"/>
        </w:rPr>
      </w:pPr>
    </w:p>
    <w:p>
      <w:pPr>
        <w:spacing w:line="360" w:lineRule="auto"/>
        <w:rPr>
          <w:rFonts w:cstheme="minorHAnsi"/>
        </w:rPr>
      </w:pPr>
      <w:r>
        <w:rPr>
          <w:rFonts w:cstheme="minorHAnsi"/>
        </w:rPr>
        <w:t>My belief about the Foundation Phase was challenged as change was definitely needed and according to Wightwick (2017), it is important that schools prepare children more in such a fast-changing world as there are no certainties as to what skills children will need in the future. Additionally, it emphasises the skills, knowledge and understanding that every child is encouraged to develop through this crucial developmental stage in their lives. The key elements in the framework include experiential learning, learning through play, active involvement and time to develop confidence through reading, writing and speaking. These are key to the curriculum and these have not been removed from the new curriculum, but they have been developed accordingly (Donaldson, G, 2015). According to Siraj (2014), for the Foundation Phase Framework to be effective in schools in Wales, exceptional change is required which could have taken a substantial amount of time to embed. Although changes were constantly being made,</w:t>
      </w:r>
      <w:r>
        <w:rPr>
          <w:rFonts w:cstheme="minorHAnsi"/>
          <w:shd w:val="clear" w:color="auto" w:fill="FFFFFF"/>
        </w:rPr>
        <w:t xml:space="preserve"> in 2014 Professor Graham Donaldson and his team were asked to look at and review the future school curriculum in both England and Wales </w:t>
      </w:r>
      <w:r>
        <w:rPr>
          <w:rFonts w:cstheme="minorHAnsi"/>
        </w:rPr>
        <w:t>(Donaldson, G, 2015).</w:t>
      </w:r>
      <w:r>
        <w:rPr>
          <w:rFonts w:cstheme="minorHAnsi"/>
          <w:shd w:val="clear" w:color="auto" w:fill="FFFFFF"/>
        </w:rPr>
        <w:t xml:space="preserve"> This was done to ensure children have a broad education experience, achieving the best outcomes within their abilities. He also feels that children will learn wider skills, including creativity, innovation, planning, organisation and critical thinking</w:t>
      </w:r>
      <w:r>
        <w:rPr>
          <w:rFonts w:cstheme="minorHAnsi"/>
        </w:rPr>
        <w:t xml:space="preserve">. Additionally, he believed that </w:t>
      </w:r>
      <w:r>
        <w:rPr>
          <w:rFonts w:cstheme="minorHAnsi"/>
          <w:shd w:val="clear" w:color="auto" w:fill="FFFFFF"/>
        </w:rPr>
        <w:t xml:space="preserve">In order to keep all practitioners focused on the expected aims that should met, Donaldson recommended that,  experienced and appropriate practitioners should be guiding and encouraging their pupils in the right direction, for them to deliver the learning outcomes to their class appropriately </w:t>
      </w:r>
      <w:r>
        <w:rPr>
          <w:rFonts w:cstheme="minorHAnsi"/>
        </w:rPr>
        <w:t>(Donaldson, G, 2015).</w:t>
      </w:r>
      <w:r>
        <w:rPr>
          <w:rFonts w:cstheme="minorHAnsi"/>
          <w:shd w:val="clear" w:color="auto" w:fill="FFFFFF"/>
        </w:rPr>
        <w:t xml:space="preserve"> </w:t>
      </w:r>
      <w:r>
        <w:rPr>
          <w:rFonts w:cstheme="minorHAnsi"/>
        </w:rPr>
        <w:t>Following on from his review, Professor Graham Donaldson produced a new document named Successful Futures (2015) to move education forward and meet every child’s needs. He introduced four purposes to help guide all future decisions about education and underpin all teaching in Wales. These purposes ensure the children receive a broad educational experience (Welsh Government, 2015). These purposes highlight that children should be ambitious, capable learners, ethical, informed citizens, enterprising, creative contributors and healthy, confident individuals (Wightwick, 2017).</w:t>
      </w:r>
    </w:p>
    <w:p>
      <w:pPr>
        <w:pStyle w:val="8"/>
        <w:spacing w:line="360" w:lineRule="auto"/>
        <w:rPr>
          <w:rFonts w:cstheme="minorHAnsi"/>
        </w:rPr>
      </w:pPr>
      <w:r>
        <w:rPr>
          <w:rFonts w:cstheme="minorHAnsi"/>
        </w:rPr>
        <w:t xml:space="preserve">Williams-Siegfredson (2005) believes that outdoor play ensures that children have a happy and healthy childhood which involves risk taking and having a variety of different learning experiences. He </w:t>
      </w:r>
      <w:r>
        <w:rPr>
          <w:rFonts w:cstheme="minorHAnsi"/>
          <w:shd w:val="clear" w:color="auto" w:fill="FFFFFF"/>
        </w:rPr>
        <w:t>did not find the risks involved dangerous as he was emphasising the importance of adventurous play and how children learn while having fun. For example, tree climbing has many risks, but gives children the opportunity to feel a sense of achievement. He argued that children who experience challenges are safer than being protected from them (National Childbirth Trust, 2017).</w:t>
      </w:r>
      <w:r>
        <w:rPr>
          <w:rFonts w:cstheme="minorHAnsi"/>
        </w:rPr>
        <w:t xml:space="preserve"> Fredrich Froebel (1782-1857) was an educationalist who </w:t>
      </w:r>
      <w:r>
        <w:rPr>
          <w:rFonts w:cstheme="minorHAnsi"/>
          <w:shd w:val="clear" w:color="auto" w:fill="FFFFFF"/>
        </w:rPr>
        <w:t xml:space="preserve">recognised that </w:t>
      </w:r>
      <w:r>
        <w:rPr>
          <w:rFonts w:cstheme="minorHAnsi"/>
        </w:rPr>
        <w:t xml:space="preserve">it is essential to give children the freedom to choose, take control and explore their surroundings. His research and studies on education were based on children playing through self-expression, creativity, social participation and motor expression. </w:t>
      </w:r>
      <w:r>
        <w:rPr>
          <w:rFonts w:cstheme="minorHAnsi"/>
          <w:shd w:val="clear" w:color="auto" w:fill="FFFFFF"/>
        </w:rPr>
        <w:t xml:space="preserve">Following his theory, children need rich experiences, which can be facilitated in practice to provoke children's interests and ideas. Froebel encouraged teachers to promote the readiness of child’s play, as advocated in the Foundation Phase. His holistic approach promoted play and language, actions, feelings and thought. According to Aubrey and Riley (2016), Froebel found that children enjoyed learning these skills and developed them quicker than an adult-led indoor task. Froebel’s work can be seen today in the Foundation Phase as he emphasised play and a child centred approach to learning, which is the focus in this curriculum </w:t>
      </w:r>
      <w:r>
        <w:rPr>
          <w:rFonts w:cstheme="minorHAnsi"/>
        </w:rPr>
        <w:t>(Siraj- Blatchford, 2004). Outdoors, there is more space and it can be less intimidating for children. With this in mind, children may prefer to join in games and activities and are encouraged to make new friends in an outdoor space where they can either work independently or in a group. It encourages children to learn and develop their social skills and interact with one another without adult interference. Both Williams-Siegfredson (2015) and Fredrich Froebel (1782-1857) changed my original belief of not believing outdoor provision is effective. Froebel believed that play is the most important part of a child’s learning and through the use of various materials and exploration his studies showed that creative development matters in early years’ environments. After being on placement and reading literature I have found that outdoor areas are an effective style of learning for children. In practice, I will ensure that I have a fully equipped and a sustainable outdoor area for my class. In order for this to be effective, I will encourage child participation and ask them questions to spark their interests and preferences for the outdoor provision (Pound, 2009).</w:t>
      </w:r>
    </w:p>
    <w:p>
      <w:pPr>
        <w:pStyle w:val="8"/>
        <w:spacing w:line="360" w:lineRule="auto"/>
        <w:rPr>
          <w:rFonts w:cstheme="minorHAnsi"/>
        </w:rPr>
      </w:pPr>
    </w:p>
    <w:p>
      <w:pPr>
        <w:spacing w:line="360" w:lineRule="auto"/>
        <w:rPr>
          <w:rFonts w:cstheme="minorHAnsi"/>
        </w:rPr>
      </w:pPr>
      <w:r>
        <w:rPr>
          <w:rFonts w:cstheme="minorHAnsi"/>
        </w:rPr>
        <w:t>After reading Thomas and Lewis (2016) and activating my prior knowledge, I discovered more about the Foundation Phase and its advantages and disadvantages. Although the Foundation Phase has had a considerable impact on schools and has worked effectively, I now realise that it's time for a professional educationalist to revise this. In order to move forward, I will be researching, revising and understanding the new framework and carefully assessing what needs to be implemented when the curriculum is introduced in 2022. Successful Futures (2015) will shape all lesson plans I create in the future and what I feel will need to be changed to enhance the provision within my classroom.</w:t>
      </w:r>
    </w:p>
    <w:p>
      <w:pPr>
        <w:pStyle w:val="8"/>
        <w:spacing w:line="360" w:lineRule="auto"/>
        <w:rPr>
          <w:rFonts w:cstheme="minorHAnsi"/>
          <w:bCs/>
        </w:rPr>
      </w:pPr>
      <w:r>
        <w:rPr>
          <w:rFonts w:cstheme="minorHAnsi"/>
        </w:rPr>
        <w:t xml:space="preserve">Since being on Professional Teaching Experience (PTE), and after researching and reading literature I have discovered that an outdoor provision area for children is vital in order for children to have the freedom to shout and make a noise, in their physical movements, which sparks their imaginations, and helps them to discover places to hide and explore. Grigg (2010) believes that when children make a mess outdoors, it encourages them to be more creative and to try new things in order to experiment with a variety of materials and resources. John Dewey (1859-1952) argued that children learn best through a child-initiated, hands-on approach. He believed that teachers should observe their pupils and plan the indoor and outdoor classroom environments based on what they have observed and according to the children’s interests (Pound, 2014). Play has become a very important part of learning in the twenty-first century and has a big effect on children’s developmental journey (Sylva et al. 2004). </w:t>
      </w:r>
      <w:r>
        <w:rPr>
          <w:rFonts w:cstheme="minorHAnsi"/>
          <w:bCs/>
        </w:rPr>
        <w:t>Naturally, children should be fascinated by the world and  practitioners should encourage looking, comparing, contrasting and using senses to help expand the child’s knowledge and understanding of the world. Observation is the basic learning and  children should be continually observing their environment and should find inspiration easily and enjoyable.</w:t>
      </w:r>
    </w:p>
    <w:p>
      <w:pPr>
        <w:spacing w:line="360" w:lineRule="auto"/>
        <w:rPr>
          <w:rFonts w:cstheme="minorHAnsi"/>
          <w:u w:val="single"/>
        </w:rPr>
      </w:pPr>
      <w:r>
        <w:rPr>
          <w:rFonts w:cstheme="minorHAnsi"/>
          <w:u w:val="single"/>
        </w:rPr>
        <w:t xml:space="preserve">References: </w:t>
      </w:r>
    </w:p>
    <w:p>
      <w:pPr>
        <w:spacing w:line="360" w:lineRule="auto"/>
        <w:rPr>
          <w:rFonts w:cstheme="minorHAnsi"/>
          <w:color w:val="FF0000"/>
          <w:u w:val="single"/>
        </w:rPr>
      </w:pPr>
      <w:r>
        <w:rPr>
          <w:rFonts w:cstheme="minorHAnsi"/>
          <w:shd w:val="clear" w:color="auto" w:fill="FFFFFF"/>
        </w:rPr>
        <w:t>Aubrey, K. and Riley, A. (2016) </w:t>
      </w:r>
      <w:r>
        <w:rPr>
          <w:rFonts w:cstheme="minorHAnsi"/>
          <w:i/>
          <w:iCs/>
          <w:shd w:val="clear" w:color="auto" w:fill="FFFFFF"/>
        </w:rPr>
        <w:t>Understanding &amp; Using Educational Theories</w:t>
      </w:r>
      <w:r>
        <w:rPr>
          <w:rFonts w:cstheme="minorHAnsi"/>
          <w:i/>
          <w:shd w:val="clear" w:color="auto" w:fill="FFFFFF"/>
        </w:rPr>
        <w:t>.</w:t>
      </w:r>
      <w:r>
        <w:rPr>
          <w:rFonts w:cstheme="minorHAnsi"/>
          <w:shd w:val="clear" w:color="auto" w:fill="FFFFFF"/>
        </w:rPr>
        <w:t xml:space="preserve"> 1st Ed. London: SAGE Publications.</w:t>
      </w:r>
    </w:p>
    <w:p>
      <w:pPr>
        <w:tabs>
          <w:tab w:val="left" w:pos="7650"/>
        </w:tabs>
        <w:spacing w:line="360" w:lineRule="auto"/>
        <w:rPr>
          <w:rFonts w:cstheme="minorHAnsi"/>
          <w:u w:val="single"/>
        </w:rPr>
      </w:pPr>
      <w:r>
        <w:rPr>
          <w:rFonts w:cstheme="minorHAnsi"/>
        </w:rPr>
        <w:t xml:space="preserve">Donaldson, G. (2015) </w:t>
      </w:r>
      <w:r>
        <w:rPr>
          <w:rFonts w:cstheme="minorHAnsi"/>
          <w:i/>
          <w:color w:val="000000"/>
          <w:shd w:val="clear" w:color="auto" w:fill="FFFFFF"/>
        </w:rPr>
        <w:t xml:space="preserve">Successful Futures: Independent review of curriculum and assessment arrangements in Wales. </w:t>
      </w:r>
      <w:r>
        <w:rPr>
          <w:rFonts w:cstheme="minorHAnsi"/>
          <w:color w:val="000000"/>
          <w:shd w:val="clear" w:color="auto" w:fill="FFFFFF"/>
        </w:rPr>
        <w:t xml:space="preserve">Available at: </w:t>
      </w:r>
      <w:r>
        <w:fldChar w:fldCharType="begin"/>
      </w:r>
      <w:r>
        <w:instrText xml:space="preserve"> HYPERLINK "http://gov.wales/sites/default/files/publications/2018-03/successful-futures.pdf" </w:instrText>
      </w:r>
      <w:r>
        <w:fldChar w:fldCharType="separate"/>
      </w:r>
      <w:r>
        <w:rPr>
          <w:rStyle w:val="5"/>
          <w:rFonts w:cstheme="minorHAnsi"/>
          <w:shd w:val="clear" w:color="auto" w:fill="FFFFFF"/>
        </w:rPr>
        <w:t>http://gov.wales/sites/default/files/publications/2018-03/successful-futures.pdf</w:t>
      </w:r>
      <w:r>
        <w:rPr>
          <w:rStyle w:val="5"/>
          <w:rFonts w:cstheme="minorHAnsi"/>
          <w:shd w:val="clear" w:color="auto" w:fill="FFFFFF"/>
        </w:rPr>
        <w:fldChar w:fldCharType="end"/>
      </w:r>
      <w:r>
        <w:rPr>
          <w:rFonts w:cstheme="minorHAnsi"/>
          <w:color w:val="000000"/>
          <w:shd w:val="clear" w:color="auto" w:fill="FFFFFF"/>
        </w:rPr>
        <w:t xml:space="preserve"> (Accessed: 28th January 2020).</w:t>
      </w:r>
    </w:p>
    <w:p>
      <w:pPr>
        <w:spacing w:line="360" w:lineRule="auto"/>
        <w:rPr>
          <w:rFonts w:cstheme="minorHAnsi"/>
        </w:rPr>
      </w:pPr>
      <w:r>
        <w:rPr>
          <w:rFonts w:cstheme="minorHAnsi"/>
        </w:rPr>
        <w:t xml:space="preserve">Grigg, R. (2010) </w:t>
      </w:r>
      <w:r>
        <w:rPr>
          <w:rFonts w:cstheme="minorHAnsi"/>
          <w:i/>
        </w:rPr>
        <w:t>Becoming an Outstanding Primary School Teacher.</w:t>
      </w:r>
      <w:r>
        <w:rPr>
          <w:rFonts w:cstheme="minorHAnsi"/>
        </w:rPr>
        <w:t xml:space="preserve"> Essex: Pearson Education Ltd.</w:t>
      </w:r>
    </w:p>
    <w:p>
      <w:pPr>
        <w:tabs>
          <w:tab w:val="left" w:pos="7650"/>
        </w:tabs>
        <w:spacing w:line="360" w:lineRule="auto"/>
        <w:rPr>
          <w:rFonts w:cstheme="minorHAnsi"/>
          <w:shd w:val="clear" w:color="auto" w:fill="FFFFFF"/>
        </w:rPr>
      </w:pPr>
      <w:r>
        <w:rPr>
          <w:rFonts w:cstheme="minorHAnsi"/>
          <w:shd w:val="clear" w:color="auto" w:fill="FFFFFF"/>
        </w:rPr>
        <w:t>Meyer, B. et al. (2008) </w:t>
      </w:r>
      <w:r>
        <w:rPr>
          <w:rFonts w:cstheme="minorHAnsi"/>
          <w:i/>
          <w:iCs/>
          <w:shd w:val="clear" w:color="auto" w:fill="FFFFFF"/>
        </w:rPr>
        <w:t>What is independent learning and what are the benefits for students?</w:t>
      </w:r>
      <w:r>
        <w:rPr>
          <w:rFonts w:cstheme="minorHAnsi"/>
          <w:i/>
          <w:shd w:val="clear" w:color="auto" w:fill="FFFFFF"/>
        </w:rPr>
        <w:t>.</w:t>
      </w:r>
      <w:r>
        <w:rPr>
          <w:rFonts w:cstheme="minorHAnsi"/>
          <w:shd w:val="clear" w:color="auto" w:fill="FFFFFF"/>
        </w:rPr>
        <w:t xml:space="preserve"> Available at: </w:t>
      </w:r>
      <w:r>
        <w:fldChar w:fldCharType="begin"/>
      </w:r>
      <w:r>
        <w:instrText xml:space="preserve"> HYPERLINK "https://mobilise.kyrateachingschool.com/assets/uploads/files/PLC2-New-Learning-Whatisindependentlearningandwhatarethebenefits_161115_161346.pdf" </w:instrText>
      </w:r>
      <w:r>
        <w:fldChar w:fldCharType="separate"/>
      </w:r>
      <w:r>
        <w:rPr>
          <w:rStyle w:val="5"/>
          <w:rFonts w:cstheme="minorHAnsi"/>
          <w:shd w:val="clear" w:color="auto" w:fill="FFFFFF"/>
        </w:rPr>
        <w:t>https://mobilise.kyrateachingschool.com/assets/uploads/files/PLC2-New-Learning-Whatisindependentlearningandwhatarethebenefits_161115_161346.pdf</w:t>
      </w:r>
      <w:r>
        <w:rPr>
          <w:rStyle w:val="5"/>
          <w:rFonts w:cstheme="minorHAnsi"/>
          <w:shd w:val="clear" w:color="auto" w:fill="FFFFFF"/>
        </w:rPr>
        <w:fldChar w:fldCharType="end"/>
      </w:r>
      <w:r>
        <w:rPr>
          <w:rFonts w:cstheme="minorHAnsi"/>
          <w:shd w:val="clear" w:color="auto" w:fill="FFFFFF"/>
        </w:rPr>
        <w:t xml:space="preserve"> (Accessed 6th February 2020).</w:t>
      </w:r>
    </w:p>
    <w:p>
      <w:pPr>
        <w:pStyle w:val="8"/>
        <w:rPr>
          <w:rFonts w:cstheme="minorHAnsi"/>
          <w:shd w:val="clear" w:color="auto" w:fill="FFFFFF"/>
        </w:rPr>
      </w:pPr>
      <w:r>
        <w:rPr>
          <w:rFonts w:cstheme="minorHAnsi"/>
          <w:shd w:val="clear" w:color="auto" w:fill="FFFFFF"/>
        </w:rPr>
        <w:t>National Childbirth Trust. (2017) </w:t>
      </w:r>
      <w:r>
        <w:rPr>
          <w:rFonts w:cstheme="minorHAnsi"/>
          <w:i/>
          <w:iCs/>
          <w:shd w:val="clear" w:color="auto" w:fill="FFFFFF"/>
        </w:rPr>
        <w:t>The benefits of outdoor play for children</w:t>
      </w:r>
      <w:r>
        <w:rPr>
          <w:rFonts w:cstheme="minorHAnsi"/>
          <w:i/>
          <w:shd w:val="clear" w:color="auto" w:fill="FFFFFF"/>
        </w:rPr>
        <w:t xml:space="preserve">. </w:t>
      </w:r>
      <w:r>
        <w:rPr>
          <w:rFonts w:cstheme="minorHAnsi"/>
          <w:shd w:val="clear" w:color="auto" w:fill="FFFFFF"/>
        </w:rPr>
        <w:t xml:space="preserve">Available at: </w:t>
      </w:r>
      <w:r>
        <w:fldChar w:fldCharType="begin"/>
      </w:r>
      <w:r>
        <w:instrText xml:space="preserve"> HYPERLINK "https://www.nct.org.uk/baby-toddler/learning-talk-and-communication-your-baby/benefits-outdoor-play-for-children" </w:instrText>
      </w:r>
      <w:r>
        <w:fldChar w:fldCharType="separate"/>
      </w:r>
      <w:r>
        <w:rPr>
          <w:rStyle w:val="5"/>
          <w:rFonts w:cstheme="minorHAnsi"/>
          <w:color w:val="0000FF"/>
          <w:shd w:val="clear" w:color="auto" w:fill="FFFFFF"/>
        </w:rPr>
        <w:t>https://www.nct.org.uk/baby-toddler/learning-talk-and-communication-your-baby/benefits-outdoor-play-for-children</w:t>
      </w:r>
      <w:r>
        <w:rPr>
          <w:rStyle w:val="5"/>
          <w:rFonts w:cstheme="minorHAnsi"/>
          <w:color w:val="0000FF"/>
          <w:shd w:val="clear" w:color="auto" w:fill="FFFFFF"/>
        </w:rPr>
        <w:fldChar w:fldCharType="end"/>
      </w:r>
      <w:r>
        <w:rPr>
          <w:rFonts w:cstheme="minorHAnsi"/>
          <w:color w:val="FF0000"/>
          <w:shd w:val="clear" w:color="auto" w:fill="FFFFFF"/>
        </w:rPr>
        <w:t xml:space="preserve"> </w:t>
      </w:r>
      <w:r>
        <w:rPr>
          <w:rFonts w:cstheme="minorHAnsi"/>
          <w:shd w:val="clear" w:color="auto" w:fill="FFFFFF"/>
        </w:rPr>
        <w:t>(Accessed 6th February 2020).</w:t>
      </w:r>
    </w:p>
    <w:p>
      <w:pPr>
        <w:pStyle w:val="8"/>
        <w:rPr>
          <w:rFonts w:cstheme="minorHAnsi"/>
          <w:color w:val="FF0000"/>
          <w:shd w:val="clear" w:color="auto" w:fill="FFFFFF"/>
        </w:rPr>
      </w:pPr>
    </w:p>
    <w:p>
      <w:pPr>
        <w:spacing w:line="360" w:lineRule="auto"/>
        <w:rPr>
          <w:rFonts w:cstheme="minorHAnsi"/>
        </w:rPr>
      </w:pPr>
      <w:r>
        <w:rPr>
          <w:rFonts w:cstheme="minorHAnsi"/>
        </w:rPr>
        <w:t xml:space="preserve">Pound, L. (2009) </w:t>
      </w:r>
      <w:r>
        <w:rPr>
          <w:rFonts w:cstheme="minorHAnsi"/>
          <w:i/>
        </w:rPr>
        <w:t>How children learn 3.</w:t>
      </w:r>
      <w:r>
        <w:rPr>
          <w:rFonts w:cstheme="minorHAnsi"/>
        </w:rPr>
        <w:t xml:space="preserve"> London: MA Education Ltd.</w:t>
      </w:r>
    </w:p>
    <w:p>
      <w:pPr>
        <w:spacing w:line="360" w:lineRule="auto"/>
        <w:rPr>
          <w:rFonts w:cstheme="minorHAnsi"/>
        </w:rPr>
      </w:pPr>
      <w:r>
        <w:rPr>
          <w:rFonts w:cstheme="minorHAnsi"/>
        </w:rPr>
        <w:t xml:space="preserve">Pound, L. (2014) </w:t>
      </w:r>
      <w:r>
        <w:rPr>
          <w:rFonts w:cstheme="minorHAnsi"/>
          <w:i/>
        </w:rPr>
        <w:t>How children learn.</w:t>
      </w:r>
      <w:r>
        <w:rPr>
          <w:rFonts w:cstheme="minorHAnsi"/>
        </w:rPr>
        <w:t xml:space="preserve"> London: MA Education Ltd.</w:t>
      </w:r>
    </w:p>
    <w:p>
      <w:pPr>
        <w:spacing w:line="360" w:lineRule="auto"/>
        <w:rPr>
          <w:rFonts w:cstheme="minorHAnsi"/>
        </w:rPr>
      </w:pPr>
      <w:r>
        <w:rPr>
          <w:rFonts w:cstheme="minorHAnsi"/>
        </w:rPr>
        <w:t xml:space="preserve">Siraj, I. (2014) </w:t>
      </w:r>
      <w:r>
        <w:rPr>
          <w:rFonts w:cstheme="minorHAnsi"/>
          <w:i/>
        </w:rPr>
        <w:t xml:space="preserve">An Independent Stock Take of the Foundation Phase in Wales: Final Report. </w:t>
      </w:r>
      <w:r>
        <w:rPr>
          <w:rFonts w:cstheme="minorHAnsi"/>
        </w:rPr>
        <w:t>Cardiff: Welsh Government</w:t>
      </w:r>
    </w:p>
    <w:p>
      <w:pPr>
        <w:pStyle w:val="8"/>
        <w:rPr>
          <w:rFonts w:cstheme="minorHAnsi"/>
        </w:rPr>
      </w:pPr>
      <w:r>
        <w:rPr>
          <w:rFonts w:cstheme="minorHAnsi"/>
        </w:rPr>
        <w:t xml:space="preserve">Siraj-Blatchford (2004). </w:t>
      </w:r>
      <w:r>
        <w:rPr>
          <w:rFonts w:cstheme="minorHAnsi"/>
          <w:i/>
        </w:rPr>
        <w:t>Monitoring and Evaluation of the Effective Implementation of the Foundation Phase (MEEIFP) Report</w:t>
      </w:r>
      <w:r>
        <w:rPr>
          <w:rFonts w:cstheme="minorHAnsi"/>
        </w:rPr>
        <w:t xml:space="preserve">. Available at: </w:t>
      </w:r>
      <w:r>
        <w:fldChar w:fldCharType="begin"/>
      </w:r>
      <w:r>
        <w:instrText xml:space="preserve"> HYPERLINK "http://www.327matters.org/Docs/meeifp.pdf" </w:instrText>
      </w:r>
      <w:r>
        <w:fldChar w:fldCharType="separate"/>
      </w:r>
      <w:r>
        <w:rPr>
          <w:rStyle w:val="5"/>
          <w:rFonts w:cstheme="minorHAnsi"/>
          <w:color w:val="0000FF"/>
        </w:rPr>
        <w:t>http://www.327matters.org/Docs/meeifp.pdf</w:t>
      </w:r>
      <w:r>
        <w:rPr>
          <w:rStyle w:val="5"/>
          <w:rFonts w:cstheme="minorHAnsi"/>
          <w:color w:val="0000FF"/>
        </w:rPr>
        <w:fldChar w:fldCharType="end"/>
      </w:r>
      <w:r>
        <w:rPr>
          <w:rFonts w:cstheme="minorHAnsi"/>
          <w:color w:val="FF0000"/>
        </w:rPr>
        <w:t xml:space="preserve"> </w:t>
      </w:r>
      <w:r>
        <w:rPr>
          <w:rFonts w:cstheme="minorHAnsi"/>
        </w:rPr>
        <w:t>(Accessed 6th February 2020).</w:t>
      </w:r>
    </w:p>
    <w:p>
      <w:pPr>
        <w:pStyle w:val="8"/>
        <w:rPr>
          <w:rFonts w:cstheme="minorHAnsi"/>
          <w:color w:val="FF0000"/>
        </w:rPr>
      </w:pPr>
    </w:p>
    <w:p>
      <w:pPr>
        <w:spacing w:line="360" w:lineRule="auto"/>
        <w:rPr>
          <w:rFonts w:cstheme="minorHAnsi"/>
        </w:rPr>
      </w:pPr>
      <w:r>
        <w:rPr>
          <w:rFonts w:cstheme="minorHAnsi"/>
        </w:rPr>
        <w:t xml:space="preserve">Sylva, K. et al.(2004) </w:t>
      </w:r>
      <w:r>
        <w:rPr>
          <w:rFonts w:cstheme="minorHAnsi"/>
          <w:i/>
        </w:rPr>
        <w:t>The Effective Provision of Pre-School Education (EPPE) Project: Final Report</w:t>
      </w:r>
      <w:r>
        <w:rPr>
          <w:rFonts w:cstheme="minorHAnsi"/>
        </w:rPr>
        <w:t>. Nottingham: DfES</w:t>
      </w:r>
    </w:p>
    <w:p>
      <w:pPr>
        <w:pStyle w:val="8"/>
        <w:rPr>
          <w:rFonts w:cstheme="minorHAnsi"/>
          <w:shd w:val="clear" w:color="auto" w:fill="FFFFFF"/>
        </w:rPr>
      </w:pPr>
      <w:r>
        <w:rPr>
          <w:rFonts w:cstheme="minorHAnsi"/>
          <w:shd w:val="clear" w:color="auto" w:fill="FFFFFF"/>
        </w:rPr>
        <w:t>Tassoni, P. (2010) </w:t>
      </w:r>
      <w:r>
        <w:rPr>
          <w:rFonts w:cstheme="minorHAnsi"/>
          <w:i/>
          <w:iCs/>
          <w:shd w:val="clear" w:color="auto" w:fill="FFFFFF"/>
        </w:rPr>
        <w:t>Level 3 diploma children and young people's workforce</w:t>
      </w:r>
      <w:r>
        <w:rPr>
          <w:rFonts w:cstheme="minorHAnsi"/>
          <w:iCs/>
          <w:shd w:val="clear" w:color="auto" w:fill="FFFFFF"/>
        </w:rPr>
        <w:t xml:space="preserve">. </w:t>
      </w:r>
      <w:r>
        <w:rPr>
          <w:rFonts w:cstheme="minorHAnsi"/>
          <w:shd w:val="clear" w:color="auto" w:fill="FFFFFF"/>
        </w:rPr>
        <w:t>Oxford: Heinemann.</w:t>
      </w:r>
    </w:p>
    <w:p>
      <w:pPr>
        <w:spacing w:line="360" w:lineRule="auto"/>
        <w:rPr>
          <w:rFonts w:cstheme="minorHAnsi"/>
        </w:rPr>
      </w:pPr>
      <w:r>
        <w:rPr>
          <w:rFonts w:cstheme="minorHAnsi"/>
        </w:rPr>
        <w:t xml:space="preserve">Thomas , A. and Lewis, A. (2016) </w:t>
      </w:r>
      <w:r>
        <w:rPr>
          <w:rFonts w:cstheme="minorHAnsi"/>
          <w:i/>
        </w:rPr>
        <w:t xml:space="preserve">An Introduction to the Foundation Phase.  </w:t>
      </w:r>
      <w:r>
        <w:rPr>
          <w:rFonts w:cstheme="minorHAnsi"/>
        </w:rPr>
        <w:t>London: Bloomsbury Academic.</w:t>
      </w:r>
    </w:p>
    <w:p>
      <w:pPr>
        <w:tabs>
          <w:tab w:val="left" w:pos="7650"/>
        </w:tabs>
        <w:spacing w:line="360" w:lineRule="auto"/>
        <w:rPr>
          <w:rFonts w:cstheme="minorHAnsi"/>
        </w:rPr>
      </w:pPr>
      <w:r>
        <w:rPr>
          <w:rFonts w:cstheme="minorHAnsi"/>
        </w:rPr>
        <w:t xml:space="preserve">Welsh Government (2015) </w:t>
      </w:r>
      <w:r>
        <w:rPr>
          <w:rFonts w:cstheme="minorHAnsi"/>
          <w:i/>
        </w:rPr>
        <w:t>Foundation Phase Framework.</w:t>
      </w:r>
      <w:r>
        <w:rPr>
          <w:rFonts w:cstheme="minorHAnsi"/>
        </w:rPr>
        <w:t xml:space="preserve"> Available at: </w:t>
      </w:r>
      <w:r>
        <w:fldChar w:fldCharType="begin"/>
      </w:r>
      <w:r>
        <w:instrText xml:space="preserve"> HYPERLINK "https://hwb.gov.wales/storage/d5d8e39c-b534-40cb-a3f5-7e2e126d8077/foundation-phase-framework.pdf" </w:instrText>
      </w:r>
      <w:r>
        <w:fldChar w:fldCharType="separate"/>
      </w:r>
      <w:r>
        <w:rPr>
          <w:rStyle w:val="5"/>
          <w:rFonts w:cstheme="minorHAnsi"/>
        </w:rPr>
        <w:t>https://hwb.gov.wales/storage/d5d8e39c-b534-40cb-a3f5-7e2e126d8077/foundation-phase-framework.pdf</w:t>
      </w:r>
      <w:r>
        <w:rPr>
          <w:rStyle w:val="5"/>
          <w:rFonts w:cstheme="minorHAnsi"/>
        </w:rPr>
        <w:fldChar w:fldCharType="end"/>
      </w:r>
      <w:r>
        <w:rPr>
          <w:rFonts w:cstheme="minorHAnsi"/>
        </w:rPr>
        <w:t xml:space="preserve"> (Accessed: 31st January 2020).</w:t>
      </w:r>
    </w:p>
    <w:p>
      <w:pPr>
        <w:tabs>
          <w:tab w:val="left" w:pos="7650"/>
        </w:tabs>
        <w:spacing w:line="360" w:lineRule="auto"/>
        <w:rPr>
          <w:rFonts w:cstheme="minorHAnsi"/>
        </w:rPr>
      </w:pPr>
      <w:r>
        <w:rPr>
          <w:rFonts w:cstheme="minorHAnsi"/>
        </w:rPr>
        <w:t xml:space="preserve">Welsh Government (2015) </w:t>
      </w:r>
      <w:r>
        <w:rPr>
          <w:rFonts w:cstheme="minorHAnsi"/>
          <w:i/>
        </w:rPr>
        <w:t xml:space="preserve">Successful Futures-Looking at the curriculum and assessment arrangements in Wales. </w:t>
      </w:r>
      <w:r>
        <w:rPr>
          <w:rFonts w:cstheme="minorHAnsi"/>
        </w:rPr>
        <w:t xml:space="preserve">Available at: </w:t>
      </w:r>
      <w:r>
        <w:fldChar w:fldCharType="begin"/>
      </w:r>
      <w:r>
        <w:instrText xml:space="preserve"> HYPERLINK "http://gov.wales/sites/default/files/publications/2018-03/successful%20-futures-a-summary-of-professor-graham-donaldsons-report.pdf" </w:instrText>
      </w:r>
      <w:r>
        <w:fldChar w:fldCharType="separate"/>
      </w:r>
      <w:r>
        <w:rPr>
          <w:rStyle w:val="5"/>
          <w:rFonts w:cstheme="minorHAnsi"/>
        </w:rPr>
        <w:t>http://gov.wales/sites/default/files/publications/2018-03/successful -futures-a-summary-of-professor-graham-donaldsons-report.pdf</w:t>
      </w:r>
      <w:r>
        <w:rPr>
          <w:rStyle w:val="5"/>
          <w:rFonts w:cstheme="minorHAnsi"/>
        </w:rPr>
        <w:fldChar w:fldCharType="end"/>
      </w:r>
      <w:r>
        <w:rPr>
          <w:rFonts w:cstheme="minorHAnsi"/>
        </w:rPr>
        <w:t xml:space="preserve"> (Accessed: 30th January 2020).</w:t>
      </w:r>
    </w:p>
    <w:p>
      <w:pPr>
        <w:tabs>
          <w:tab w:val="left" w:pos="7650"/>
        </w:tabs>
        <w:spacing w:line="360" w:lineRule="auto"/>
        <w:rPr>
          <w:rFonts w:cstheme="minorHAnsi"/>
        </w:rPr>
      </w:pPr>
      <w:r>
        <w:rPr>
          <w:rFonts w:cstheme="minorHAnsi"/>
        </w:rPr>
        <w:t xml:space="preserve">Wightwick, A. (2017) ‘The man behind Wales’ new curriculum on the purpose of education, exams and statistics’, </w:t>
      </w:r>
      <w:r>
        <w:rPr>
          <w:rFonts w:cstheme="minorHAnsi"/>
          <w:i/>
        </w:rPr>
        <w:t>Wales Online</w:t>
      </w:r>
      <w:r>
        <w:rPr>
          <w:rFonts w:cstheme="minorHAnsi"/>
        </w:rPr>
        <w:t>, 26</w:t>
      </w:r>
      <w:r>
        <w:rPr>
          <w:rFonts w:cstheme="minorHAnsi"/>
          <w:vertAlign w:val="superscript"/>
        </w:rPr>
        <w:t>th</w:t>
      </w:r>
      <w:r>
        <w:rPr>
          <w:rFonts w:cstheme="minorHAnsi"/>
        </w:rPr>
        <w:t xml:space="preserve"> October 2017. Available at: </w:t>
      </w:r>
      <w:r>
        <w:fldChar w:fldCharType="begin"/>
      </w:r>
      <w:r>
        <w:instrText xml:space="preserve"> HYPERLINK "http://www.google.co.uk/amp/s/www.walesonline.co.uk/news/education/graham-donaldson-interview-wales-curriculum-13812153.amp" </w:instrText>
      </w:r>
      <w:r>
        <w:fldChar w:fldCharType="separate"/>
      </w:r>
      <w:r>
        <w:rPr>
          <w:rStyle w:val="5"/>
          <w:rFonts w:cstheme="minorHAnsi"/>
        </w:rPr>
        <w:t>http://www.google.co.uk/amp/s/www.walesonline.co.uk/news/education/graham-donaldson-interview-wales-curriculum-13812153.amp</w:t>
      </w:r>
      <w:r>
        <w:rPr>
          <w:rStyle w:val="5"/>
          <w:rFonts w:cstheme="minorHAnsi"/>
        </w:rPr>
        <w:fldChar w:fldCharType="end"/>
      </w:r>
      <w:r>
        <w:rPr>
          <w:rFonts w:cstheme="minorHAnsi"/>
        </w:rPr>
        <w:t xml:space="preserve"> (Accessed: 30th January 2020).</w:t>
      </w:r>
    </w:p>
    <w:p>
      <w:pPr>
        <w:spacing w:line="360" w:lineRule="auto"/>
        <w:rPr>
          <w:rFonts w:cstheme="minorHAnsi"/>
        </w:rPr>
      </w:pPr>
      <w:r>
        <w:rPr>
          <w:rFonts w:cstheme="minorHAnsi"/>
        </w:rPr>
        <w:t xml:space="preserve">Williams-Siegfredson, J. (2005) </w:t>
      </w:r>
      <w:r>
        <w:rPr>
          <w:rFonts w:cstheme="minorHAnsi"/>
          <w:i/>
        </w:rPr>
        <w:t>Run the Risk.</w:t>
      </w:r>
      <w:r>
        <w:rPr>
          <w:rFonts w:cstheme="minorHAnsi"/>
        </w:rPr>
        <w:t xml:space="preserve"> Nursery World 4, (8):26-27</w:t>
      </w:r>
    </w:p>
    <w:p>
      <w:pPr>
        <w:tabs>
          <w:tab w:val="left" w:pos="7650"/>
        </w:tabs>
        <w:spacing w:line="360" w:lineRule="auto"/>
      </w:pPr>
    </w:p>
    <w:sectPr>
      <w:headerReference r:id="rId3" w:type="default"/>
      <w:footerReference r:id="rId4" w:type="default"/>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color w:val="7E7E7E" w:themeColor="background1" w:themeShade="7F"/>
        <w:spacing w:val="60"/>
      </w:rPr>
      <w:t>Page</w:t>
    </w:r>
    <w:r>
      <w:t xml:space="preserve"> | </w:t>
    </w:r>
    <w:r>
      <w:fldChar w:fldCharType="begin"/>
    </w:r>
    <w:r>
      <w:instrText xml:space="preserve"> PAGE   \* MERGEFORMAT </w:instrText>
    </w:r>
    <w:r>
      <w:fldChar w:fldCharType="separate"/>
    </w:r>
    <w:r>
      <w:rPr>
        <w:b/>
      </w:rPr>
      <w:t>1</w:t>
    </w:r>
    <w:r>
      <w:rPr>
        <w:b/>
      </w:rPr>
      <w:fldChar w:fldCharType="end"/>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t>Student Number: 1900565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E5F57"/>
    <w:rsid w:val="000322DC"/>
    <w:rsid w:val="00035685"/>
    <w:rsid w:val="00053A08"/>
    <w:rsid w:val="00077410"/>
    <w:rsid w:val="000D2EDC"/>
    <w:rsid w:val="000F4C8E"/>
    <w:rsid w:val="00130182"/>
    <w:rsid w:val="001B5F86"/>
    <w:rsid w:val="001E7C8E"/>
    <w:rsid w:val="001F74C4"/>
    <w:rsid w:val="00206960"/>
    <w:rsid w:val="00217162"/>
    <w:rsid w:val="00291DB7"/>
    <w:rsid w:val="002A36D4"/>
    <w:rsid w:val="002B3C6A"/>
    <w:rsid w:val="002C2277"/>
    <w:rsid w:val="002E4684"/>
    <w:rsid w:val="002E5A67"/>
    <w:rsid w:val="00316614"/>
    <w:rsid w:val="00380F31"/>
    <w:rsid w:val="00381EF7"/>
    <w:rsid w:val="003871FD"/>
    <w:rsid w:val="003C1D08"/>
    <w:rsid w:val="003F5803"/>
    <w:rsid w:val="00427536"/>
    <w:rsid w:val="00436384"/>
    <w:rsid w:val="004907C3"/>
    <w:rsid w:val="0049610F"/>
    <w:rsid w:val="004D5B46"/>
    <w:rsid w:val="00550D8A"/>
    <w:rsid w:val="0057701F"/>
    <w:rsid w:val="005B2FC7"/>
    <w:rsid w:val="005E6AFB"/>
    <w:rsid w:val="005F5A97"/>
    <w:rsid w:val="00650815"/>
    <w:rsid w:val="006612D9"/>
    <w:rsid w:val="00663130"/>
    <w:rsid w:val="006A6886"/>
    <w:rsid w:val="00704ED0"/>
    <w:rsid w:val="007873F9"/>
    <w:rsid w:val="007A16A1"/>
    <w:rsid w:val="007D484C"/>
    <w:rsid w:val="008228AA"/>
    <w:rsid w:val="00881DA7"/>
    <w:rsid w:val="008C4A59"/>
    <w:rsid w:val="008E20E1"/>
    <w:rsid w:val="009B6CF7"/>
    <w:rsid w:val="009D5856"/>
    <w:rsid w:val="00A35F09"/>
    <w:rsid w:val="00AB74E9"/>
    <w:rsid w:val="00AC274B"/>
    <w:rsid w:val="00B641CE"/>
    <w:rsid w:val="00B6739D"/>
    <w:rsid w:val="00B74AA1"/>
    <w:rsid w:val="00BE0E7A"/>
    <w:rsid w:val="00C40F0C"/>
    <w:rsid w:val="00C42D84"/>
    <w:rsid w:val="00C95D77"/>
    <w:rsid w:val="00CA0E34"/>
    <w:rsid w:val="00CB5F39"/>
    <w:rsid w:val="00CC2B01"/>
    <w:rsid w:val="00CF72D1"/>
    <w:rsid w:val="00D2511C"/>
    <w:rsid w:val="00D478F9"/>
    <w:rsid w:val="00DA6612"/>
    <w:rsid w:val="00DB6034"/>
    <w:rsid w:val="00DE0884"/>
    <w:rsid w:val="00DE5F57"/>
    <w:rsid w:val="00E33706"/>
    <w:rsid w:val="00E52267"/>
    <w:rsid w:val="00E74A3B"/>
    <w:rsid w:val="00F27F55"/>
    <w:rsid w:val="00F54CE9"/>
    <w:rsid w:val="00F61D87"/>
    <w:rsid w:val="00F64696"/>
    <w:rsid w:val="00F74530"/>
    <w:rsid w:val="00FA1FCA"/>
    <w:rsid w:val="00FB112F"/>
    <w:rsid w:val="00FE075A"/>
    <w:rsid w:val="03A80F71"/>
    <w:rsid w:val="0AA50D9A"/>
    <w:rsid w:val="742867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iPriority="9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GB" w:eastAsia="en-US" w:bidi="ar-SA"/>
    </w:rPr>
  </w:style>
  <w:style w:type="character" w:default="1" w:styleId="4">
    <w:name w:val="Default Paragraph Font"/>
    <w:semiHidden/>
    <w:unhideWhenUsed/>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2">
    <w:name w:val="footer"/>
    <w:basedOn w:val="1"/>
    <w:link w:val="11"/>
    <w:semiHidden/>
    <w:unhideWhenUsed/>
    <w:uiPriority w:val="99"/>
    <w:pPr>
      <w:tabs>
        <w:tab w:val="center" w:pos="4513"/>
        <w:tab w:val="right" w:pos="9026"/>
      </w:tabs>
      <w:spacing w:after="0" w:line="240" w:lineRule="auto"/>
    </w:pPr>
  </w:style>
  <w:style w:type="paragraph" w:styleId="3">
    <w:name w:val="header"/>
    <w:basedOn w:val="1"/>
    <w:link w:val="10"/>
    <w:semiHidden/>
    <w:unhideWhenUsed/>
    <w:uiPriority w:val="99"/>
    <w:pPr>
      <w:tabs>
        <w:tab w:val="center" w:pos="4513"/>
        <w:tab w:val="right" w:pos="9026"/>
      </w:tabs>
      <w:spacing w:after="0" w:line="240" w:lineRule="auto"/>
    </w:pPr>
  </w:style>
  <w:style w:type="character" w:styleId="5">
    <w:name w:val="Hyperlink"/>
    <w:basedOn w:val="4"/>
    <w:unhideWhenUsed/>
    <w:qFormat/>
    <w:uiPriority w:val="99"/>
    <w:rPr>
      <w:color w:val="0000FF" w:themeColor="hyperlink"/>
      <w:u w:val="single"/>
    </w:rPr>
  </w:style>
  <w:style w:type="table" w:styleId="7">
    <w:name w:val="Table Grid"/>
    <w:basedOn w:val="6"/>
    <w:unhideWhenUsed/>
    <w:uiPriority w:val="99"/>
    <w:pPr>
      <w:spacing w:after="0" w:line="240" w:lineRule="auto"/>
    </w:pPr>
    <w:rPr>
      <w:rFonts w:ascii="Times New Roman" w:hAnsi="Times New Roman" w:eastAsia="Times New Roman" w:cs="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8">
    <w:name w:val="No Spacing"/>
    <w:qFormat/>
    <w:uiPriority w:val="1"/>
    <w:pPr>
      <w:spacing w:after="0" w:line="240" w:lineRule="auto"/>
    </w:pPr>
    <w:rPr>
      <w:rFonts w:asciiTheme="minorHAnsi" w:hAnsiTheme="minorHAnsi" w:eastAsiaTheme="minorHAnsi" w:cstheme="minorBidi"/>
      <w:sz w:val="22"/>
      <w:szCs w:val="22"/>
      <w:lang w:val="en-GB" w:eastAsia="en-US" w:bidi="ar-SA"/>
    </w:rPr>
  </w:style>
  <w:style w:type="paragraph" w:customStyle="1" w:styleId="9">
    <w:name w:val="AssignBody"/>
    <w:basedOn w:val="1"/>
    <w:uiPriority w:val="0"/>
    <w:pPr>
      <w:spacing w:before="100" w:beforeAutospacing="1" w:after="160" w:line="256" w:lineRule="auto"/>
    </w:pPr>
    <w:rPr>
      <w:rFonts w:ascii="Calibri" w:hAnsi="Calibri" w:eastAsia="Times New Roman" w:cs="Times New Roman"/>
      <w:lang w:eastAsia="en-GB"/>
    </w:rPr>
  </w:style>
  <w:style w:type="character" w:customStyle="1" w:styleId="10">
    <w:name w:val="Header Char"/>
    <w:basedOn w:val="4"/>
    <w:link w:val="3"/>
    <w:semiHidden/>
    <w:uiPriority w:val="99"/>
  </w:style>
  <w:style w:type="character" w:customStyle="1" w:styleId="11">
    <w:name w:val="Footer Char"/>
    <w:basedOn w:val="4"/>
    <w:link w:val="2"/>
    <w:semiHidden/>
    <w:qFormat/>
    <w:uiPriority w:val="99"/>
  </w:style>
  <w:style w:type="paragraph" w:customStyle="1" w:styleId="12">
    <w:name w:val="No Spacing1"/>
    <w:qFormat/>
    <w:uiPriority w:val="1"/>
    <w:pPr>
      <w:spacing w:after="0" w:line="240" w:lineRule="auto"/>
    </w:pPr>
    <w:rPr>
      <w:rFonts w:asciiTheme="minorHAnsi" w:hAnsiTheme="minorHAnsi" w:eastAsiaTheme="minorHAnsi" w:cstheme="minorBidi"/>
      <w:sz w:val="22"/>
      <w:szCs w:val="22"/>
      <w:lang w:val="en-GB" w:eastAsia="en-US" w:bidi="ar-SA"/>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Pages>
  <Words>1990</Words>
  <Characters>11348</Characters>
  <Lines>94</Lines>
  <Paragraphs>26</Paragraphs>
  <TotalTime>111</TotalTime>
  <ScaleCrop>false</ScaleCrop>
  <LinksUpToDate>false</LinksUpToDate>
  <CharactersWithSpaces>13312</CharactersWithSpaces>
  <Application>WPS Office_11.2.0.9144_F1E327BC-269C-435d-A152-05C5408002CA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2020-02-08T14:50:00Z</dcterms:created>
  <dc:creator>Rosie</dc:creator>
  <cp:lastModifiedBy>Rosie Evans</cp:lastModifiedBy>
  <cp:lastPrinted>2020-01-28T18:10:00Z</cp:lastPrinted>
  <dcterms:modified xsi:type="dcterms:W3CDTF">2020-02-13T09:24:22Z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2057-11.2.0.9144</vt:lpwstr>
  </property>
</Properties>
</file>