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D26" w:rsidRDefault="00224D26" w:rsidP="00224D26">
      <w:pPr>
        <w:pStyle w:val="NormalWeb"/>
        <w:spacing w:before="0" w:beforeAutospacing="0" w:after="0" w:afterAutospacing="0"/>
        <w:ind w:left="-180" w:right="-334"/>
      </w:pPr>
      <w:r w:rsidRPr="00923C45">
        <w:rPr>
          <w:noProof/>
          <w:lang w:eastAsia="en-GB"/>
        </w:rPr>
        <w:drawing>
          <wp:inline distT="0" distB="0" distL="0" distR="0" wp14:anchorId="07BC3AB0" wp14:editId="5B24209E">
            <wp:extent cx="2057400" cy="850900"/>
            <wp:effectExtent l="0" t="0" r="0" b="0"/>
            <wp:docPr id="1" name="Picture 1" descr="C:\Users\ablettm\AppData\Local\Microsoft\Windows\Temporary Internet Files\Content.Outlook\R41HOZLM\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850900"/>
                    </a:xfrm>
                    <a:prstGeom prst="rect">
                      <a:avLst/>
                    </a:prstGeom>
                    <a:noFill/>
                    <a:ln>
                      <a:noFill/>
                    </a:ln>
                  </pic:spPr>
                </pic:pic>
              </a:graphicData>
            </a:graphic>
          </wp:inline>
        </w:drawing>
      </w:r>
      <w:bookmarkStart w:id="0" w:name="_GoBack"/>
      <w:bookmarkEnd w:id="0"/>
    </w:p>
    <w:p w:rsidR="00224D26" w:rsidRDefault="00224D26" w:rsidP="00224D26">
      <w:pPr>
        <w:pStyle w:val="NormalWeb"/>
        <w:spacing w:before="0" w:beforeAutospacing="0" w:after="0" w:afterAutospacing="0"/>
        <w:ind w:left="-180" w:right="-334"/>
      </w:pPr>
    </w:p>
    <w:p w:rsidR="00224D26" w:rsidRDefault="00224D26" w:rsidP="00224D26">
      <w:pPr>
        <w:pStyle w:val="NormalWeb"/>
        <w:spacing w:before="0" w:beforeAutospacing="0" w:after="0" w:afterAutospacing="0"/>
        <w:ind w:left="-180" w:right="-334"/>
      </w:pPr>
    </w:p>
    <w:p w:rsidR="00224D26" w:rsidRDefault="00224D26" w:rsidP="00224D2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224D26" w:rsidRPr="00230F35" w:rsidRDefault="00224D26" w:rsidP="00224D2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224D26" w:rsidRPr="00230F35" w:rsidRDefault="00224D26" w:rsidP="00224D26">
      <w:pPr>
        <w:rPr>
          <w:rFonts w:ascii="Arial" w:hAnsi="Arial" w:cs="Arial"/>
          <w:sz w:val="28"/>
          <w:szCs w:val="28"/>
          <w:lang w:val="cy-GB"/>
        </w:rPr>
      </w:pPr>
    </w:p>
    <w:p w:rsidR="00224D26" w:rsidRDefault="00224D26" w:rsidP="00224D26">
      <w:pPr>
        <w:pStyle w:val="Heading3"/>
        <w:jc w:val="center"/>
        <w:rPr>
          <w:lang w:val="cy-GB"/>
        </w:rPr>
      </w:pPr>
      <w:r>
        <w:rPr>
          <w:lang w:val="cy-GB"/>
        </w:rPr>
        <w:t>THIS SHEET MUST BE THE FIRST PAGE OF THE ASSIGNMENT YOU ARE SUBMITTING  (DO NOT SEND AS A SEPARATE FILE)</w:t>
      </w:r>
    </w:p>
    <w:p w:rsidR="00224D26" w:rsidRDefault="00224D26" w:rsidP="00224D2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224D26" w:rsidRPr="00230F35" w:rsidTr="00D60738">
        <w:trPr>
          <w:trHeight w:val="614"/>
        </w:trPr>
        <w:tc>
          <w:tcPr>
            <w:tcW w:w="8856" w:type="dxa"/>
            <w:gridSpan w:val="3"/>
          </w:tcPr>
          <w:p w:rsidR="00224D26" w:rsidRPr="00230F35"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24D26" w:rsidRPr="00230F35" w:rsidTr="00D60738">
        <w:trPr>
          <w:trHeight w:val="718"/>
        </w:trPr>
        <w:tc>
          <w:tcPr>
            <w:tcW w:w="8856" w:type="dxa"/>
            <w:gridSpan w:val="3"/>
          </w:tcPr>
          <w:p w:rsidR="00224D26"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Ian Matthews</w:t>
            </w:r>
          </w:p>
          <w:p w:rsidR="00224D26" w:rsidRPr="00230F35" w:rsidRDefault="00224D26" w:rsidP="00D60738">
            <w:pPr>
              <w:pStyle w:val="NormalWeb"/>
              <w:spacing w:before="0" w:beforeAutospacing="0" w:after="0" w:afterAutospacing="0"/>
              <w:ind w:right="34"/>
              <w:rPr>
                <w:rFonts w:ascii="Arial" w:hAnsi="Arial" w:cs="Arial"/>
                <w:sz w:val="22"/>
                <w:szCs w:val="22"/>
              </w:rPr>
            </w:pPr>
          </w:p>
        </w:tc>
      </w:tr>
      <w:tr w:rsidR="00224D26" w:rsidRPr="00230F35" w:rsidTr="00D60738">
        <w:trPr>
          <w:trHeight w:val="849"/>
        </w:trPr>
        <w:tc>
          <w:tcPr>
            <w:tcW w:w="4788" w:type="dxa"/>
          </w:tcPr>
          <w:p w:rsidR="00224D26" w:rsidRPr="00230F35"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CSEN7021</w:t>
            </w:r>
          </w:p>
          <w:p w:rsidR="00224D26" w:rsidRPr="00230F35" w:rsidRDefault="00224D26" w:rsidP="00D60738">
            <w:pPr>
              <w:pStyle w:val="NormalWeb"/>
              <w:spacing w:before="0" w:beforeAutospacing="0" w:after="0" w:afterAutospacing="0"/>
              <w:ind w:right="34"/>
              <w:rPr>
                <w:rFonts w:ascii="Arial" w:hAnsi="Arial" w:cs="Arial"/>
                <w:sz w:val="22"/>
                <w:szCs w:val="22"/>
              </w:rPr>
            </w:pPr>
          </w:p>
          <w:p w:rsidR="00224D26" w:rsidRPr="00CA4BA5" w:rsidRDefault="00224D26" w:rsidP="00D60738">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The Shock of the New</w:t>
            </w:r>
          </w:p>
          <w:p w:rsidR="00224D26" w:rsidRDefault="00224D26" w:rsidP="00D60738">
            <w:pPr>
              <w:pStyle w:val="NormalWeb"/>
              <w:spacing w:before="0" w:beforeAutospacing="0" w:after="0" w:afterAutospacing="0"/>
              <w:ind w:right="34"/>
              <w:rPr>
                <w:rFonts w:ascii="Arial" w:hAnsi="Arial" w:cs="Arial"/>
                <w:sz w:val="22"/>
                <w:szCs w:val="22"/>
              </w:rPr>
            </w:pPr>
          </w:p>
          <w:p w:rsidR="00224D26" w:rsidRDefault="00224D26" w:rsidP="00D60738">
            <w:pPr>
              <w:pStyle w:val="NormalWeb"/>
              <w:spacing w:before="0" w:beforeAutospacing="0" w:after="0" w:afterAutospacing="0"/>
              <w:ind w:right="34"/>
              <w:rPr>
                <w:rFonts w:ascii="Arial" w:hAnsi="Arial" w:cs="Arial"/>
                <w:sz w:val="22"/>
                <w:szCs w:val="22"/>
              </w:rPr>
            </w:pPr>
          </w:p>
          <w:p w:rsidR="00224D26" w:rsidRPr="00230F35" w:rsidRDefault="00224D26" w:rsidP="00D60738">
            <w:pPr>
              <w:pStyle w:val="NormalWeb"/>
              <w:spacing w:before="0" w:beforeAutospacing="0" w:after="0" w:afterAutospacing="0"/>
              <w:ind w:right="34"/>
              <w:rPr>
                <w:rFonts w:ascii="Arial" w:hAnsi="Arial" w:cs="Arial"/>
                <w:sz w:val="22"/>
                <w:szCs w:val="22"/>
              </w:rPr>
            </w:pPr>
          </w:p>
        </w:tc>
        <w:tc>
          <w:tcPr>
            <w:tcW w:w="2266" w:type="dxa"/>
          </w:tcPr>
          <w:p w:rsidR="00224D26"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224D26" w:rsidRDefault="00224D26" w:rsidP="00D60738">
            <w:pPr>
              <w:pStyle w:val="NormalWeb"/>
              <w:spacing w:before="0" w:beforeAutospacing="0" w:after="0" w:afterAutospacing="0"/>
              <w:ind w:right="34"/>
              <w:rPr>
                <w:rFonts w:ascii="Arial" w:hAnsi="Arial" w:cs="Arial"/>
                <w:sz w:val="22"/>
                <w:szCs w:val="22"/>
              </w:rPr>
            </w:pPr>
          </w:p>
          <w:p w:rsidR="00224D26" w:rsidRPr="00230F35" w:rsidRDefault="00224D26" w:rsidP="00D60738">
            <w:pPr>
              <w:pStyle w:val="NormalWeb"/>
              <w:spacing w:before="0" w:beforeAutospacing="0" w:after="0" w:afterAutospacing="0"/>
              <w:ind w:right="34"/>
              <w:rPr>
                <w:rFonts w:ascii="Arial" w:hAnsi="Arial" w:cs="Arial"/>
                <w:sz w:val="22"/>
                <w:szCs w:val="22"/>
              </w:rPr>
            </w:pPr>
            <w:r>
              <w:rPr>
                <w:rFonts w:ascii="Arial" w:hAnsi="Arial" w:cs="Arial"/>
                <w:sz w:val="22"/>
                <w:szCs w:val="22"/>
              </w:rPr>
              <w:t>1602111</w:t>
            </w:r>
          </w:p>
        </w:tc>
        <w:tc>
          <w:tcPr>
            <w:tcW w:w="1802" w:type="dxa"/>
          </w:tcPr>
          <w:p w:rsidR="00224D26" w:rsidRPr="00230F35"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224D26" w:rsidRPr="00230F35" w:rsidRDefault="00224D26" w:rsidP="00D60738">
            <w:pPr>
              <w:pStyle w:val="NormalWeb"/>
              <w:spacing w:before="0" w:beforeAutospacing="0" w:after="0" w:afterAutospacing="0"/>
              <w:ind w:right="34"/>
              <w:rPr>
                <w:rFonts w:ascii="Arial" w:hAnsi="Arial" w:cs="Arial"/>
                <w:sz w:val="22"/>
                <w:szCs w:val="22"/>
              </w:rPr>
            </w:pPr>
            <w:r w:rsidRPr="0089733B">
              <w:rPr>
                <w:rFonts w:ascii="Arial" w:hAnsi="Arial" w:cs="Arial"/>
                <w:strike/>
                <w:sz w:val="22"/>
                <w:szCs w:val="22"/>
              </w:rPr>
              <w:t>Yes</w:t>
            </w:r>
            <w:r w:rsidRPr="00230F35">
              <w:rPr>
                <w:rFonts w:ascii="Arial" w:hAnsi="Arial" w:cs="Arial"/>
                <w:sz w:val="22"/>
                <w:szCs w:val="22"/>
              </w:rPr>
              <w:t>/No</w:t>
            </w:r>
          </w:p>
        </w:tc>
      </w:tr>
      <w:tr w:rsidR="00224D26" w:rsidRPr="00230F35" w:rsidTr="00D60738">
        <w:trPr>
          <w:trHeight w:val="1139"/>
        </w:trPr>
        <w:tc>
          <w:tcPr>
            <w:tcW w:w="8856" w:type="dxa"/>
            <w:gridSpan w:val="3"/>
          </w:tcPr>
          <w:p w:rsidR="00224D26" w:rsidRPr="00230F35" w:rsidRDefault="00224D26" w:rsidP="00D6073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224D26" w:rsidRPr="00230F35" w:rsidRDefault="00224D26" w:rsidP="00D6073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Jeni Williams</w:t>
            </w:r>
          </w:p>
          <w:p w:rsidR="00224D26" w:rsidRDefault="00224D26" w:rsidP="00D60738">
            <w:pPr>
              <w:pStyle w:val="NormalWeb"/>
              <w:spacing w:before="0" w:beforeAutospacing="0" w:after="0" w:afterAutospacing="0"/>
              <w:ind w:right="34"/>
              <w:rPr>
                <w:rFonts w:ascii="Arial" w:hAnsi="Arial" w:cs="Arial"/>
                <w:sz w:val="22"/>
                <w:szCs w:val="22"/>
              </w:rPr>
            </w:pPr>
          </w:p>
          <w:p w:rsidR="00224D26" w:rsidRPr="00230F35"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2-4-2018</w:t>
            </w:r>
          </w:p>
        </w:tc>
      </w:tr>
      <w:tr w:rsidR="00224D26" w:rsidRPr="00230F35" w:rsidTr="00D60738">
        <w:trPr>
          <w:trHeight w:val="978"/>
        </w:trPr>
        <w:tc>
          <w:tcPr>
            <w:tcW w:w="8856" w:type="dxa"/>
            <w:gridSpan w:val="3"/>
            <w:tcBorders>
              <w:bottom w:val="single" w:sz="4" w:space="0" w:color="000000"/>
            </w:tcBorders>
          </w:tcPr>
          <w:p w:rsidR="00224D26" w:rsidRDefault="00224D26" w:rsidP="00D60738">
            <w:pPr>
              <w:rPr>
                <w:rFonts w:ascii="Arial" w:hAnsi="Arial" w:cs="Arial"/>
                <w:sz w:val="22"/>
                <w:szCs w:val="22"/>
              </w:rPr>
            </w:pPr>
            <w:r>
              <w:rPr>
                <w:rFonts w:ascii="Arial" w:hAnsi="Arial" w:cs="Arial"/>
                <w:sz w:val="22"/>
                <w:szCs w:val="22"/>
              </w:rPr>
              <w:t>If your module has multiple submissions please indicate which piece of work this is.</w:t>
            </w:r>
          </w:p>
          <w:p w:rsidR="00224D26" w:rsidRDefault="00224D26" w:rsidP="00D60738">
            <w:pPr>
              <w:rPr>
                <w:rFonts w:ascii="Arial" w:hAnsi="Arial" w:cs="Arial"/>
                <w:sz w:val="22"/>
                <w:szCs w:val="22"/>
              </w:rPr>
            </w:pPr>
          </w:p>
          <w:p w:rsidR="00224D26" w:rsidRPr="00230F35" w:rsidRDefault="00224D26" w:rsidP="00D60738">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p>
        </w:tc>
      </w:tr>
      <w:tr w:rsidR="00224D26" w:rsidRPr="00230F35" w:rsidTr="00D60738">
        <w:trPr>
          <w:trHeight w:val="978"/>
        </w:trPr>
        <w:tc>
          <w:tcPr>
            <w:tcW w:w="8856" w:type="dxa"/>
            <w:gridSpan w:val="3"/>
            <w:shd w:val="clear" w:color="auto" w:fill="D9D9D9"/>
          </w:tcPr>
          <w:p w:rsidR="00224D26" w:rsidRPr="00230F35"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224D26" w:rsidRDefault="00224D26" w:rsidP="00D6073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224D26" w:rsidRDefault="00224D26" w:rsidP="00D6073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224D26" w:rsidRPr="00230F35" w:rsidRDefault="00224D26" w:rsidP="00D6073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bl>
    <w:p w:rsidR="00751D5A" w:rsidRDefault="00047F4F"/>
    <w:p w:rsidR="005001A1" w:rsidRPr="000E1B30" w:rsidRDefault="005001A1">
      <w:pPr>
        <w:rPr>
          <w:b/>
        </w:rPr>
      </w:pPr>
    </w:p>
    <w:p w:rsidR="00224D26" w:rsidRDefault="00224D26">
      <w:pPr>
        <w:rPr>
          <w:b/>
        </w:rPr>
      </w:pPr>
      <w:r>
        <w:rPr>
          <w:b/>
        </w:rPr>
        <w:br w:type="page"/>
      </w:r>
    </w:p>
    <w:p w:rsidR="005001A1" w:rsidRPr="000E1B30" w:rsidRDefault="000E1B30">
      <w:pPr>
        <w:rPr>
          <w:b/>
          <w:i/>
        </w:rPr>
      </w:pPr>
      <w:r w:rsidRPr="000E1B30">
        <w:rPr>
          <w:b/>
        </w:rPr>
        <w:lastRenderedPageBreak/>
        <w:t xml:space="preserve">Tradition and contemporary voices in </w:t>
      </w:r>
      <w:r w:rsidRPr="000E1B30">
        <w:rPr>
          <w:b/>
          <w:i/>
        </w:rPr>
        <w:t>The Waste Land</w:t>
      </w:r>
    </w:p>
    <w:p w:rsidR="00570F96" w:rsidRDefault="00570F96"/>
    <w:p w:rsidR="000E1B30" w:rsidRDefault="000E1B30"/>
    <w:p w:rsidR="00570F96" w:rsidRDefault="00570F96"/>
    <w:p w:rsidR="00992C55" w:rsidRPr="00194A51" w:rsidRDefault="009443AC" w:rsidP="00570F96">
      <w:pPr>
        <w:spacing w:line="480" w:lineRule="auto"/>
      </w:pPr>
      <w:r>
        <w:t xml:space="preserve">T S Eliot, in his essay </w:t>
      </w:r>
      <w:r w:rsidR="00992C55">
        <w:rPr>
          <w:i/>
        </w:rPr>
        <w:t>Tradition and the Individual Talent</w:t>
      </w:r>
      <w:r w:rsidR="00992C55">
        <w:t>, wrote that, ‘no poet, no artist of any kind, has complete meaning alone. His significance, his appreciation is the significance of his relation to the dead poets and artists.’</w:t>
      </w:r>
      <w:r w:rsidR="00570F96">
        <w:rPr>
          <w:rStyle w:val="FootnoteReference"/>
        </w:rPr>
        <w:footnoteReference w:id="1"/>
      </w:r>
      <w:r w:rsidR="005001A1">
        <w:t xml:space="preserve"> </w:t>
      </w:r>
      <w:r w:rsidR="00992C55">
        <w:t xml:space="preserve"> Using </w:t>
      </w:r>
      <w:r w:rsidR="00992C55">
        <w:rPr>
          <w:i/>
        </w:rPr>
        <w:t>The Waste Land</w:t>
      </w:r>
      <w:r w:rsidR="00992C55">
        <w:t xml:space="preserve"> I will </w:t>
      </w:r>
      <w:r w:rsidR="00154D8C">
        <w:t>discuss how</w:t>
      </w:r>
      <w:r w:rsidR="00992C55">
        <w:t xml:space="preserve"> </w:t>
      </w:r>
      <w:r w:rsidR="00194A51">
        <w:t xml:space="preserve">Eliot considered the role of tradition in the composition of his poetry, and how the theoretical concerns – as he expressed in </w:t>
      </w:r>
      <w:r w:rsidR="00194A51">
        <w:rPr>
          <w:i/>
        </w:rPr>
        <w:t xml:space="preserve">Tradition and the Individual </w:t>
      </w:r>
      <w:r w:rsidR="00194A51" w:rsidRPr="00194A51">
        <w:t>Talent</w:t>
      </w:r>
      <w:r w:rsidR="00194A51">
        <w:t xml:space="preserve"> - </w:t>
      </w:r>
      <w:r w:rsidR="00194A51" w:rsidRPr="00194A51">
        <w:t>and</w:t>
      </w:r>
      <w:r w:rsidR="00194A51">
        <w:t xml:space="preserve"> practical demonstration seen </w:t>
      </w:r>
      <w:r w:rsidR="00194A51">
        <w:rPr>
          <w:i/>
        </w:rPr>
        <w:t>The Waste Land</w:t>
      </w:r>
      <w:r w:rsidR="00194A51">
        <w:t xml:space="preserve"> informs and was informed by the wider post-war Modernist movement.</w:t>
      </w:r>
      <w:r w:rsidR="005001A1">
        <w:t xml:space="preserve"> I will examine how Eliot’s insistence that contemporary poetry only has value when placed within a tradition of literature informs his own writing and the criticism of Modernism as a literary movement.</w:t>
      </w:r>
    </w:p>
    <w:p w:rsidR="009443AC" w:rsidRDefault="009443AC" w:rsidP="00570F96">
      <w:pPr>
        <w:spacing w:line="480" w:lineRule="auto"/>
      </w:pPr>
    </w:p>
    <w:p w:rsidR="00486AAE" w:rsidRPr="00254869" w:rsidRDefault="008B6C6C" w:rsidP="00570F96">
      <w:pPr>
        <w:spacing w:line="480" w:lineRule="auto"/>
      </w:pPr>
      <w:r>
        <w:t>From the very opening of the poem</w:t>
      </w:r>
      <w:r w:rsidR="00194A51">
        <w:t>,</w:t>
      </w:r>
      <w:r>
        <w:t xml:space="preserve"> </w:t>
      </w:r>
      <w:r w:rsidR="00154D8C">
        <w:t xml:space="preserve">Ezra </w:t>
      </w:r>
      <w:r>
        <w:t>Pound’s insistence</w:t>
      </w:r>
      <w:r w:rsidR="00154D8C">
        <w:t xml:space="preserve"> that</w:t>
      </w:r>
      <w:r>
        <w:t xml:space="preserve"> the epigraph be changed from a Joseph Conrad quotation to a passage from </w:t>
      </w:r>
      <w:proofErr w:type="spellStart"/>
      <w:r>
        <w:rPr>
          <w:i/>
        </w:rPr>
        <w:t>Satyricon</w:t>
      </w:r>
      <w:proofErr w:type="spellEnd"/>
      <w:r>
        <w:t xml:space="preserve"> by Petronius reflects the tension between the contemporary and the connection to a wider literary and cultural tradition, </w:t>
      </w:r>
      <w:r w:rsidR="008D17BC">
        <w:t>as well as foreshadowing the</w:t>
      </w:r>
      <w:r w:rsidR="00194A51">
        <w:t xml:space="preserve"> complex</w:t>
      </w:r>
      <w:r w:rsidR="008D17BC">
        <w:t xml:space="preserve"> </w:t>
      </w:r>
      <w:r w:rsidR="00194A51">
        <w:t xml:space="preserve">relationship between </w:t>
      </w:r>
      <w:r w:rsidR="00254869">
        <w:t xml:space="preserve">the </w:t>
      </w:r>
      <w:r w:rsidR="008D17BC">
        <w:t xml:space="preserve">fragmentation and </w:t>
      </w:r>
      <w:r w:rsidR="00254869">
        <w:t>unity</w:t>
      </w:r>
      <w:r w:rsidR="00194A51">
        <w:t xml:space="preserve"> of High Modernism</w:t>
      </w:r>
      <w:r w:rsidR="00254869">
        <w:t xml:space="preserve"> seen throughout </w:t>
      </w:r>
      <w:r w:rsidR="00254869">
        <w:rPr>
          <w:i/>
        </w:rPr>
        <w:t>The Waste Land</w:t>
      </w:r>
      <w:r w:rsidR="00194A51">
        <w:t>.</w:t>
      </w:r>
      <w:r w:rsidR="00486AAE">
        <w:t xml:space="preserve"> Pound felt </w:t>
      </w:r>
      <w:r w:rsidR="00154D8C">
        <w:t xml:space="preserve">that </w:t>
      </w:r>
      <w:r w:rsidR="00486AAE">
        <w:t xml:space="preserve">the Conrad quote wasn’t sufficiently weighty for the poem, whilst Eliot argued that it was the most ‘elucidative’. Harriet Davidson, in considering this debate, suggests that the quotation from </w:t>
      </w:r>
      <w:proofErr w:type="spellStart"/>
      <w:r w:rsidR="00486AAE">
        <w:rPr>
          <w:i/>
        </w:rPr>
        <w:t>Satyricon</w:t>
      </w:r>
      <w:proofErr w:type="spellEnd"/>
      <w:r w:rsidR="00254869">
        <w:t>, ‘whilst appropriate to the poem in its reference to imprisonment and desire for death</w:t>
      </w:r>
      <w:r w:rsidR="00311FA3">
        <w:t xml:space="preserve"> … only </w:t>
      </w:r>
      <w:r w:rsidR="0049242C">
        <w:t>ambiguously</w:t>
      </w:r>
      <w:r w:rsidR="00311FA3">
        <w:t xml:space="preserve"> relates to the contemporary situation Eliot evokes in the poem.’</w:t>
      </w:r>
      <w:r w:rsidR="002C648B">
        <w:rPr>
          <w:rStyle w:val="FootnoteReference"/>
        </w:rPr>
        <w:footnoteReference w:id="2"/>
      </w:r>
      <w:r w:rsidR="00311FA3">
        <w:t xml:space="preserve"> </w:t>
      </w:r>
      <w:r w:rsidR="00311FA3">
        <w:lastRenderedPageBreak/>
        <w:t xml:space="preserve">It may be that it is this apparently deliberate obscuring of elucidation, and the debate between a contemporary and a classical allusion, which sets the tone for the rest of the poem, preventing the reader from drawing any direct or obvious interpretations.  </w:t>
      </w:r>
    </w:p>
    <w:p w:rsidR="00486AAE" w:rsidRDefault="00486AAE" w:rsidP="00570F96">
      <w:pPr>
        <w:spacing w:line="480" w:lineRule="auto"/>
      </w:pPr>
    </w:p>
    <w:p w:rsidR="008B6C6C" w:rsidRDefault="00194A51" w:rsidP="00570F96">
      <w:pPr>
        <w:spacing w:line="480" w:lineRule="auto"/>
      </w:pPr>
      <w:r>
        <w:t>This</w:t>
      </w:r>
      <w:r w:rsidR="00311FA3">
        <w:t xml:space="preserve"> conflict between tradition and </w:t>
      </w:r>
      <w:r w:rsidR="004D26B3">
        <w:t xml:space="preserve">the </w:t>
      </w:r>
      <w:r w:rsidR="00311FA3">
        <w:t xml:space="preserve">contemporary reflects </w:t>
      </w:r>
      <w:r w:rsidR="008D17BC">
        <w:t xml:space="preserve">what </w:t>
      </w:r>
      <w:r w:rsidR="008B6C6C">
        <w:t xml:space="preserve">Davidson </w:t>
      </w:r>
      <w:r w:rsidR="008D17BC">
        <w:t xml:space="preserve">describes as the debate within </w:t>
      </w:r>
      <w:r w:rsidR="008D17BC">
        <w:rPr>
          <w:i/>
        </w:rPr>
        <w:t xml:space="preserve">The </w:t>
      </w:r>
      <w:r w:rsidR="008D17BC" w:rsidRPr="004D26B3">
        <w:rPr>
          <w:i/>
        </w:rPr>
        <w:t>Waste</w:t>
      </w:r>
      <w:r w:rsidR="004D26B3">
        <w:rPr>
          <w:i/>
        </w:rPr>
        <w:t xml:space="preserve"> L</w:t>
      </w:r>
      <w:r w:rsidR="008D17BC" w:rsidRPr="004D26B3">
        <w:rPr>
          <w:i/>
        </w:rPr>
        <w:t>and</w:t>
      </w:r>
      <w:r w:rsidR="008D17BC">
        <w:t xml:space="preserve"> between the ‘proper’ and the ‘improper’ when she </w:t>
      </w:r>
      <w:r w:rsidR="008B6C6C" w:rsidRPr="008D17BC">
        <w:t>points</w:t>
      </w:r>
      <w:r w:rsidR="008B6C6C">
        <w:t xml:space="preserve"> out, ‘the passage is hardly elucidative … and … the story of the Sybil only ambiguously relates to the contemporary situa</w:t>
      </w:r>
      <w:r w:rsidR="002C648B">
        <w:t>tion Eliot evokes in the poem’.</w:t>
      </w:r>
      <w:r w:rsidR="002C648B">
        <w:rPr>
          <w:rStyle w:val="FootnoteReference"/>
        </w:rPr>
        <w:footnoteReference w:id="3"/>
      </w:r>
    </w:p>
    <w:p w:rsidR="008D17BC" w:rsidRDefault="008D17BC" w:rsidP="00570F96">
      <w:pPr>
        <w:spacing w:line="480" w:lineRule="auto"/>
      </w:pPr>
    </w:p>
    <w:p w:rsidR="008D17BC" w:rsidRDefault="009443AC" w:rsidP="00570F96">
      <w:pPr>
        <w:spacing w:line="480" w:lineRule="auto"/>
      </w:pPr>
      <w:r>
        <w:t>Davidson’s definition of ‘proper’, the ‘scholarly apparatus [and] respect for tradition,’ and ‘improper’, the ‘fascination with mutation, degradation, and fragmentation,’ reflect the discussio</w:t>
      </w:r>
      <w:r w:rsidR="00992C55">
        <w:t xml:space="preserve">n of Eliot himself in </w:t>
      </w:r>
      <w:r>
        <w:rPr>
          <w:i/>
        </w:rPr>
        <w:t>Tradition and the Individual</w:t>
      </w:r>
      <w:r w:rsidR="00154D8C">
        <w:rPr>
          <w:i/>
        </w:rPr>
        <w:t xml:space="preserve"> Talent </w:t>
      </w:r>
      <w:r w:rsidR="00992C55">
        <w:t xml:space="preserve"> </w:t>
      </w:r>
      <w:r w:rsidR="001C16AD">
        <w:t>in which</w:t>
      </w:r>
      <w:r w:rsidR="0088138E">
        <w:t>, after rejecting the idea that it is the ‘</w:t>
      </w:r>
      <w:r w:rsidR="004B4195">
        <w:t>aspects of [the poet’s]</w:t>
      </w:r>
      <w:r w:rsidR="0088138E">
        <w:t xml:space="preserve"> work in which</w:t>
      </w:r>
      <w:r w:rsidR="004B4195">
        <w:t xml:space="preserve"> he least resembles anyone else</w:t>
      </w:r>
      <w:r w:rsidR="0088138E">
        <w:t>’</w:t>
      </w:r>
      <w:r w:rsidR="004B4195">
        <w:t xml:space="preserve"> that Is deserving of praise,</w:t>
      </w:r>
      <w:r w:rsidR="0088138E">
        <w:t xml:space="preserve"> he argues that, ‘the most individual parts of [the poet’s] work may those in which the dead poets, his ancestors, assert their immortality most vigorously.’</w:t>
      </w:r>
      <w:r w:rsidR="002C648B">
        <w:rPr>
          <w:rStyle w:val="FootnoteReference"/>
        </w:rPr>
        <w:footnoteReference w:id="4"/>
      </w:r>
      <w:r w:rsidR="00446A00">
        <w:t xml:space="preserve"> </w:t>
      </w:r>
      <w:r w:rsidR="00194A51">
        <w:t>Eliot’s</w:t>
      </w:r>
      <w:r w:rsidR="004B4195">
        <w:t xml:space="preserve"> essay contains within it the same conflict and contradiction found in </w:t>
      </w:r>
      <w:r w:rsidR="004B4195">
        <w:rPr>
          <w:i/>
        </w:rPr>
        <w:t>The Waste Land</w:t>
      </w:r>
      <w:r w:rsidR="004B4195">
        <w:t xml:space="preserve"> with </w:t>
      </w:r>
      <w:r w:rsidR="001A7F7E">
        <w:t>Eliot simultaneously endorsing</w:t>
      </w:r>
      <w:r w:rsidR="004B4195">
        <w:t xml:space="preserve"> art with an ‘historical sense’, whilst also emphasising that ‘novelty is better than repetition’. </w:t>
      </w:r>
      <w:r w:rsidR="004D26B3">
        <w:t xml:space="preserve">However, Eliot’s ‘historical sense’ is more complex than just the references to Classical myth, Wagner, Shakespeare and the Bible. It also embraces the rhythms and language of rag-time jazz and </w:t>
      </w:r>
      <w:r w:rsidR="00A67955">
        <w:t>the music hall tradition.</w:t>
      </w:r>
    </w:p>
    <w:p w:rsidR="004B4195" w:rsidRDefault="004B4195" w:rsidP="00570F96">
      <w:pPr>
        <w:spacing w:line="480" w:lineRule="auto"/>
      </w:pPr>
    </w:p>
    <w:p w:rsidR="009443AC" w:rsidRPr="007C5136" w:rsidRDefault="004B4195" w:rsidP="00570F96">
      <w:pPr>
        <w:spacing w:line="480" w:lineRule="auto"/>
      </w:pPr>
      <w:r>
        <w:lastRenderedPageBreak/>
        <w:t xml:space="preserve">The distinctive characteristics that later became identified with modernism, and especially the post-war High Modernism – fragmentation, juxtaposition, ambiguity – are seen in the </w:t>
      </w:r>
      <w:proofErr w:type="spellStart"/>
      <w:r w:rsidR="004C5EFD">
        <w:rPr>
          <w:i/>
        </w:rPr>
        <w:t>The</w:t>
      </w:r>
      <w:proofErr w:type="spellEnd"/>
      <w:r w:rsidR="004C5EFD">
        <w:rPr>
          <w:i/>
        </w:rPr>
        <w:t xml:space="preserve"> Waste Land</w:t>
      </w:r>
      <w:r w:rsidR="004C5EFD">
        <w:t>, with what Christopher Butler, when considering the use of myth in modernist works, describes as ‘an amal</w:t>
      </w:r>
      <w:r w:rsidR="002C648B">
        <w:t>gam of conflicting discourses.’</w:t>
      </w:r>
      <w:r w:rsidR="002C648B">
        <w:rPr>
          <w:rStyle w:val="FootnoteReference"/>
        </w:rPr>
        <w:footnoteReference w:id="5"/>
      </w:r>
      <w:r w:rsidR="002C648B">
        <w:t xml:space="preserve"> </w:t>
      </w:r>
      <w:r w:rsidR="00F3168F">
        <w:t xml:space="preserve">Terry Eagleton, </w:t>
      </w:r>
      <w:r w:rsidR="00194A51">
        <w:t xml:space="preserve">in a critique of </w:t>
      </w:r>
      <w:r w:rsidR="00F3168F">
        <w:t xml:space="preserve">the conservative </w:t>
      </w:r>
      <w:r w:rsidR="000329C2">
        <w:t xml:space="preserve">politics of many in the post-war Modernist movement recognised the complexity of the Eliot’s approach to tradition and myth, albeit reducing this complexity down to a binary choice between seeing the past </w:t>
      </w:r>
      <w:r w:rsidR="00194A51">
        <w:t xml:space="preserve">either </w:t>
      </w:r>
      <w:r w:rsidR="000329C2">
        <w:t>as a golden age or as equally corrupt to the present when he wrote that, ‘</w:t>
      </w:r>
      <w:r w:rsidR="007C5136">
        <w:rPr>
          <w:i/>
        </w:rPr>
        <w:t>The Waste Land</w:t>
      </w:r>
      <w:r w:rsidR="007C5136">
        <w:t xml:space="preserve"> can be read as holding both beliefs simultaneously.’</w:t>
      </w:r>
      <w:r w:rsidR="002C648B">
        <w:rPr>
          <w:rStyle w:val="FootnoteReference"/>
        </w:rPr>
        <w:footnoteReference w:id="6"/>
      </w:r>
      <w:r w:rsidR="007C5136">
        <w:t xml:space="preserve"> </w:t>
      </w:r>
      <w:r w:rsidR="004D26B3">
        <w:t>As stated elsewhere in this presentation, Eliot described the use of myth and tradition in the contemporary writer as informing not only the interpretation of the newer work but offering a fresh interpretation of the ‘</w:t>
      </w:r>
      <w:r w:rsidR="001A7F7E">
        <w:t>ancestors’ of the poet. However</w:t>
      </w:r>
      <w:r w:rsidR="004D26B3">
        <w:t xml:space="preserve">, as </w:t>
      </w:r>
      <w:r w:rsidR="001A7F7E">
        <w:t xml:space="preserve">Pericles </w:t>
      </w:r>
      <w:r w:rsidR="004D26B3">
        <w:t>Lewis points out, the use of myth in Modernist writing, was ‘ironic and multifarious’ and, in recognition of the danger of creating a too-demarcated line in literary movements that, in this complex use of myth ‘the seeds of postmodernism are present in the hi</w:t>
      </w:r>
      <w:r w:rsidR="002C648B">
        <w:t>ghest of high modernist works.’</w:t>
      </w:r>
      <w:r w:rsidR="002C648B">
        <w:rPr>
          <w:rStyle w:val="FootnoteReference"/>
        </w:rPr>
        <w:footnoteReference w:id="7"/>
      </w:r>
    </w:p>
    <w:p w:rsidR="008905EC" w:rsidRDefault="008905EC" w:rsidP="00570F96">
      <w:pPr>
        <w:spacing w:line="480" w:lineRule="auto"/>
      </w:pPr>
    </w:p>
    <w:p w:rsidR="00B3269B" w:rsidRDefault="008905EC" w:rsidP="00570F96">
      <w:pPr>
        <w:spacing w:line="480" w:lineRule="auto"/>
      </w:pPr>
      <w:r>
        <w:t xml:space="preserve">However, </w:t>
      </w:r>
      <w:r w:rsidR="0025306E">
        <w:t xml:space="preserve">James </w:t>
      </w:r>
      <w:proofErr w:type="spellStart"/>
      <w:r w:rsidR="0025306E">
        <w:t>Longenbach</w:t>
      </w:r>
      <w:proofErr w:type="spellEnd"/>
      <w:r w:rsidR="0025306E">
        <w:t xml:space="preserve"> argues that the cacophonous voices within </w:t>
      </w:r>
      <w:r w:rsidR="0025306E">
        <w:rPr>
          <w:i/>
        </w:rPr>
        <w:t xml:space="preserve">The Waste Land </w:t>
      </w:r>
      <w:r w:rsidR="0025306E" w:rsidRPr="00B4053E">
        <w:t>should be understood as an attempt to ‘unify the world through the unifications of individuals,</w:t>
      </w:r>
      <w:r w:rsidR="00B4053E">
        <w:t>’</w:t>
      </w:r>
      <w:r w:rsidR="002C648B">
        <w:rPr>
          <w:rStyle w:val="FootnoteReference"/>
        </w:rPr>
        <w:footnoteReference w:id="8"/>
      </w:r>
      <w:r w:rsidR="00B4053E">
        <w:t xml:space="preserve"> </w:t>
      </w:r>
      <w:r w:rsidR="00194A51">
        <w:t xml:space="preserve">an attempt which </w:t>
      </w:r>
      <w:r w:rsidR="0025306E">
        <w:t xml:space="preserve">has been described as the poem’s </w:t>
      </w:r>
      <w:r w:rsidR="00194A51">
        <w:t>c</w:t>
      </w:r>
      <w:r w:rsidR="0025306E">
        <w:t>entripetal, as opposed to</w:t>
      </w:r>
      <w:r w:rsidR="00570F96">
        <w:t xml:space="preserve"> </w:t>
      </w:r>
      <w:r w:rsidR="0025306E">
        <w:lastRenderedPageBreak/>
        <w:t>centrifugal, force.</w:t>
      </w:r>
      <w:r w:rsidR="002C648B">
        <w:rPr>
          <w:rStyle w:val="FootnoteReference"/>
        </w:rPr>
        <w:footnoteReference w:id="9"/>
      </w:r>
      <w:r w:rsidR="0025306E">
        <w:t xml:space="preserve"> </w:t>
      </w:r>
      <w:r w:rsidR="003A39C5">
        <w:t xml:space="preserve">However, in drawing the various voices together, the cacophonous structure and instability of the narrative voice suggests an inherent conflict. </w:t>
      </w:r>
    </w:p>
    <w:p w:rsidR="00B3269B" w:rsidRDefault="00B3269B" w:rsidP="00570F96">
      <w:pPr>
        <w:spacing w:line="480" w:lineRule="auto"/>
      </w:pPr>
    </w:p>
    <w:p w:rsidR="003A39C5" w:rsidRPr="000A7AC6" w:rsidRDefault="003A39C5" w:rsidP="00570F96">
      <w:pPr>
        <w:spacing w:line="480" w:lineRule="auto"/>
      </w:pPr>
      <w:r>
        <w:t xml:space="preserve">For example, the ‘The Burial of the Dead’ </w:t>
      </w:r>
      <w:r w:rsidR="00B3269B">
        <w:t xml:space="preserve">opens with a </w:t>
      </w:r>
      <w:r w:rsidR="001A7F7E">
        <w:t>non-</w:t>
      </w:r>
      <w:r>
        <w:t>gend</w:t>
      </w:r>
      <w:r w:rsidR="00B3269B">
        <w:t>e</w:t>
      </w:r>
      <w:r>
        <w:t>red voice expressing anxiety about what Harriet Davidson describes as ‘a desire for stasis and anxiety about the change, growth, and sexuality symbolized by April and the spring rain</w:t>
      </w:r>
      <w:r w:rsidR="000A7AC6">
        <w:t>,’</w:t>
      </w:r>
      <w:r w:rsidR="003F2FA4">
        <w:rPr>
          <w:rStyle w:val="FootnoteReference"/>
        </w:rPr>
        <w:footnoteReference w:id="10"/>
      </w:r>
      <w:r w:rsidR="000A7AC6">
        <w:t xml:space="preserve"> before shifting tone and rhythms into a more conversational first-person who could be</w:t>
      </w:r>
      <w:r w:rsidR="001A7F7E">
        <w:t xml:space="preserve"> the</w:t>
      </w:r>
      <w:r w:rsidR="000A7AC6">
        <w:t xml:space="preserve"> gendered voice of Marie from line thirteen. Line eighteen brings an abrupt end with a sense of loneliness and isolation, ‘I read much of the night and go south in the winter,’</w:t>
      </w:r>
      <w:r w:rsidR="003F2FA4">
        <w:rPr>
          <w:rStyle w:val="FootnoteReference"/>
        </w:rPr>
        <w:footnoteReference w:id="11"/>
      </w:r>
      <w:r w:rsidR="000A7AC6">
        <w:t xml:space="preserve"> before moving to various other voices every few lines: the disturbing ‘red rocks’ passage</w:t>
      </w:r>
      <w:r w:rsidR="00B3269B">
        <w:t xml:space="preserve">, bringing to mind biblical references of deserted and rocky places, and tying this passage to the opening section which also uses imager from the bible – this time in reference to dead or dying vegetation. This is abruptly </w:t>
      </w:r>
      <w:r w:rsidR="000A7AC6">
        <w:t xml:space="preserve">interrupted by a passage from </w:t>
      </w:r>
      <w:r w:rsidR="000A7AC6">
        <w:rPr>
          <w:i/>
        </w:rPr>
        <w:t>Tristan und Isolde</w:t>
      </w:r>
      <w:r w:rsidR="00B3269B">
        <w:t xml:space="preserve"> – which Lewis notes introduces the theme of misdirected or frustrated sexuality</w:t>
      </w:r>
      <w:r w:rsidR="000A7AC6">
        <w:t xml:space="preserve">; the mildly comic account of Madam </w:t>
      </w:r>
      <w:proofErr w:type="spellStart"/>
      <w:r w:rsidR="000A7AC6">
        <w:t>Sosostris</w:t>
      </w:r>
      <w:proofErr w:type="spellEnd"/>
      <w:r w:rsidR="000A7AC6">
        <w:t xml:space="preserve">, the clairvoyant, and </w:t>
      </w:r>
      <w:r w:rsidR="001A7F7E">
        <w:t xml:space="preserve">a </w:t>
      </w:r>
      <w:r w:rsidR="000A7AC6">
        <w:t xml:space="preserve">‘symbolic, static vision of </w:t>
      </w:r>
      <w:r w:rsidR="003F2FA4">
        <w:t>London as a suffocating hell.’</w:t>
      </w:r>
      <w:r w:rsidR="003F2FA4" w:rsidRPr="003F2FA4">
        <w:rPr>
          <w:rStyle w:val="FootnoteReference"/>
        </w:rPr>
        <w:t xml:space="preserve"> </w:t>
      </w:r>
      <w:r w:rsidR="003F2FA4">
        <w:rPr>
          <w:rStyle w:val="FootnoteReference"/>
        </w:rPr>
        <w:footnoteReference w:id="12"/>
      </w:r>
    </w:p>
    <w:p w:rsidR="003A39C5" w:rsidRDefault="003A39C5" w:rsidP="00570F96">
      <w:pPr>
        <w:spacing w:line="480" w:lineRule="auto"/>
      </w:pPr>
    </w:p>
    <w:p w:rsidR="003A5FCC" w:rsidRDefault="00B4053E" w:rsidP="00570F96">
      <w:pPr>
        <w:spacing w:line="480" w:lineRule="auto"/>
      </w:pPr>
      <w:r>
        <w:t>Eliot’</w:t>
      </w:r>
      <w:r w:rsidR="00FD3921">
        <w:t xml:space="preserve">s own note on the introduction of Tiresias in ‘The Fire Sermon’ describes him as </w:t>
      </w:r>
      <w:r w:rsidR="007C5136">
        <w:t>bringing</w:t>
      </w:r>
      <w:r w:rsidR="00FD3921">
        <w:t xml:space="preserve"> together the various character</w:t>
      </w:r>
      <w:r w:rsidR="00194A51">
        <w:t>s and that even</w:t>
      </w:r>
      <w:r w:rsidR="00FD3921">
        <w:t xml:space="preserve"> ‘the two sexes meet’</w:t>
      </w:r>
      <w:r w:rsidR="003F2FA4">
        <w:rPr>
          <w:rStyle w:val="FootnoteReference"/>
        </w:rPr>
        <w:footnoteReference w:id="13"/>
      </w:r>
      <w:r w:rsidR="00FD3921">
        <w:t xml:space="preserve">  in the ’Old </w:t>
      </w:r>
      <w:r w:rsidR="00FD3921">
        <w:lastRenderedPageBreak/>
        <w:t>man with wrinkled breasts’.</w:t>
      </w:r>
      <w:r w:rsidR="003F2FA4">
        <w:rPr>
          <w:rStyle w:val="FootnoteReference"/>
        </w:rPr>
        <w:footnoteReference w:id="14"/>
      </w:r>
      <w:r w:rsidR="00FD3921" w:rsidRPr="00FD3921">
        <w:t xml:space="preserve"> </w:t>
      </w:r>
      <w:r w:rsidR="00FD3921">
        <w:t>He emphasise that Tir</w:t>
      </w:r>
      <w:r w:rsidR="001A7F7E">
        <w:t>esia</w:t>
      </w:r>
      <w:r w:rsidR="00FD3921">
        <w:t>s is ‘the most important person in the</w:t>
      </w:r>
      <w:r w:rsidR="003F2FA4">
        <w:t xml:space="preserve"> poem, unifying all the rest.’</w:t>
      </w:r>
      <w:r w:rsidR="003F2FA4">
        <w:rPr>
          <w:rStyle w:val="FootnoteReference"/>
        </w:rPr>
        <w:footnoteReference w:id="15"/>
      </w:r>
      <w:r w:rsidR="003F2FA4">
        <w:t xml:space="preserve"> </w:t>
      </w:r>
      <w:proofErr w:type="spellStart"/>
      <w:r w:rsidR="003A5FCC">
        <w:t>Longenbach</w:t>
      </w:r>
      <w:proofErr w:type="spellEnd"/>
      <w:r w:rsidR="003A5FCC">
        <w:t xml:space="preserve"> identifies this as an </w:t>
      </w:r>
      <w:r w:rsidR="008F029D">
        <w:t xml:space="preserve">example of what Eliot describes in his essay </w:t>
      </w:r>
      <w:r w:rsidR="008F029D">
        <w:rPr>
          <w:i/>
        </w:rPr>
        <w:t xml:space="preserve">The Metaphysical Poets </w:t>
      </w:r>
      <w:r w:rsidR="00486AAE">
        <w:t xml:space="preserve">an </w:t>
      </w:r>
      <w:r w:rsidR="003A5FCC">
        <w:t>attempt to ‘form new wholes’ throughout the poem, bringing a unifying reading to the cacophonous structure and fractured voices.</w:t>
      </w:r>
      <w:r w:rsidR="003F2FA4">
        <w:rPr>
          <w:rStyle w:val="FootnoteReference"/>
        </w:rPr>
        <w:footnoteReference w:id="16"/>
      </w:r>
      <w:r w:rsidR="003A5FCC">
        <w:t xml:space="preserve"> </w:t>
      </w:r>
    </w:p>
    <w:p w:rsidR="003A5FCC" w:rsidRDefault="003A5FCC" w:rsidP="00570F96">
      <w:pPr>
        <w:spacing w:line="480" w:lineRule="auto"/>
      </w:pPr>
    </w:p>
    <w:p w:rsidR="000E4BD2" w:rsidRDefault="003A5FCC" w:rsidP="00570F96">
      <w:pPr>
        <w:spacing w:line="480" w:lineRule="auto"/>
      </w:pPr>
      <w:r>
        <w:t>However, Tiresias is, in Eliot’s own description, merely a spectator and not a participant in the poem and ultimately doesn’t provide any structural or poetic unity. The voices remain alienated and fractured, breaking in on each other and disrupting any cohesive narrative flow. For example,</w:t>
      </w:r>
      <w:r w:rsidR="001A7F7E">
        <w:t xml:space="preserve"> as stated</w:t>
      </w:r>
      <w:r>
        <w:t xml:space="preserve"> ‘The Burial of the Dead’</w:t>
      </w:r>
      <w:r w:rsidR="001A7F7E">
        <w:t xml:space="preserve"> </w:t>
      </w:r>
      <w:r w:rsidR="007C5136">
        <w:t>provides a multiplicity of voices switching between times, locations, genders and even languages. It moves between colloquial voices</w:t>
      </w:r>
      <w:r w:rsidR="001D3A7D">
        <w:t xml:space="preserve"> such as</w:t>
      </w:r>
      <w:r w:rsidR="007C5136">
        <w:t xml:space="preserve"> the ‘</w:t>
      </w:r>
      <w:proofErr w:type="spellStart"/>
      <w:r w:rsidR="007C5136">
        <w:t>clairvoyante</w:t>
      </w:r>
      <w:proofErr w:type="spellEnd"/>
      <w:r w:rsidR="007C5136">
        <w:t>’</w:t>
      </w:r>
      <w:r w:rsidR="001D3A7D">
        <w:t xml:space="preserve"> and</w:t>
      </w:r>
      <w:r w:rsidR="007C5136">
        <w:t xml:space="preserve"> the weary </w:t>
      </w:r>
      <w:r w:rsidR="001D3A7D">
        <w:t xml:space="preserve">narrator of contemporary London, </w:t>
      </w:r>
      <w:r w:rsidR="007C5136">
        <w:t>impressions from aristocratic Europe, and literary quotations including Wagner and Baudelaire – with no narrative attempt to assist the reader in find</w:t>
      </w:r>
      <w:r w:rsidR="001D3A7D">
        <w:t xml:space="preserve">ing unity. </w:t>
      </w:r>
    </w:p>
    <w:p w:rsidR="000E4BD2" w:rsidRDefault="000E4BD2" w:rsidP="00570F96">
      <w:pPr>
        <w:spacing w:line="480" w:lineRule="auto"/>
      </w:pPr>
    </w:p>
    <w:p w:rsidR="003A5FCC" w:rsidRDefault="001D3A7D" w:rsidP="00570F96">
      <w:pPr>
        <w:spacing w:line="480" w:lineRule="auto"/>
      </w:pPr>
      <w:r>
        <w:t xml:space="preserve">By allowing the fragmentation to stand in place of the traditional structure found in the poetry of Modernism’s most recent poetic forebears, Eliot places the demotic alongside the mythic and the literary tradition and, it could be argued, refuses to facilitate meta-textual hermeneutics, </w:t>
      </w:r>
      <w:r w:rsidR="00491E76">
        <w:t xml:space="preserve">leaving only fractured interpretations </w:t>
      </w:r>
      <w:r>
        <w:t xml:space="preserve">reflecting the </w:t>
      </w:r>
      <w:r w:rsidR="00491E76">
        <w:t xml:space="preserve">discordant </w:t>
      </w:r>
      <w:r>
        <w:t>structure.</w:t>
      </w:r>
      <w:r w:rsidR="000E4BD2">
        <w:t xml:space="preserve"> It also reinforces the reflective nature of Modernist poetry – especially in the Anglo-American tradition – where the nature of the relationship of literature across time </w:t>
      </w:r>
      <w:r w:rsidR="008F029D">
        <w:t>and the meeting of tradition, with an</w:t>
      </w:r>
      <w:r w:rsidR="000E4BD2">
        <w:t xml:space="preserve"> ironic contrast to those traditions provide a link between the </w:t>
      </w:r>
      <w:r w:rsidR="000E4BD2">
        <w:lastRenderedPageBreak/>
        <w:t>interpretation of the older works and how both they and the mo</w:t>
      </w:r>
      <w:r w:rsidR="008F029D">
        <w:t xml:space="preserve">dern work of art are </w:t>
      </w:r>
      <w:r w:rsidR="000E4BD2">
        <w:t>now perceived. As Stravinsky wrote, ‘A tradition is carried forward to provide something new. Tradition then asserts the continuity of creation’</w:t>
      </w:r>
      <w:r w:rsidR="003F2FA4">
        <w:rPr>
          <w:rStyle w:val="FootnoteReference"/>
        </w:rPr>
        <w:footnoteReference w:id="17"/>
      </w:r>
      <w:r w:rsidR="000E4BD2">
        <w:t xml:space="preserve"> </w:t>
      </w:r>
    </w:p>
    <w:p w:rsidR="001D3A7D" w:rsidRDefault="001D3A7D" w:rsidP="00570F96">
      <w:pPr>
        <w:spacing w:line="480" w:lineRule="auto"/>
      </w:pPr>
    </w:p>
    <w:p w:rsidR="00491E76" w:rsidRDefault="00491E76" w:rsidP="00570F96">
      <w:pPr>
        <w:spacing w:line="480" w:lineRule="auto"/>
      </w:pPr>
      <w:r>
        <w:t xml:space="preserve">Much criticism </w:t>
      </w:r>
      <w:r w:rsidR="000E4BD2">
        <w:t xml:space="preserve">written </w:t>
      </w:r>
      <w:r>
        <w:t xml:space="preserve">close to the publication of </w:t>
      </w:r>
      <w:r>
        <w:rPr>
          <w:i/>
        </w:rPr>
        <w:t>The Waste Land</w:t>
      </w:r>
      <w:r>
        <w:t xml:space="preserve"> focussed on the number of literary allusions </w:t>
      </w:r>
      <w:r w:rsidR="00347A15">
        <w:t>within</w:t>
      </w:r>
      <w:r>
        <w:t xml:space="preserve"> the poem</w:t>
      </w:r>
      <w:r w:rsidR="000E4BD2">
        <w:t>, many times with an emphasis on the interpretive difficulties</w:t>
      </w:r>
      <w:r>
        <w:t>. Pericles Lewis calculates an allusion every two lines and Eliot’s own notes, which were not originally published with the poem, provide apparent illumination to some of these</w:t>
      </w:r>
      <w:r w:rsidR="003A39C5">
        <w:t xml:space="preserve"> although there is some suggestion of ironic or humorous intent on Eliot’s part in the publication of the notes</w:t>
      </w:r>
      <w:r>
        <w:t>.</w:t>
      </w:r>
      <w:r w:rsidR="003F2FA4">
        <w:rPr>
          <w:rStyle w:val="FootnoteReference"/>
        </w:rPr>
        <w:footnoteReference w:id="18"/>
      </w:r>
      <w:r w:rsidR="003F2FA4">
        <w:t xml:space="preserve"> </w:t>
      </w:r>
      <w:r>
        <w:t xml:space="preserve">The use of these allusions conforms to Eliot’s own insistence in </w:t>
      </w:r>
      <w:r>
        <w:rPr>
          <w:i/>
        </w:rPr>
        <w:t>Tradition and the Individual Talent</w:t>
      </w:r>
      <w:r>
        <w:t xml:space="preserve"> that the modern poet needs to enter into a dialogue with tradition, thus simultaneously providing </w:t>
      </w:r>
      <w:r w:rsidR="000E4BD2">
        <w:t>perspective</w:t>
      </w:r>
      <w:r>
        <w:t xml:space="preserve"> from which to understand the new poem and forcing the reader to ‘understand all </w:t>
      </w:r>
      <w:r w:rsidR="000E4BD2">
        <w:t>earlier</w:t>
      </w:r>
      <w:r>
        <w:t xml:space="preserve"> poetry of the same tradition in a new light’</w:t>
      </w:r>
      <w:r w:rsidR="00570F96">
        <w:rPr>
          <w:rStyle w:val="FootnoteReference"/>
        </w:rPr>
        <w:footnoteReference w:id="19"/>
      </w:r>
    </w:p>
    <w:p w:rsidR="00491E76" w:rsidRDefault="00491E76"/>
    <w:p w:rsidR="0049242C" w:rsidRDefault="0049242C"/>
    <w:p w:rsidR="00486AAE" w:rsidRDefault="00486AAE"/>
    <w:p w:rsidR="000E4BD2" w:rsidRDefault="000E4BD2"/>
    <w:p w:rsidR="00491E76" w:rsidRPr="00491E76" w:rsidRDefault="00491E76"/>
    <w:p w:rsidR="00570F96" w:rsidRDefault="00570F96">
      <w:r>
        <w:br w:type="page"/>
      </w:r>
    </w:p>
    <w:p w:rsidR="003A5FCC" w:rsidRDefault="003A5FCC"/>
    <w:p w:rsidR="008D17BC" w:rsidRDefault="00A67955">
      <w:pPr>
        <w:rPr>
          <w:b/>
        </w:rPr>
      </w:pPr>
      <w:r>
        <w:rPr>
          <w:b/>
        </w:rPr>
        <w:t>Bibliography</w:t>
      </w:r>
    </w:p>
    <w:p w:rsidR="00A67955" w:rsidRDefault="00A67955">
      <w:pPr>
        <w:rPr>
          <w:b/>
        </w:rPr>
      </w:pPr>
    </w:p>
    <w:p w:rsidR="00A67955" w:rsidRDefault="00A67955" w:rsidP="005001A1">
      <w:pPr>
        <w:ind w:left="567" w:hanging="567"/>
      </w:pPr>
      <w:r w:rsidRPr="00A67955">
        <w:t xml:space="preserve">Butler, Christopher, </w:t>
      </w:r>
      <w:r w:rsidRPr="00A67955">
        <w:rPr>
          <w:i/>
          <w:iCs/>
        </w:rPr>
        <w:t>Modernism : A very Short Introduction</w:t>
      </w:r>
      <w:r w:rsidRPr="00A67955">
        <w:t xml:space="preserve"> (Oxford; New York: Oxford University Press, 2010) </w:t>
      </w:r>
    </w:p>
    <w:p w:rsidR="005001A1" w:rsidRPr="00A67955" w:rsidRDefault="005001A1" w:rsidP="005001A1">
      <w:pPr>
        <w:ind w:left="567" w:hanging="567"/>
      </w:pPr>
    </w:p>
    <w:p w:rsidR="00A67955" w:rsidRPr="00A67955" w:rsidRDefault="00A67955" w:rsidP="00A67955">
      <w:r w:rsidRPr="00A67955">
        <w:t xml:space="preserve">Eagleton, Terry, </w:t>
      </w:r>
      <w:r w:rsidRPr="00A67955">
        <w:rPr>
          <w:i/>
          <w:iCs/>
        </w:rPr>
        <w:t>After Theory</w:t>
      </w:r>
      <w:r w:rsidRPr="00A67955">
        <w:t xml:space="preserve"> (London: London : Penguin, 2004) </w:t>
      </w:r>
    </w:p>
    <w:p w:rsidR="005001A1" w:rsidRDefault="005001A1" w:rsidP="00A67955"/>
    <w:p w:rsidR="00A67955" w:rsidRPr="00A67955" w:rsidRDefault="00A67955" w:rsidP="00A67955">
      <w:r w:rsidRPr="00A67955">
        <w:t xml:space="preserve">Eliot, T. S., 'Tradition and the Individual Talent', </w:t>
      </w:r>
      <w:proofErr w:type="spellStart"/>
      <w:r w:rsidRPr="00A67955">
        <w:rPr>
          <w:i/>
          <w:iCs/>
        </w:rPr>
        <w:t>Perspecta</w:t>
      </w:r>
      <w:proofErr w:type="spellEnd"/>
      <w:r w:rsidRPr="00A67955">
        <w:rPr>
          <w:i/>
          <w:iCs/>
        </w:rPr>
        <w:t xml:space="preserve">, </w:t>
      </w:r>
      <w:r w:rsidRPr="00A67955">
        <w:t xml:space="preserve">19 (1982), 36-42 </w:t>
      </w:r>
    </w:p>
    <w:p w:rsidR="005001A1" w:rsidRDefault="005001A1" w:rsidP="00A67955"/>
    <w:p w:rsidR="00A67955" w:rsidRPr="00A67955" w:rsidRDefault="00A67955" w:rsidP="00A67955">
      <w:r w:rsidRPr="00A67955">
        <w:t xml:space="preserve">Eliot, T. S., </w:t>
      </w:r>
      <w:r w:rsidRPr="00A67955">
        <w:rPr>
          <w:i/>
          <w:iCs/>
        </w:rPr>
        <w:t>Collected Poems, 1909-1962</w:t>
      </w:r>
      <w:r w:rsidRPr="00A67955">
        <w:t xml:space="preserve"> (London: Faber and Faber, 1974) </w:t>
      </w:r>
    </w:p>
    <w:p w:rsidR="005001A1" w:rsidRDefault="005001A1" w:rsidP="00A67955"/>
    <w:p w:rsidR="00A67955" w:rsidRPr="00A67955" w:rsidRDefault="00A67955" w:rsidP="005001A1">
      <w:pPr>
        <w:ind w:left="567" w:hanging="567"/>
      </w:pPr>
      <w:r w:rsidRPr="00A67955">
        <w:t xml:space="preserve">Eliot, T.S., </w:t>
      </w:r>
      <w:r w:rsidRPr="00A67955">
        <w:rPr>
          <w:i/>
          <w:iCs/>
        </w:rPr>
        <w:t>The Sacred Wood : Essays on Poetry and Criticism</w:t>
      </w:r>
      <w:r w:rsidRPr="00A67955">
        <w:t xml:space="preserve">, (London: Methuen and Co, 1960) </w:t>
      </w:r>
    </w:p>
    <w:p w:rsidR="005001A1" w:rsidRDefault="005001A1" w:rsidP="00A67955"/>
    <w:p w:rsidR="00A67955" w:rsidRPr="00A67955" w:rsidRDefault="00A67955" w:rsidP="005001A1">
      <w:pPr>
        <w:ind w:left="567" w:hanging="567"/>
      </w:pPr>
      <w:proofErr w:type="spellStart"/>
      <w:r w:rsidRPr="00A67955">
        <w:t>Lamos</w:t>
      </w:r>
      <w:proofErr w:type="spellEnd"/>
      <w:r w:rsidRPr="00A67955">
        <w:t xml:space="preserve">, Colleen, </w:t>
      </w:r>
      <w:r w:rsidRPr="00A67955">
        <w:rPr>
          <w:i/>
          <w:iCs/>
        </w:rPr>
        <w:t xml:space="preserve">Deviant Modernism: Sexual and textual </w:t>
      </w:r>
      <w:proofErr w:type="spellStart"/>
      <w:r w:rsidRPr="00A67955">
        <w:rPr>
          <w:i/>
          <w:iCs/>
        </w:rPr>
        <w:t>errancy</w:t>
      </w:r>
      <w:proofErr w:type="spellEnd"/>
      <w:r w:rsidRPr="00A67955">
        <w:rPr>
          <w:i/>
          <w:iCs/>
        </w:rPr>
        <w:t xml:space="preserve"> in T. S. Eliot, James Joyce and Marcel Proust, </w:t>
      </w:r>
      <w:r w:rsidRPr="00A67955">
        <w:t>(Cambridge: Cambridge University Press, 1998)</w:t>
      </w:r>
    </w:p>
    <w:p w:rsidR="005001A1" w:rsidRDefault="005001A1" w:rsidP="00A67955"/>
    <w:p w:rsidR="00A67955" w:rsidRPr="00A67955" w:rsidRDefault="00A67955" w:rsidP="005001A1">
      <w:pPr>
        <w:ind w:left="567" w:hanging="567"/>
      </w:pPr>
      <w:proofErr w:type="spellStart"/>
      <w:r w:rsidRPr="00A67955">
        <w:t>Levenson</w:t>
      </w:r>
      <w:proofErr w:type="spellEnd"/>
      <w:r w:rsidRPr="00A67955">
        <w:t xml:space="preserve">, Michael H., </w:t>
      </w:r>
      <w:r w:rsidRPr="00A67955">
        <w:rPr>
          <w:i/>
          <w:iCs/>
        </w:rPr>
        <w:t>The Cambridge Companion to Modernism</w:t>
      </w:r>
      <w:r w:rsidRPr="00A67955">
        <w:t xml:space="preserve"> (Cambridge: Cambridge University Press, 1999) </w:t>
      </w:r>
    </w:p>
    <w:p w:rsidR="005001A1" w:rsidRDefault="005001A1" w:rsidP="00A67955"/>
    <w:p w:rsidR="00A67955" w:rsidRPr="00A67955" w:rsidRDefault="00A67955" w:rsidP="005001A1">
      <w:pPr>
        <w:ind w:left="567" w:hanging="567"/>
      </w:pPr>
      <w:r w:rsidRPr="00A67955">
        <w:t xml:space="preserve">Lewis, Pericles, </w:t>
      </w:r>
      <w:r w:rsidRPr="00A67955">
        <w:rPr>
          <w:i/>
          <w:iCs/>
        </w:rPr>
        <w:t>The Cambridge Introduction to Modernism</w:t>
      </w:r>
      <w:r w:rsidRPr="00A67955">
        <w:t xml:space="preserve"> (Cambridge: Cambridge : Cambridge University Press, 2007) </w:t>
      </w:r>
    </w:p>
    <w:p w:rsidR="005001A1" w:rsidRDefault="005001A1" w:rsidP="00A67955"/>
    <w:p w:rsidR="00A67955" w:rsidRPr="00A67955" w:rsidRDefault="00A67955" w:rsidP="005001A1">
      <w:pPr>
        <w:ind w:left="567" w:hanging="567"/>
      </w:pPr>
      <w:r w:rsidRPr="00A67955">
        <w:t xml:space="preserve">Moody, A. D., </w:t>
      </w:r>
      <w:r w:rsidRPr="00A67955">
        <w:rPr>
          <w:i/>
          <w:iCs/>
        </w:rPr>
        <w:t>The Cambridge Companion to T.S. Eliot</w:t>
      </w:r>
      <w:r w:rsidRPr="00A67955">
        <w:t xml:space="preserve"> (Cambridge: Cambridge : Cambridge University Press, 1994)</w:t>
      </w:r>
    </w:p>
    <w:sectPr w:rsidR="00A67955" w:rsidRPr="00A67955" w:rsidSect="0098310D">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7F4F" w:rsidRDefault="00047F4F" w:rsidP="002C648B">
      <w:r>
        <w:separator/>
      </w:r>
    </w:p>
  </w:endnote>
  <w:endnote w:type="continuationSeparator" w:id="0">
    <w:p w:rsidR="00047F4F" w:rsidRDefault="00047F4F" w:rsidP="002C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7F4F" w:rsidRDefault="00047F4F" w:rsidP="002C648B">
      <w:r>
        <w:separator/>
      </w:r>
    </w:p>
  </w:footnote>
  <w:footnote w:type="continuationSeparator" w:id="0">
    <w:p w:rsidR="00047F4F" w:rsidRDefault="00047F4F" w:rsidP="002C648B">
      <w:r>
        <w:continuationSeparator/>
      </w:r>
    </w:p>
  </w:footnote>
  <w:footnote w:id="1">
    <w:p w:rsidR="00570F96" w:rsidRDefault="00570F96">
      <w:pPr>
        <w:pStyle w:val="FootnoteText"/>
      </w:pPr>
      <w:r>
        <w:rPr>
          <w:rStyle w:val="FootnoteReference"/>
        </w:rPr>
        <w:footnoteRef/>
      </w:r>
      <w:r>
        <w:t xml:space="preserve"> </w:t>
      </w:r>
      <w:r>
        <w:rPr>
          <w:rFonts w:ascii="Verdana" w:hAnsi="Verdana" w:cs="Verdana"/>
          <w:sz w:val="18"/>
          <w:szCs w:val="18"/>
        </w:rPr>
        <w:t xml:space="preserve">Eliot, T. S., 'Tradition and the Individual Talent', </w:t>
      </w:r>
      <w:proofErr w:type="spellStart"/>
      <w:r>
        <w:rPr>
          <w:rFonts w:ascii="Verdana" w:hAnsi="Verdana" w:cs="Verdana"/>
          <w:i/>
          <w:iCs/>
          <w:sz w:val="18"/>
          <w:szCs w:val="18"/>
        </w:rPr>
        <w:t>Perspecta</w:t>
      </w:r>
      <w:proofErr w:type="spellEnd"/>
      <w:r>
        <w:rPr>
          <w:rFonts w:ascii="Verdana" w:hAnsi="Verdana" w:cs="Verdana"/>
          <w:i/>
          <w:iCs/>
          <w:sz w:val="18"/>
          <w:szCs w:val="18"/>
        </w:rPr>
        <w:t xml:space="preserve">, </w:t>
      </w:r>
      <w:r>
        <w:rPr>
          <w:rFonts w:ascii="Verdana" w:hAnsi="Verdana" w:cs="Verdana"/>
          <w:sz w:val="18"/>
          <w:szCs w:val="18"/>
        </w:rPr>
        <w:t>19 (1982), 36-42</w:t>
      </w:r>
    </w:p>
  </w:footnote>
  <w:footnote w:id="2">
    <w:p w:rsidR="002C648B" w:rsidRPr="002C648B" w:rsidRDefault="002C648B" w:rsidP="002C648B">
      <w:pPr>
        <w:autoSpaceDE w:val="0"/>
        <w:autoSpaceDN w:val="0"/>
        <w:adjustRightInd w:val="0"/>
        <w:spacing w:before="100" w:after="100"/>
        <w:ind w:left="448" w:right="-720" w:hanging="448"/>
        <w:rPr>
          <w:rFonts w:ascii="Verdana" w:hAnsi="Verdana" w:cs="Verdana"/>
          <w:sz w:val="18"/>
          <w:szCs w:val="18"/>
        </w:rPr>
      </w:pPr>
      <w:r>
        <w:rPr>
          <w:rStyle w:val="FootnoteReference"/>
        </w:rPr>
        <w:footnoteRef/>
      </w:r>
      <w:r>
        <w:t xml:space="preserve"> </w:t>
      </w:r>
      <w:r w:rsidRPr="002C648B">
        <w:rPr>
          <w:rFonts w:ascii="Verdana" w:hAnsi="Verdana"/>
          <w:sz w:val="18"/>
          <w:szCs w:val="18"/>
        </w:rPr>
        <w:t xml:space="preserve">Davidson, Harriet, </w:t>
      </w:r>
      <w:r w:rsidRPr="002C648B">
        <w:rPr>
          <w:rFonts w:ascii="Verdana" w:hAnsi="Verdana"/>
          <w:i/>
          <w:sz w:val="18"/>
          <w:szCs w:val="18"/>
        </w:rPr>
        <w:t xml:space="preserve">Improper Desire: reading The Waste Land </w:t>
      </w:r>
      <w:r w:rsidRPr="002C648B">
        <w:rPr>
          <w:rFonts w:ascii="Verdana" w:hAnsi="Verdana"/>
          <w:sz w:val="18"/>
          <w:szCs w:val="18"/>
        </w:rPr>
        <w:t>IN</w:t>
      </w:r>
      <w:r>
        <w:t xml:space="preserve"> </w:t>
      </w:r>
      <w:r>
        <w:rPr>
          <w:rFonts w:ascii="Verdana" w:hAnsi="Verdana" w:cs="Verdana"/>
          <w:sz w:val="18"/>
          <w:szCs w:val="18"/>
        </w:rPr>
        <w:t xml:space="preserve">Moody, A. D., </w:t>
      </w:r>
      <w:r>
        <w:rPr>
          <w:rFonts w:ascii="Verdana" w:hAnsi="Verdana" w:cs="Verdana"/>
          <w:i/>
          <w:iCs/>
          <w:sz w:val="18"/>
          <w:szCs w:val="18"/>
        </w:rPr>
        <w:t>The Cambridge Companion to T.S. Eliot</w:t>
      </w:r>
      <w:r>
        <w:rPr>
          <w:rFonts w:ascii="Verdana" w:hAnsi="Verdana" w:cs="Verdana"/>
          <w:sz w:val="18"/>
          <w:szCs w:val="18"/>
        </w:rPr>
        <w:t xml:space="preserve"> (Cambridge: Cambridge : Cambridge University Press, 1994)</w:t>
      </w:r>
      <w:r>
        <w:rPr>
          <w:rFonts w:ascii="Verdana" w:hAnsi="Verdana" w:cs="Verdana"/>
          <w:sz w:val="18"/>
          <w:szCs w:val="18"/>
        </w:rPr>
        <w:t>, p. 121</w:t>
      </w:r>
      <w:r>
        <w:rPr>
          <w:rFonts w:ascii="Verdana" w:hAnsi="Verdana" w:cs="Verdana"/>
          <w:sz w:val="18"/>
          <w:szCs w:val="18"/>
        </w:rPr>
        <w:t xml:space="preserve"> </w:t>
      </w:r>
    </w:p>
  </w:footnote>
  <w:footnote w:id="3">
    <w:p w:rsidR="002C648B" w:rsidRDefault="002C648B">
      <w:pPr>
        <w:pStyle w:val="FootnoteText"/>
      </w:pPr>
      <w:r>
        <w:rPr>
          <w:rStyle w:val="FootnoteReference"/>
        </w:rPr>
        <w:footnoteRef/>
      </w:r>
      <w:r w:rsidR="00570F96">
        <w:t xml:space="preserve"> </w:t>
      </w:r>
      <w:r w:rsidR="00570F96" w:rsidRPr="002C648B">
        <w:rPr>
          <w:rFonts w:ascii="Verdana" w:hAnsi="Verdana"/>
          <w:sz w:val="18"/>
          <w:szCs w:val="18"/>
        </w:rPr>
        <w:t xml:space="preserve">Davidson, Harriet, </w:t>
      </w:r>
      <w:r w:rsidR="00570F96" w:rsidRPr="002C648B">
        <w:rPr>
          <w:rFonts w:ascii="Verdana" w:hAnsi="Verdana"/>
          <w:i/>
          <w:sz w:val="18"/>
          <w:szCs w:val="18"/>
        </w:rPr>
        <w:t xml:space="preserve">Improper Desire: reading The Waste Land </w:t>
      </w:r>
      <w:r w:rsidR="00570F96" w:rsidRPr="002C648B">
        <w:rPr>
          <w:rFonts w:ascii="Verdana" w:hAnsi="Verdana"/>
          <w:sz w:val="18"/>
          <w:szCs w:val="18"/>
        </w:rPr>
        <w:t>IN</w:t>
      </w:r>
      <w:r w:rsidR="00570F96">
        <w:t xml:space="preserve"> </w:t>
      </w:r>
      <w:r w:rsidR="00570F96">
        <w:rPr>
          <w:rFonts w:ascii="Verdana" w:hAnsi="Verdana" w:cs="Verdana"/>
          <w:sz w:val="18"/>
          <w:szCs w:val="18"/>
        </w:rPr>
        <w:t xml:space="preserve">Moody, A. D., </w:t>
      </w:r>
      <w:r w:rsidR="00570F96">
        <w:rPr>
          <w:rFonts w:ascii="Verdana" w:hAnsi="Verdana" w:cs="Verdana"/>
          <w:i/>
          <w:iCs/>
          <w:sz w:val="18"/>
          <w:szCs w:val="18"/>
        </w:rPr>
        <w:t>The Cambridge Companion to T.S. Eliot</w:t>
      </w:r>
      <w:r w:rsidR="00570F96">
        <w:rPr>
          <w:rFonts w:ascii="Verdana" w:hAnsi="Verdana" w:cs="Verdana"/>
          <w:sz w:val="18"/>
          <w:szCs w:val="18"/>
        </w:rPr>
        <w:t xml:space="preserve"> (Cambridge: Cambridge : Cambridge University Press, 1994),</w:t>
      </w:r>
      <w:r w:rsidR="00570F96">
        <w:rPr>
          <w:rFonts w:ascii="Verdana" w:hAnsi="Verdana" w:cs="Verdana"/>
          <w:sz w:val="18"/>
          <w:szCs w:val="18"/>
        </w:rPr>
        <w:t xml:space="preserve"> </w:t>
      </w:r>
      <w:r>
        <w:t>p. 122.</w:t>
      </w:r>
    </w:p>
  </w:footnote>
  <w:footnote w:id="4">
    <w:p w:rsidR="002C648B" w:rsidRDefault="002C648B">
      <w:pPr>
        <w:pStyle w:val="FootnoteText"/>
      </w:pPr>
      <w:r>
        <w:rPr>
          <w:rStyle w:val="FootnoteReference"/>
        </w:rPr>
        <w:footnoteRef/>
      </w:r>
      <w:r>
        <w:t xml:space="preserve"> </w:t>
      </w:r>
      <w:r>
        <w:t>Ibid. p. 122.</w:t>
      </w:r>
    </w:p>
  </w:footnote>
  <w:footnote w:id="5">
    <w:p w:rsidR="002C648B" w:rsidRPr="002C648B" w:rsidRDefault="002C648B" w:rsidP="002C648B">
      <w:pPr>
        <w:autoSpaceDE w:val="0"/>
        <w:autoSpaceDN w:val="0"/>
        <w:adjustRightInd w:val="0"/>
        <w:spacing w:before="100" w:after="100"/>
        <w:ind w:left="448" w:right="-720" w:hanging="448"/>
        <w:rPr>
          <w:rFonts w:ascii="Verdana" w:hAnsi="Verdana" w:cs="Verdana"/>
          <w:sz w:val="18"/>
          <w:szCs w:val="18"/>
        </w:rPr>
      </w:pPr>
      <w:r>
        <w:rPr>
          <w:rStyle w:val="FootnoteReference"/>
        </w:rPr>
        <w:footnoteRef/>
      </w:r>
      <w:r>
        <w:t xml:space="preserve"> </w:t>
      </w:r>
      <w:r>
        <w:rPr>
          <w:rFonts w:ascii="Verdana" w:hAnsi="Verdana" w:cs="Verdana"/>
          <w:sz w:val="18"/>
          <w:szCs w:val="18"/>
        </w:rPr>
        <w:t xml:space="preserve">Butler, Christopher, </w:t>
      </w:r>
      <w:r>
        <w:rPr>
          <w:rFonts w:ascii="Verdana" w:hAnsi="Verdana" w:cs="Verdana"/>
          <w:i/>
          <w:iCs/>
          <w:sz w:val="18"/>
          <w:szCs w:val="18"/>
        </w:rPr>
        <w:t>Modernism : A very Short Introduction</w:t>
      </w:r>
      <w:r>
        <w:rPr>
          <w:rFonts w:ascii="Verdana" w:hAnsi="Verdana" w:cs="Verdana"/>
          <w:sz w:val="18"/>
          <w:szCs w:val="18"/>
        </w:rPr>
        <w:t xml:space="preserve"> (Oxford; New York: Oxford University Press, 2010) </w:t>
      </w:r>
    </w:p>
  </w:footnote>
  <w:footnote w:id="6">
    <w:p w:rsidR="002C648B" w:rsidRDefault="002C648B">
      <w:pPr>
        <w:pStyle w:val="FootnoteText"/>
      </w:pPr>
      <w:r>
        <w:rPr>
          <w:rStyle w:val="FootnoteReference"/>
        </w:rPr>
        <w:footnoteRef/>
      </w:r>
      <w:r>
        <w:t xml:space="preserve"> </w:t>
      </w:r>
      <w:r>
        <w:rPr>
          <w:rFonts w:ascii="Verdana" w:hAnsi="Verdana" w:cs="Verdana"/>
          <w:sz w:val="18"/>
          <w:szCs w:val="18"/>
        </w:rPr>
        <w:t xml:space="preserve">Eagleton, Terry, </w:t>
      </w:r>
      <w:r>
        <w:rPr>
          <w:rFonts w:ascii="Verdana" w:hAnsi="Verdana" w:cs="Verdana"/>
          <w:i/>
          <w:iCs/>
          <w:sz w:val="18"/>
          <w:szCs w:val="18"/>
        </w:rPr>
        <w:t>After Theory</w:t>
      </w:r>
      <w:r>
        <w:rPr>
          <w:rFonts w:ascii="Verdana" w:hAnsi="Verdana" w:cs="Verdana"/>
          <w:sz w:val="18"/>
          <w:szCs w:val="18"/>
        </w:rPr>
        <w:t xml:space="preserve"> (London: London : Penguin, 2004)</w:t>
      </w:r>
      <w:r>
        <w:rPr>
          <w:rFonts w:ascii="Verdana" w:hAnsi="Verdana" w:cs="Verdana"/>
          <w:sz w:val="18"/>
          <w:szCs w:val="18"/>
        </w:rPr>
        <w:t>, p. 179</w:t>
      </w:r>
    </w:p>
  </w:footnote>
  <w:footnote w:id="7">
    <w:p w:rsidR="002C648B" w:rsidRPr="002C648B" w:rsidRDefault="002C648B" w:rsidP="002C648B">
      <w:pPr>
        <w:autoSpaceDE w:val="0"/>
        <w:autoSpaceDN w:val="0"/>
        <w:adjustRightInd w:val="0"/>
        <w:spacing w:before="100" w:after="100"/>
        <w:ind w:left="448" w:right="-720" w:hanging="448"/>
        <w:rPr>
          <w:rFonts w:ascii="Verdana" w:hAnsi="Verdana" w:cs="Verdana"/>
          <w:sz w:val="18"/>
          <w:szCs w:val="18"/>
        </w:rPr>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 Cambridge University Press, 2007)</w:t>
      </w:r>
      <w:r>
        <w:rPr>
          <w:rFonts w:ascii="Verdana" w:hAnsi="Verdana" w:cs="Verdana"/>
          <w:sz w:val="18"/>
          <w:szCs w:val="18"/>
        </w:rPr>
        <w:t>, p. 156</w:t>
      </w:r>
      <w:r>
        <w:rPr>
          <w:rFonts w:ascii="Verdana" w:hAnsi="Verdana" w:cs="Verdana"/>
          <w:sz w:val="18"/>
          <w:szCs w:val="18"/>
        </w:rPr>
        <w:t xml:space="preserve"> </w:t>
      </w:r>
    </w:p>
  </w:footnote>
  <w:footnote w:id="8">
    <w:p w:rsidR="002C648B" w:rsidRPr="003F2FA4" w:rsidRDefault="002C648B">
      <w:pPr>
        <w:pStyle w:val="FootnoteText"/>
        <w:rPr>
          <w:rFonts w:ascii="Verdana" w:hAnsi="Verdana" w:cs="Verdana"/>
          <w:sz w:val="18"/>
          <w:szCs w:val="18"/>
        </w:rPr>
      </w:pPr>
      <w:r>
        <w:rPr>
          <w:rStyle w:val="FootnoteReference"/>
        </w:rPr>
        <w:footnoteRef/>
      </w:r>
      <w:r>
        <w:t xml:space="preserve"> </w:t>
      </w:r>
      <w:proofErr w:type="spellStart"/>
      <w:r>
        <w:t>Longenbach</w:t>
      </w:r>
      <w:proofErr w:type="spellEnd"/>
      <w:r>
        <w:t xml:space="preserve">, James, </w:t>
      </w:r>
      <w:r>
        <w:rPr>
          <w:i/>
        </w:rPr>
        <w:t xml:space="preserve">Modern </w:t>
      </w:r>
      <w:r w:rsidRPr="002C648B">
        <w:t>Poetry</w:t>
      </w:r>
      <w:r>
        <w:t xml:space="preserve"> IN </w:t>
      </w:r>
      <w:proofErr w:type="spellStart"/>
      <w:r w:rsidRPr="002C648B">
        <w:rPr>
          <w:rFonts w:ascii="Verdana" w:hAnsi="Verdana" w:cs="Verdana"/>
          <w:sz w:val="18"/>
          <w:szCs w:val="18"/>
        </w:rPr>
        <w:t>Levenson</w:t>
      </w:r>
      <w:proofErr w:type="spellEnd"/>
      <w:r>
        <w:rPr>
          <w:rFonts w:ascii="Verdana" w:hAnsi="Verdana" w:cs="Verdana"/>
          <w:sz w:val="18"/>
          <w:szCs w:val="18"/>
        </w:rPr>
        <w:t xml:space="preserve">, Michael H., </w:t>
      </w:r>
      <w:r>
        <w:rPr>
          <w:rFonts w:ascii="Verdana" w:hAnsi="Verdana" w:cs="Verdana"/>
          <w:i/>
          <w:iCs/>
          <w:sz w:val="18"/>
          <w:szCs w:val="18"/>
        </w:rPr>
        <w:t>The Cambridge Companion to Modernism</w:t>
      </w:r>
      <w:r>
        <w:rPr>
          <w:rFonts w:ascii="Verdana" w:hAnsi="Verdana" w:cs="Verdana"/>
          <w:sz w:val="18"/>
          <w:szCs w:val="18"/>
        </w:rPr>
        <w:t xml:space="preserve"> (Cambridge: Cambridge University Press, 1999)</w:t>
      </w:r>
      <w:r>
        <w:rPr>
          <w:rFonts w:ascii="Verdana" w:hAnsi="Verdana" w:cs="Verdana"/>
          <w:sz w:val="18"/>
          <w:szCs w:val="18"/>
        </w:rPr>
        <w:t>, p. 120</w:t>
      </w:r>
    </w:p>
  </w:footnote>
  <w:footnote w:id="9">
    <w:p w:rsidR="003F2FA4" w:rsidRPr="003F2FA4" w:rsidRDefault="002C648B">
      <w:pPr>
        <w:pStyle w:val="FootnoteText"/>
        <w:rPr>
          <w:rFonts w:ascii="Verdana" w:hAnsi="Verdana" w:cs="Verdana"/>
          <w:sz w:val="18"/>
          <w:szCs w:val="18"/>
        </w:rPr>
      </w:pPr>
      <w:r>
        <w:rPr>
          <w:rStyle w:val="FootnoteReference"/>
        </w:rPr>
        <w:footnoteRef/>
      </w:r>
      <w:r>
        <w:t xml:space="preserve"> </w:t>
      </w:r>
      <w:proofErr w:type="spellStart"/>
      <w:r>
        <w:rPr>
          <w:rFonts w:ascii="Verdana" w:hAnsi="Verdana" w:cs="Verdana"/>
          <w:sz w:val="18"/>
          <w:szCs w:val="18"/>
        </w:rPr>
        <w:t>Lamos</w:t>
      </w:r>
      <w:proofErr w:type="spellEnd"/>
      <w:r>
        <w:rPr>
          <w:rFonts w:ascii="Verdana" w:hAnsi="Verdana" w:cs="Verdana"/>
          <w:sz w:val="18"/>
          <w:szCs w:val="18"/>
        </w:rPr>
        <w:t xml:space="preserve">, Colleen, </w:t>
      </w:r>
      <w:r>
        <w:rPr>
          <w:rFonts w:ascii="Verdana" w:hAnsi="Verdana" w:cs="Verdana"/>
          <w:i/>
          <w:iCs/>
          <w:sz w:val="18"/>
          <w:szCs w:val="18"/>
        </w:rPr>
        <w:t xml:space="preserve">Deviant Modernism: Sexual and textual </w:t>
      </w:r>
      <w:proofErr w:type="spellStart"/>
      <w:r>
        <w:rPr>
          <w:rFonts w:ascii="Verdana" w:hAnsi="Verdana" w:cs="Verdana"/>
          <w:i/>
          <w:iCs/>
          <w:sz w:val="18"/>
          <w:szCs w:val="18"/>
        </w:rPr>
        <w:t>errancy</w:t>
      </w:r>
      <w:proofErr w:type="spellEnd"/>
      <w:r>
        <w:rPr>
          <w:rFonts w:ascii="Verdana" w:hAnsi="Verdana" w:cs="Verdana"/>
          <w:i/>
          <w:iCs/>
          <w:sz w:val="18"/>
          <w:szCs w:val="18"/>
        </w:rPr>
        <w:t xml:space="preserve"> in T. S. Eliot, James Joyce and Marcel Proust, </w:t>
      </w:r>
      <w:r>
        <w:rPr>
          <w:rFonts w:ascii="Verdana" w:hAnsi="Verdana" w:cs="Verdana"/>
          <w:sz w:val="18"/>
          <w:szCs w:val="18"/>
        </w:rPr>
        <w:t>(Cambridge: Cambridge University Press, 1998)</w:t>
      </w:r>
    </w:p>
  </w:footnote>
  <w:footnote w:id="10">
    <w:p w:rsidR="003F2FA4" w:rsidRPr="003F2FA4" w:rsidRDefault="003F2FA4">
      <w:pPr>
        <w:pStyle w:val="FootnoteText"/>
        <w:rPr>
          <w:rFonts w:ascii="Verdana" w:hAnsi="Verdana" w:cs="Verdana"/>
          <w:sz w:val="18"/>
          <w:szCs w:val="18"/>
        </w:rPr>
      </w:pPr>
      <w:r>
        <w:rPr>
          <w:rStyle w:val="FootnoteReference"/>
        </w:rPr>
        <w:footnoteRef/>
      </w:r>
      <w:r>
        <w:t xml:space="preserve"> </w:t>
      </w:r>
      <w:r w:rsidRPr="002C648B">
        <w:rPr>
          <w:rFonts w:ascii="Verdana" w:hAnsi="Verdana"/>
          <w:sz w:val="18"/>
          <w:szCs w:val="18"/>
        </w:rPr>
        <w:t xml:space="preserve">Davidson, Harriet, </w:t>
      </w:r>
      <w:r w:rsidRPr="002C648B">
        <w:rPr>
          <w:rFonts w:ascii="Verdana" w:hAnsi="Verdana"/>
          <w:i/>
          <w:sz w:val="18"/>
          <w:szCs w:val="18"/>
        </w:rPr>
        <w:t xml:space="preserve">Improper Desire: reading The Waste Land </w:t>
      </w:r>
      <w:r w:rsidRPr="002C648B">
        <w:rPr>
          <w:rFonts w:ascii="Verdana" w:hAnsi="Verdana"/>
          <w:sz w:val="18"/>
          <w:szCs w:val="18"/>
        </w:rPr>
        <w:t>IN</w:t>
      </w:r>
      <w:r>
        <w:t xml:space="preserve"> </w:t>
      </w:r>
      <w:r>
        <w:rPr>
          <w:rFonts w:ascii="Verdana" w:hAnsi="Verdana" w:cs="Verdana"/>
          <w:sz w:val="18"/>
          <w:szCs w:val="18"/>
        </w:rPr>
        <w:t xml:space="preserve">Moody, A. D., </w:t>
      </w:r>
      <w:r>
        <w:rPr>
          <w:rFonts w:ascii="Verdana" w:hAnsi="Verdana" w:cs="Verdana"/>
          <w:i/>
          <w:iCs/>
          <w:sz w:val="18"/>
          <w:szCs w:val="18"/>
        </w:rPr>
        <w:t>The Cambridge Companion to T.S. Eliot</w:t>
      </w:r>
      <w:r>
        <w:rPr>
          <w:rFonts w:ascii="Verdana" w:hAnsi="Verdana" w:cs="Verdana"/>
          <w:sz w:val="18"/>
          <w:szCs w:val="18"/>
        </w:rPr>
        <w:t xml:space="preserve"> (Cambridge: Cambridge : Cambridge University Press, 1994), p. 12</w:t>
      </w:r>
      <w:r>
        <w:rPr>
          <w:rFonts w:ascii="Verdana" w:hAnsi="Verdana" w:cs="Verdana"/>
          <w:sz w:val="18"/>
          <w:szCs w:val="18"/>
        </w:rPr>
        <w:t>3</w:t>
      </w:r>
    </w:p>
  </w:footnote>
  <w:footnote w:id="11">
    <w:p w:rsidR="003F2FA4" w:rsidRDefault="003F2FA4">
      <w:pPr>
        <w:pStyle w:val="FootnoteText"/>
      </w:pPr>
      <w:r>
        <w:rPr>
          <w:rStyle w:val="FootnoteReference"/>
        </w:rPr>
        <w:footnoteRef/>
      </w:r>
      <w:r>
        <w:t xml:space="preserve"> </w:t>
      </w:r>
      <w:r>
        <w:rPr>
          <w:rFonts w:ascii="Verdana" w:hAnsi="Verdana" w:cs="Verdana"/>
          <w:sz w:val="18"/>
          <w:szCs w:val="18"/>
        </w:rPr>
        <w:t xml:space="preserve">Eliot, T. S., </w:t>
      </w:r>
      <w:r>
        <w:rPr>
          <w:rFonts w:ascii="Verdana" w:hAnsi="Verdana" w:cs="Verdana"/>
          <w:i/>
          <w:iCs/>
          <w:sz w:val="18"/>
          <w:szCs w:val="18"/>
        </w:rPr>
        <w:t>Collected Poems, 1909-1962</w:t>
      </w:r>
      <w:r>
        <w:rPr>
          <w:rFonts w:ascii="Verdana" w:hAnsi="Verdana" w:cs="Verdana"/>
          <w:sz w:val="18"/>
          <w:szCs w:val="18"/>
        </w:rPr>
        <w:t xml:space="preserve"> (London: Faber and Faber, 1974)</w:t>
      </w:r>
    </w:p>
  </w:footnote>
  <w:footnote w:id="12">
    <w:p w:rsidR="003F2FA4" w:rsidRPr="003F2FA4" w:rsidRDefault="003F2FA4" w:rsidP="003F2FA4">
      <w:pPr>
        <w:pStyle w:val="FootnoteText"/>
        <w:rPr>
          <w:rFonts w:ascii="Verdana" w:hAnsi="Verdana" w:cs="Verdana"/>
          <w:sz w:val="18"/>
          <w:szCs w:val="18"/>
        </w:rPr>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 Cambridge University Press, 2007), p. 133</w:t>
      </w:r>
    </w:p>
  </w:footnote>
  <w:footnote w:id="13">
    <w:p w:rsidR="003F2FA4" w:rsidRDefault="003F2FA4">
      <w:pPr>
        <w:pStyle w:val="FootnoteText"/>
      </w:pPr>
      <w:r>
        <w:rPr>
          <w:rStyle w:val="FootnoteReference"/>
        </w:rPr>
        <w:footnoteRef/>
      </w:r>
      <w:r>
        <w:t xml:space="preserve"> </w:t>
      </w:r>
      <w:r>
        <w:rPr>
          <w:rFonts w:ascii="Verdana" w:hAnsi="Verdana" w:cs="Verdana"/>
          <w:sz w:val="18"/>
          <w:szCs w:val="18"/>
        </w:rPr>
        <w:t xml:space="preserve">Eliot, T. S., </w:t>
      </w:r>
      <w:r>
        <w:rPr>
          <w:rFonts w:ascii="Verdana" w:hAnsi="Verdana" w:cs="Verdana"/>
          <w:i/>
          <w:iCs/>
          <w:sz w:val="18"/>
          <w:szCs w:val="18"/>
        </w:rPr>
        <w:t>Collected Poems, 1909-1962</w:t>
      </w:r>
      <w:r>
        <w:rPr>
          <w:rFonts w:ascii="Verdana" w:hAnsi="Verdana" w:cs="Verdana"/>
          <w:sz w:val="18"/>
          <w:szCs w:val="18"/>
        </w:rPr>
        <w:t xml:space="preserve"> (London: Faber and Faber, 1974)</w:t>
      </w:r>
      <w:r>
        <w:rPr>
          <w:rFonts w:ascii="Verdana" w:hAnsi="Verdana" w:cs="Verdana"/>
          <w:sz w:val="18"/>
          <w:szCs w:val="18"/>
        </w:rPr>
        <w:t>, p. 82</w:t>
      </w:r>
    </w:p>
  </w:footnote>
  <w:footnote w:id="14">
    <w:p w:rsidR="003F2FA4" w:rsidRDefault="003F2FA4">
      <w:pPr>
        <w:pStyle w:val="FootnoteText"/>
      </w:pPr>
      <w:r>
        <w:rPr>
          <w:rStyle w:val="FootnoteReference"/>
        </w:rPr>
        <w:footnoteRef/>
      </w:r>
      <w:r>
        <w:t xml:space="preserve"> Ibid, p. 71.</w:t>
      </w:r>
    </w:p>
  </w:footnote>
  <w:footnote w:id="15">
    <w:p w:rsidR="003F2FA4" w:rsidRDefault="003F2FA4">
      <w:pPr>
        <w:pStyle w:val="FootnoteText"/>
      </w:pPr>
      <w:r>
        <w:rPr>
          <w:rStyle w:val="FootnoteReference"/>
        </w:rPr>
        <w:footnoteRef/>
      </w:r>
      <w:r>
        <w:t xml:space="preserve"> Ibid, p. 82.</w:t>
      </w:r>
    </w:p>
  </w:footnote>
  <w:footnote w:id="16">
    <w:p w:rsidR="003F2FA4" w:rsidRPr="003F2FA4" w:rsidRDefault="003F2FA4">
      <w:pPr>
        <w:pStyle w:val="FootnoteText"/>
        <w:rPr>
          <w:rFonts w:ascii="Verdana" w:hAnsi="Verdana" w:cs="Verdana"/>
          <w:sz w:val="18"/>
          <w:szCs w:val="18"/>
        </w:rPr>
      </w:pPr>
      <w:r>
        <w:rPr>
          <w:rStyle w:val="FootnoteReference"/>
        </w:rPr>
        <w:footnoteRef/>
      </w:r>
      <w:r>
        <w:t xml:space="preserve"> </w:t>
      </w:r>
      <w:proofErr w:type="spellStart"/>
      <w:r>
        <w:t>Longenbach</w:t>
      </w:r>
      <w:proofErr w:type="spellEnd"/>
      <w:r>
        <w:t xml:space="preserve">, James, </w:t>
      </w:r>
      <w:r>
        <w:rPr>
          <w:i/>
        </w:rPr>
        <w:t xml:space="preserve">Modern </w:t>
      </w:r>
      <w:r w:rsidRPr="002C648B">
        <w:t>Poetry</w:t>
      </w:r>
      <w:r>
        <w:t xml:space="preserve"> IN </w:t>
      </w:r>
      <w:proofErr w:type="spellStart"/>
      <w:r w:rsidRPr="002C648B">
        <w:rPr>
          <w:rFonts w:ascii="Verdana" w:hAnsi="Verdana" w:cs="Verdana"/>
          <w:sz w:val="18"/>
          <w:szCs w:val="18"/>
        </w:rPr>
        <w:t>Levenson</w:t>
      </w:r>
      <w:proofErr w:type="spellEnd"/>
      <w:r>
        <w:rPr>
          <w:rFonts w:ascii="Verdana" w:hAnsi="Verdana" w:cs="Verdana"/>
          <w:sz w:val="18"/>
          <w:szCs w:val="18"/>
        </w:rPr>
        <w:t xml:space="preserve">, Michael H., </w:t>
      </w:r>
      <w:r>
        <w:rPr>
          <w:rFonts w:ascii="Verdana" w:hAnsi="Verdana" w:cs="Verdana"/>
          <w:i/>
          <w:iCs/>
          <w:sz w:val="18"/>
          <w:szCs w:val="18"/>
        </w:rPr>
        <w:t>The Cambridge Companion to Modernism</w:t>
      </w:r>
      <w:r>
        <w:rPr>
          <w:rFonts w:ascii="Verdana" w:hAnsi="Verdana" w:cs="Verdana"/>
          <w:sz w:val="18"/>
          <w:szCs w:val="18"/>
        </w:rPr>
        <w:t xml:space="preserve"> (Cambridge: Cambridge University Press, 1999), p. 1</w:t>
      </w:r>
      <w:r>
        <w:rPr>
          <w:rFonts w:ascii="Verdana" w:hAnsi="Verdana" w:cs="Verdana"/>
          <w:sz w:val="18"/>
          <w:szCs w:val="18"/>
        </w:rPr>
        <w:t>21</w:t>
      </w:r>
    </w:p>
  </w:footnote>
  <w:footnote w:id="17">
    <w:p w:rsidR="003F2FA4" w:rsidRDefault="003F2FA4">
      <w:pPr>
        <w:pStyle w:val="FootnoteText"/>
      </w:pPr>
      <w:r>
        <w:rPr>
          <w:rStyle w:val="FootnoteReference"/>
        </w:rPr>
        <w:footnoteRef/>
      </w:r>
      <w:r>
        <w:t xml:space="preserve"> </w:t>
      </w:r>
      <w:r>
        <w:rPr>
          <w:rFonts w:ascii="Verdana" w:hAnsi="Verdana" w:cs="Verdana"/>
          <w:sz w:val="18"/>
          <w:szCs w:val="18"/>
        </w:rPr>
        <w:t xml:space="preserve">Butler, Christopher, </w:t>
      </w:r>
      <w:r>
        <w:rPr>
          <w:rFonts w:ascii="Verdana" w:hAnsi="Verdana" w:cs="Verdana"/>
          <w:i/>
          <w:iCs/>
          <w:sz w:val="18"/>
          <w:szCs w:val="18"/>
        </w:rPr>
        <w:t>Modernism : A very Short Introduction</w:t>
      </w:r>
      <w:r>
        <w:rPr>
          <w:rFonts w:ascii="Verdana" w:hAnsi="Verdana" w:cs="Verdana"/>
          <w:sz w:val="18"/>
          <w:szCs w:val="18"/>
        </w:rPr>
        <w:t xml:space="preserve"> (Oxford; New York: Oxford University Press, 2010)</w:t>
      </w:r>
    </w:p>
  </w:footnote>
  <w:footnote w:id="18">
    <w:p w:rsidR="003F2FA4" w:rsidRDefault="003F2FA4">
      <w:pPr>
        <w:pStyle w:val="FootnoteText"/>
      </w:pPr>
      <w:r>
        <w:rPr>
          <w:rStyle w:val="FootnoteReference"/>
        </w:rPr>
        <w:footnoteRef/>
      </w:r>
      <w:r>
        <w:t xml:space="preserve"> </w:t>
      </w:r>
      <w:r w:rsidRPr="002C648B">
        <w:rPr>
          <w:rFonts w:ascii="Verdana" w:hAnsi="Verdana"/>
          <w:sz w:val="18"/>
          <w:szCs w:val="18"/>
        </w:rPr>
        <w:t xml:space="preserve">Davidson, Harriet, </w:t>
      </w:r>
      <w:r w:rsidRPr="002C648B">
        <w:rPr>
          <w:rFonts w:ascii="Verdana" w:hAnsi="Verdana"/>
          <w:i/>
          <w:sz w:val="18"/>
          <w:szCs w:val="18"/>
        </w:rPr>
        <w:t xml:space="preserve">Improper Desire: reading The Waste Land </w:t>
      </w:r>
      <w:r w:rsidRPr="002C648B">
        <w:rPr>
          <w:rFonts w:ascii="Verdana" w:hAnsi="Verdana"/>
          <w:sz w:val="18"/>
          <w:szCs w:val="18"/>
        </w:rPr>
        <w:t>IN</w:t>
      </w:r>
      <w:r>
        <w:t xml:space="preserve"> </w:t>
      </w:r>
      <w:r>
        <w:rPr>
          <w:rFonts w:ascii="Verdana" w:hAnsi="Verdana" w:cs="Verdana"/>
          <w:sz w:val="18"/>
          <w:szCs w:val="18"/>
        </w:rPr>
        <w:t xml:space="preserve">Moody, A. D., </w:t>
      </w:r>
      <w:r>
        <w:rPr>
          <w:rFonts w:ascii="Verdana" w:hAnsi="Verdana" w:cs="Verdana"/>
          <w:i/>
          <w:iCs/>
          <w:sz w:val="18"/>
          <w:szCs w:val="18"/>
        </w:rPr>
        <w:t>The Cambridge Companion to T.S. Eliot</w:t>
      </w:r>
      <w:r>
        <w:rPr>
          <w:rFonts w:ascii="Verdana" w:hAnsi="Verdana" w:cs="Verdana"/>
          <w:sz w:val="18"/>
          <w:szCs w:val="18"/>
        </w:rPr>
        <w:t xml:space="preserve"> (Cambridge: Cambridge : Cambridge University Press, 1994)</w:t>
      </w:r>
    </w:p>
  </w:footnote>
  <w:footnote w:id="19">
    <w:p w:rsidR="00570F96" w:rsidRDefault="00570F96">
      <w:pPr>
        <w:pStyle w:val="FootnoteText"/>
      </w:pPr>
      <w:r>
        <w:rPr>
          <w:rStyle w:val="FootnoteReference"/>
        </w:rPr>
        <w:footnoteRef/>
      </w:r>
      <w:r>
        <w:t xml:space="preserve"> </w:t>
      </w:r>
      <w:r>
        <w:rPr>
          <w:rFonts w:ascii="Verdana" w:hAnsi="Verdana" w:cs="Verdana"/>
          <w:sz w:val="18"/>
          <w:szCs w:val="18"/>
        </w:rPr>
        <w:t xml:space="preserve">Eliot, T. S., 'Tradition and the Individual Talent', </w:t>
      </w:r>
      <w:proofErr w:type="spellStart"/>
      <w:r>
        <w:rPr>
          <w:rFonts w:ascii="Verdana" w:hAnsi="Verdana" w:cs="Verdana"/>
          <w:i/>
          <w:iCs/>
          <w:sz w:val="18"/>
          <w:szCs w:val="18"/>
        </w:rPr>
        <w:t>Perspecta</w:t>
      </w:r>
      <w:proofErr w:type="spellEnd"/>
      <w:r>
        <w:rPr>
          <w:rFonts w:ascii="Verdana" w:hAnsi="Verdana" w:cs="Verdana"/>
          <w:i/>
          <w:iCs/>
          <w:sz w:val="18"/>
          <w:szCs w:val="18"/>
        </w:rPr>
        <w:t xml:space="preserve">, </w:t>
      </w:r>
      <w:r>
        <w:rPr>
          <w:rFonts w:ascii="Verdana" w:hAnsi="Verdana" w:cs="Verdana"/>
          <w:sz w:val="18"/>
          <w:szCs w:val="18"/>
        </w:rPr>
        <w:t>19 (1982), 36-42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D26" w:rsidRDefault="00224D26" w:rsidP="00224D26">
    <w:pPr>
      <w:pStyle w:val="Header"/>
      <w:jc w:val="right"/>
    </w:pPr>
    <w:r>
      <w:t>CSEN7012-1-2-1602111-Matthews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C6C"/>
    <w:rsid w:val="00023C00"/>
    <w:rsid w:val="000329C2"/>
    <w:rsid w:val="00045F19"/>
    <w:rsid w:val="00047F4F"/>
    <w:rsid w:val="000A7AC6"/>
    <w:rsid w:val="000E1B30"/>
    <w:rsid w:val="000E4BD2"/>
    <w:rsid w:val="00154D8C"/>
    <w:rsid w:val="00155989"/>
    <w:rsid w:val="00194A51"/>
    <w:rsid w:val="001A7F7E"/>
    <w:rsid w:val="001B5776"/>
    <w:rsid w:val="001C16AD"/>
    <w:rsid w:val="001D3A7D"/>
    <w:rsid w:val="00224D26"/>
    <w:rsid w:val="0025306E"/>
    <w:rsid w:val="00254869"/>
    <w:rsid w:val="002C648B"/>
    <w:rsid w:val="00311FA3"/>
    <w:rsid w:val="003408D0"/>
    <w:rsid w:val="00347A15"/>
    <w:rsid w:val="003A39C5"/>
    <w:rsid w:val="003A5FCC"/>
    <w:rsid w:val="003B5344"/>
    <w:rsid w:val="003F2FA4"/>
    <w:rsid w:val="00446A00"/>
    <w:rsid w:val="00457EF1"/>
    <w:rsid w:val="00486AAE"/>
    <w:rsid w:val="00491E76"/>
    <w:rsid w:val="0049242C"/>
    <w:rsid w:val="004B4195"/>
    <w:rsid w:val="004C5EFD"/>
    <w:rsid w:val="004D26B3"/>
    <w:rsid w:val="005001A1"/>
    <w:rsid w:val="00570F96"/>
    <w:rsid w:val="007C5136"/>
    <w:rsid w:val="00820AB0"/>
    <w:rsid w:val="0083058A"/>
    <w:rsid w:val="0088138E"/>
    <w:rsid w:val="008905EC"/>
    <w:rsid w:val="008B6C6C"/>
    <w:rsid w:val="008D17BC"/>
    <w:rsid w:val="008F029D"/>
    <w:rsid w:val="009443AC"/>
    <w:rsid w:val="0098310D"/>
    <w:rsid w:val="00992C55"/>
    <w:rsid w:val="00A67955"/>
    <w:rsid w:val="00B167C2"/>
    <w:rsid w:val="00B3269B"/>
    <w:rsid w:val="00B4053E"/>
    <w:rsid w:val="00BB157C"/>
    <w:rsid w:val="00F3168F"/>
    <w:rsid w:val="00F61E57"/>
    <w:rsid w:val="00FD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08457E1"/>
  <w14:defaultImageDpi w14:val="32767"/>
  <w15:chartTrackingRefBased/>
  <w15:docId w15:val="{E7D4956C-C90C-5B4A-A5A1-8D89FE8E2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C648B"/>
  </w:style>
  <w:style w:type="paragraph" w:styleId="Heading3">
    <w:name w:val="heading 3"/>
    <w:basedOn w:val="Normal"/>
    <w:link w:val="Heading3Char"/>
    <w:qFormat/>
    <w:rsid w:val="00224D26"/>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648B"/>
    <w:rPr>
      <w:sz w:val="20"/>
      <w:szCs w:val="20"/>
    </w:rPr>
  </w:style>
  <w:style w:type="character" w:customStyle="1" w:styleId="FootnoteTextChar">
    <w:name w:val="Footnote Text Char"/>
    <w:basedOn w:val="DefaultParagraphFont"/>
    <w:link w:val="FootnoteText"/>
    <w:uiPriority w:val="99"/>
    <w:semiHidden/>
    <w:rsid w:val="002C648B"/>
    <w:rPr>
      <w:sz w:val="20"/>
      <w:szCs w:val="20"/>
    </w:rPr>
  </w:style>
  <w:style w:type="character" w:styleId="FootnoteReference">
    <w:name w:val="footnote reference"/>
    <w:basedOn w:val="DefaultParagraphFont"/>
    <w:uiPriority w:val="99"/>
    <w:semiHidden/>
    <w:unhideWhenUsed/>
    <w:rsid w:val="002C648B"/>
    <w:rPr>
      <w:vertAlign w:val="superscript"/>
    </w:rPr>
  </w:style>
  <w:style w:type="character" w:customStyle="1" w:styleId="Heading3Char">
    <w:name w:val="Heading 3 Char"/>
    <w:basedOn w:val="DefaultParagraphFont"/>
    <w:link w:val="Heading3"/>
    <w:rsid w:val="00224D26"/>
    <w:rPr>
      <w:rFonts w:ascii="Tahoma" w:eastAsia="SimSun" w:hAnsi="Tahoma" w:cs="Tahoma"/>
      <w:b/>
      <w:bCs/>
      <w:sz w:val="20"/>
      <w:szCs w:val="20"/>
      <w:lang w:eastAsia="zh-CN"/>
    </w:rPr>
  </w:style>
  <w:style w:type="paragraph" w:styleId="NormalWeb">
    <w:name w:val="Normal (Web)"/>
    <w:basedOn w:val="Normal"/>
    <w:rsid w:val="00224D26"/>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224D26"/>
    <w:pPr>
      <w:tabs>
        <w:tab w:val="center" w:pos="4513"/>
        <w:tab w:val="right" w:pos="9026"/>
      </w:tabs>
    </w:pPr>
  </w:style>
  <w:style w:type="character" w:customStyle="1" w:styleId="HeaderChar">
    <w:name w:val="Header Char"/>
    <w:basedOn w:val="DefaultParagraphFont"/>
    <w:link w:val="Header"/>
    <w:uiPriority w:val="99"/>
    <w:rsid w:val="00224D26"/>
  </w:style>
  <w:style w:type="paragraph" w:styleId="Footer">
    <w:name w:val="footer"/>
    <w:basedOn w:val="Normal"/>
    <w:link w:val="FooterChar"/>
    <w:uiPriority w:val="99"/>
    <w:unhideWhenUsed/>
    <w:rsid w:val="00224D26"/>
    <w:pPr>
      <w:tabs>
        <w:tab w:val="center" w:pos="4513"/>
        <w:tab w:val="right" w:pos="9026"/>
      </w:tabs>
    </w:pPr>
  </w:style>
  <w:style w:type="character" w:customStyle="1" w:styleId="FooterChar">
    <w:name w:val="Footer Char"/>
    <w:basedOn w:val="DefaultParagraphFont"/>
    <w:link w:val="Footer"/>
    <w:uiPriority w:val="99"/>
    <w:rsid w:val="00224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1679</Words>
  <Characters>9185</Characters>
  <Application>Microsoft Office Word</Application>
  <DocSecurity>0</DocSecurity>
  <Lines>167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Matthews</dc:creator>
  <cp:keywords/>
  <dc:description/>
  <cp:lastModifiedBy>Ian Matthews</cp:lastModifiedBy>
  <cp:revision>3</cp:revision>
  <dcterms:created xsi:type="dcterms:W3CDTF">2018-04-02T12:18:00Z</dcterms:created>
  <dcterms:modified xsi:type="dcterms:W3CDTF">2018-04-02T12:20:00Z</dcterms:modified>
</cp:coreProperties>
</file>