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B4BD61" w14:textId="20CE606B" w:rsidR="00202E6E" w:rsidRDefault="00202E6E" w:rsidP="00202E6E">
      <w:pPr>
        <w:rPr>
          <w:rFonts w:ascii="Times New Roman" w:hAnsi="Times New Roman" w:cs="Times New Roman"/>
          <w:b/>
          <w:bCs/>
          <w:sz w:val="24"/>
          <w:szCs w:val="24"/>
        </w:rPr>
      </w:pPr>
    </w:p>
    <w:p w14:paraId="7C1B0479" w14:textId="77777777" w:rsidR="00202E6E" w:rsidRDefault="00202E6E" w:rsidP="00575986">
      <w:pPr>
        <w:jc w:val="center"/>
        <w:rPr>
          <w:rFonts w:ascii="Times New Roman" w:hAnsi="Times New Roman" w:cs="Times New Roman"/>
          <w:b/>
          <w:bCs/>
          <w:sz w:val="24"/>
          <w:szCs w:val="24"/>
        </w:rPr>
      </w:pPr>
    </w:p>
    <w:p w14:paraId="3387847A" w14:textId="77777777" w:rsidR="00202E6E" w:rsidRDefault="00202E6E" w:rsidP="00202E6E">
      <w:pPr>
        <w:spacing w:line="360" w:lineRule="auto"/>
        <w:jc w:val="center"/>
        <w:rPr>
          <w:rFonts w:ascii="Arial" w:hAnsi="Arial" w:cs="Arial"/>
          <w:b/>
          <w:bCs/>
          <w:sz w:val="36"/>
          <w:szCs w:val="36"/>
          <w:lang w:val="en-IN"/>
        </w:rPr>
      </w:pPr>
      <w:r>
        <w:rPr>
          <w:noProof/>
        </w:rPr>
        <w:drawing>
          <wp:inline distT="0" distB="0" distL="0" distR="0" wp14:anchorId="40C5E587" wp14:editId="03033002">
            <wp:extent cx="4412871" cy="1500350"/>
            <wp:effectExtent l="0" t="0" r="6985" b="5080"/>
            <wp:docPr id="1535304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t="18496" b="20190"/>
                    <a:stretch>
                      <a:fillRect/>
                    </a:stretch>
                  </pic:blipFill>
                  <pic:spPr bwMode="auto">
                    <a:xfrm>
                      <a:off x="0" y="0"/>
                      <a:ext cx="4426988" cy="1505150"/>
                    </a:xfrm>
                    <a:prstGeom prst="rect">
                      <a:avLst/>
                    </a:prstGeom>
                    <a:noFill/>
                    <a:ln>
                      <a:noFill/>
                    </a:ln>
                    <a:extLst>
                      <a:ext uri="{53640926-AAD7-44D8-BBD7-CCE9431645EC}">
                        <a14:shadowObscured xmlns:a14="http://schemas.microsoft.com/office/drawing/2010/main"/>
                      </a:ext>
                    </a:extLst>
                  </pic:spPr>
                </pic:pic>
              </a:graphicData>
            </a:graphic>
          </wp:inline>
        </w:drawing>
      </w:r>
    </w:p>
    <w:p w14:paraId="70F21329" w14:textId="77777777" w:rsidR="00202E6E" w:rsidRDefault="00202E6E" w:rsidP="00202E6E">
      <w:pPr>
        <w:spacing w:line="360" w:lineRule="auto"/>
        <w:jc w:val="center"/>
        <w:rPr>
          <w:rFonts w:ascii="Arial" w:hAnsi="Arial" w:cs="Arial"/>
          <w:b/>
          <w:bCs/>
          <w:sz w:val="36"/>
          <w:szCs w:val="36"/>
          <w:lang w:val="en-IN"/>
        </w:rPr>
      </w:pPr>
    </w:p>
    <w:p w14:paraId="11D5F9BE" w14:textId="77777777" w:rsidR="00202E6E" w:rsidRPr="00C62EAE" w:rsidRDefault="00202E6E" w:rsidP="00202E6E">
      <w:pPr>
        <w:spacing w:line="360" w:lineRule="auto"/>
        <w:jc w:val="center"/>
        <w:rPr>
          <w:rFonts w:ascii="Arial" w:hAnsi="Arial" w:cs="Arial"/>
          <w:b/>
          <w:bCs/>
          <w:sz w:val="40"/>
          <w:szCs w:val="40"/>
        </w:rPr>
      </w:pPr>
      <w:r w:rsidRPr="00C62EAE">
        <w:rPr>
          <w:rFonts w:ascii="Arial" w:hAnsi="Arial" w:cs="Arial"/>
          <w:b/>
          <w:bCs/>
          <w:sz w:val="40"/>
          <w:szCs w:val="40"/>
        </w:rPr>
        <w:t>Master of Business Administration</w:t>
      </w:r>
    </w:p>
    <w:p w14:paraId="58DAAC96" w14:textId="7A2D5819" w:rsidR="00202E6E" w:rsidRPr="00C62EAE" w:rsidRDefault="00202E6E" w:rsidP="00202E6E">
      <w:pPr>
        <w:spacing w:line="360" w:lineRule="auto"/>
        <w:jc w:val="center"/>
        <w:rPr>
          <w:rFonts w:ascii="Arial" w:hAnsi="Arial" w:cs="Arial"/>
          <w:b/>
          <w:bCs/>
          <w:sz w:val="40"/>
          <w:szCs w:val="40"/>
          <w:lang w:val="en-IN"/>
        </w:rPr>
      </w:pPr>
      <w:r w:rsidRPr="00202E6E">
        <w:rPr>
          <w:rFonts w:ascii="Arial" w:hAnsi="Arial" w:cs="Arial"/>
          <w:b/>
          <w:bCs/>
          <w:sz w:val="40"/>
          <w:szCs w:val="40"/>
        </w:rPr>
        <w:t xml:space="preserve">Financial Management </w:t>
      </w:r>
      <w:r w:rsidRPr="00C62EAE">
        <w:rPr>
          <w:rFonts w:ascii="Arial" w:hAnsi="Arial" w:cs="Arial"/>
          <w:b/>
          <w:bCs/>
          <w:sz w:val="40"/>
          <w:szCs w:val="40"/>
        </w:rPr>
        <w:t>-</w:t>
      </w:r>
      <w:r>
        <w:rPr>
          <w:rFonts w:ascii="Arial" w:hAnsi="Arial" w:cs="Arial"/>
          <w:b/>
          <w:bCs/>
          <w:sz w:val="40"/>
          <w:szCs w:val="40"/>
        </w:rPr>
        <w:t xml:space="preserve"> </w:t>
      </w:r>
      <w:r w:rsidRPr="00202E6E">
        <w:rPr>
          <w:rFonts w:ascii="Arial" w:hAnsi="Arial" w:cs="Arial"/>
          <w:b/>
          <w:bCs/>
          <w:sz w:val="40"/>
          <w:szCs w:val="40"/>
        </w:rPr>
        <w:t>LCMB7002</w:t>
      </w:r>
    </w:p>
    <w:p w14:paraId="581BEA08" w14:textId="77777777" w:rsidR="00202E6E" w:rsidRPr="00C62EAE" w:rsidRDefault="00202E6E" w:rsidP="00202E6E">
      <w:pPr>
        <w:spacing w:line="360" w:lineRule="auto"/>
        <w:jc w:val="center"/>
        <w:rPr>
          <w:rFonts w:ascii="Arial" w:hAnsi="Arial" w:cs="Arial"/>
          <w:b/>
          <w:bCs/>
          <w:sz w:val="40"/>
          <w:szCs w:val="40"/>
          <w:lang w:val="en-IN"/>
        </w:rPr>
      </w:pPr>
    </w:p>
    <w:p w14:paraId="653CC11C" w14:textId="2415CDD1" w:rsidR="00202E6E" w:rsidRDefault="00202E6E" w:rsidP="00202E6E">
      <w:pPr>
        <w:spacing w:line="360" w:lineRule="auto"/>
        <w:jc w:val="center"/>
        <w:rPr>
          <w:rFonts w:ascii="Arial" w:hAnsi="Arial" w:cs="Arial"/>
          <w:b/>
          <w:bCs/>
          <w:sz w:val="40"/>
          <w:szCs w:val="40"/>
          <w:lang w:val="en-IN"/>
        </w:rPr>
      </w:pPr>
      <w:r w:rsidRPr="00202E6E">
        <w:rPr>
          <w:rFonts w:ascii="Arial" w:hAnsi="Arial" w:cs="Arial"/>
          <w:b/>
          <w:bCs/>
          <w:sz w:val="40"/>
          <w:szCs w:val="40"/>
          <w:lang w:val="en-IN"/>
        </w:rPr>
        <w:t>Assessment component: Financial performance and management</w:t>
      </w:r>
    </w:p>
    <w:p w14:paraId="7636BCEE" w14:textId="77777777" w:rsidR="00202E6E" w:rsidRPr="00202E6E" w:rsidRDefault="00202E6E" w:rsidP="00202E6E">
      <w:pPr>
        <w:jc w:val="center"/>
        <w:rPr>
          <w:rFonts w:ascii="Times New Roman" w:hAnsi="Times New Roman" w:cs="Times New Roman"/>
          <w:b/>
          <w:bCs/>
          <w:sz w:val="36"/>
          <w:szCs w:val="36"/>
        </w:rPr>
      </w:pPr>
      <w:r w:rsidRPr="00202E6E">
        <w:rPr>
          <w:rFonts w:ascii="Times New Roman" w:hAnsi="Times New Roman" w:cs="Times New Roman"/>
          <w:b/>
          <w:bCs/>
          <w:sz w:val="36"/>
          <w:szCs w:val="36"/>
        </w:rPr>
        <w:t>Financial Performance and Investment Appraisal of BYD</w:t>
      </w:r>
    </w:p>
    <w:p w14:paraId="5797D0EB" w14:textId="77777777" w:rsidR="00202E6E" w:rsidRDefault="00202E6E" w:rsidP="00202E6E">
      <w:pPr>
        <w:spacing w:line="360" w:lineRule="auto"/>
        <w:jc w:val="center"/>
        <w:rPr>
          <w:rFonts w:ascii="Arial" w:hAnsi="Arial" w:cs="Arial"/>
          <w:b/>
          <w:bCs/>
          <w:sz w:val="40"/>
          <w:szCs w:val="40"/>
          <w:lang w:val="en-IN"/>
        </w:rPr>
      </w:pPr>
    </w:p>
    <w:p w14:paraId="66C92ACF" w14:textId="2660B5FD" w:rsidR="00202E6E" w:rsidRPr="00071F5B" w:rsidRDefault="00202E6E" w:rsidP="00202E6E">
      <w:pPr>
        <w:spacing w:line="360" w:lineRule="auto"/>
        <w:jc w:val="center"/>
        <w:rPr>
          <w:rFonts w:ascii="Arial" w:hAnsi="Arial" w:cs="Arial"/>
          <w:b/>
          <w:bCs/>
          <w:sz w:val="36"/>
          <w:szCs w:val="36"/>
          <w:lang w:val="en-IN"/>
        </w:rPr>
      </w:pPr>
      <w:r w:rsidRPr="00071F5B">
        <w:rPr>
          <w:rFonts w:ascii="Arial" w:hAnsi="Arial" w:cs="Arial"/>
          <w:b/>
          <w:bCs/>
          <w:sz w:val="36"/>
          <w:szCs w:val="36"/>
          <w:lang w:val="en-IN"/>
        </w:rPr>
        <w:t>Student Name: Raj Hirpara</w:t>
      </w:r>
    </w:p>
    <w:p w14:paraId="4E7C26A8" w14:textId="77777777" w:rsidR="00202E6E" w:rsidRDefault="00202E6E" w:rsidP="00202E6E">
      <w:pPr>
        <w:spacing w:line="360" w:lineRule="auto"/>
        <w:jc w:val="center"/>
        <w:rPr>
          <w:rFonts w:ascii="Arial" w:hAnsi="Arial" w:cs="Arial"/>
          <w:b/>
          <w:bCs/>
          <w:sz w:val="36"/>
          <w:szCs w:val="36"/>
          <w:lang w:val="en-IN"/>
        </w:rPr>
      </w:pPr>
      <w:r w:rsidRPr="00071F5B">
        <w:rPr>
          <w:rFonts w:ascii="Arial" w:hAnsi="Arial" w:cs="Arial"/>
          <w:b/>
          <w:bCs/>
          <w:sz w:val="36"/>
          <w:szCs w:val="36"/>
          <w:lang w:val="en-IN"/>
        </w:rPr>
        <w:t>Student ID: 2413602</w:t>
      </w:r>
    </w:p>
    <w:p w14:paraId="0BE3E49C" w14:textId="46EB4249" w:rsidR="00202E6E" w:rsidRDefault="00202E6E" w:rsidP="00202E6E">
      <w:pPr>
        <w:spacing w:line="360" w:lineRule="auto"/>
        <w:jc w:val="center"/>
        <w:rPr>
          <w:rFonts w:ascii="Arial" w:hAnsi="Arial" w:cs="Arial"/>
          <w:b/>
          <w:bCs/>
          <w:sz w:val="36"/>
          <w:szCs w:val="36"/>
        </w:rPr>
      </w:pPr>
      <w:r w:rsidRPr="00C62EAE">
        <w:rPr>
          <w:rFonts w:ascii="Arial" w:hAnsi="Arial" w:cs="Arial"/>
          <w:b/>
          <w:bCs/>
          <w:sz w:val="36"/>
          <w:szCs w:val="36"/>
        </w:rPr>
        <w:t>Lecturer:</w:t>
      </w:r>
      <w:r>
        <w:rPr>
          <w:rFonts w:ascii="Arial" w:hAnsi="Arial" w:cs="Arial"/>
          <w:b/>
          <w:bCs/>
          <w:sz w:val="36"/>
          <w:szCs w:val="36"/>
        </w:rPr>
        <w:t xml:space="preserve"> </w:t>
      </w:r>
      <w:proofErr w:type="spellStart"/>
      <w:r w:rsidRPr="00202E6E">
        <w:rPr>
          <w:rFonts w:ascii="Arial" w:hAnsi="Arial" w:cs="Arial"/>
          <w:b/>
          <w:bCs/>
          <w:sz w:val="36"/>
          <w:szCs w:val="36"/>
        </w:rPr>
        <w:t>Shengfeng</w:t>
      </w:r>
      <w:proofErr w:type="spellEnd"/>
      <w:r w:rsidRPr="00202E6E">
        <w:rPr>
          <w:rFonts w:ascii="Arial" w:hAnsi="Arial" w:cs="Arial"/>
          <w:b/>
          <w:bCs/>
          <w:sz w:val="36"/>
          <w:szCs w:val="36"/>
        </w:rPr>
        <w:t xml:space="preserve"> Mei </w:t>
      </w:r>
      <w:r>
        <w:rPr>
          <w:rFonts w:ascii="Arial" w:hAnsi="Arial" w:cs="Arial"/>
          <w:b/>
          <w:bCs/>
          <w:sz w:val="36"/>
          <w:szCs w:val="36"/>
        </w:rPr>
        <w:t xml:space="preserve">and </w:t>
      </w:r>
      <w:r w:rsidRPr="00202E6E">
        <w:rPr>
          <w:rFonts w:ascii="Arial" w:hAnsi="Arial" w:cs="Arial"/>
          <w:b/>
          <w:bCs/>
          <w:sz w:val="36"/>
          <w:szCs w:val="36"/>
        </w:rPr>
        <w:t>Patrick Yeboah</w:t>
      </w:r>
    </w:p>
    <w:p w14:paraId="4FC3B265" w14:textId="7DD1FE70" w:rsidR="00946425" w:rsidRPr="00F21372" w:rsidRDefault="00946425" w:rsidP="00575986">
      <w:pPr>
        <w:jc w:val="center"/>
        <w:rPr>
          <w:rFonts w:ascii="Times New Roman" w:hAnsi="Times New Roman" w:cs="Times New Roman"/>
          <w:b/>
          <w:bCs/>
          <w:sz w:val="24"/>
          <w:szCs w:val="24"/>
        </w:rPr>
      </w:pPr>
      <w:r w:rsidRPr="00F21372">
        <w:rPr>
          <w:rFonts w:ascii="Times New Roman" w:hAnsi="Times New Roman" w:cs="Times New Roman"/>
          <w:b/>
          <w:bCs/>
          <w:sz w:val="24"/>
          <w:szCs w:val="24"/>
        </w:rPr>
        <w:br w:type="page"/>
      </w:r>
    </w:p>
    <w:sdt>
      <w:sdtPr>
        <w:rPr>
          <w:rFonts w:asciiTheme="minorHAnsi" w:eastAsiaTheme="minorHAnsi" w:hAnsiTheme="minorHAnsi" w:cstheme="minorBidi"/>
          <w:color w:val="auto"/>
          <w:kern w:val="2"/>
          <w:sz w:val="22"/>
          <w:szCs w:val="22"/>
          <w:lang w:val="en-GB"/>
          <w14:ligatures w14:val="standardContextual"/>
        </w:rPr>
        <w:id w:val="-1941361437"/>
        <w:docPartObj>
          <w:docPartGallery w:val="Table of Contents"/>
          <w:docPartUnique/>
        </w:docPartObj>
      </w:sdtPr>
      <w:sdtEndPr>
        <w:rPr>
          <w:b/>
          <w:bCs/>
          <w:noProof/>
        </w:rPr>
      </w:sdtEndPr>
      <w:sdtContent>
        <w:p w14:paraId="3E145F90" w14:textId="178906BD" w:rsidR="00946425" w:rsidRPr="00946425" w:rsidRDefault="00946425">
          <w:pPr>
            <w:pStyle w:val="TOCHeading"/>
            <w:rPr>
              <w:rFonts w:ascii="Times New Roman" w:hAnsi="Times New Roman" w:cs="Times New Roman"/>
              <w:sz w:val="24"/>
              <w:szCs w:val="24"/>
            </w:rPr>
          </w:pPr>
          <w:r w:rsidRPr="00946425">
            <w:rPr>
              <w:rFonts w:ascii="Times New Roman" w:hAnsi="Times New Roman" w:cs="Times New Roman"/>
              <w:sz w:val="24"/>
              <w:szCs w:val="24"/>
            </w:rPr>
            <w:t>Table of Contents</w:t>
          </w:r>
        </w:p>
        <w:p w14:paraId="5D34BBD0" w14:textId="03FA6595" w:rsidR="00946425" w:rsidRPr="00946425" w:rsidRDefault="00946425">
          <w:pPr>
            <w:pStyle w:val="TOC1"/>
            <w:tabs>
              <w:tab w:val="right" w:leader="dot" w:pos="9350"/>
            </w:tabs>
            <w:rPr>
              <w:rFonts w:ascii="Times New Roman" w:hAnsi="Times New Roman" w:cs="Times New Roman"/>
              <w:noProof/>
              <w:sz w:val="24"/>
              <w:szCs w:val="24"/>
            </w:rPr>
          </w:pPr>
          <w:r w:rsidRPr="00946425">
            <w:rPr>
              <w:rFonts w:ascii="Times New Roman" w:hAnsi="Times New Roman" w:cs="Times New Roman"/>
              <w:sz w:val="24"/>
              <w:szCs w:val="24"/>
            </w:rPr>
            <w:fldChar w:fldCharType="begin"/>
          </w:r>
          <w:r w:rsidRPr="00946425">
            <w:rPr>
              <w:rFonts w:ascii="Times New Roman" w:hAnsi="Times New Roman" w:cs="Times New Roman"/>
              <w:sz w:val="24"/>
              <w:szCs w:val="24"/>
            </w:rPr>
            <w:instrText xml:space="preserve"> TOC \o "1-3" \h \z \u </w:instrText>
          </w:r>
          <w:r w:rsidRPr="00946425">
            <w:rPr>
              <w:rFonts w:ascii="Times New Roman" w:hAnsi="Times New Roman" w:cs="Times New Roman"/>
              <w:sz w:val="24"/>
              <w:szCs w:val="24"/>
            </w:rPr>
            <w:fldChar w:fldCharType="separate"/>
          </w:r>
          <w:hyperlink w:anchor="_Toc227884437" w:history="1">
            <w:r w:rsidRPr="00946425">
              <w:rPr>
                <w:rStyle w:val="Hyperlink"/>
                <w:rFonts w:ascii="Times New Roman" w:hAnsi="Times New Roman" w:cs="Times New Roman"/>
                <w:noProof/>
                <w:sz w:val="24"/>
                <w:szCs w:val="24"/>
              </w:rPr>
              <w:t>1. Introduction</w:t>
            </w:r>
            <w:r w:rsidRPr="00946425">
              <w:rPr>
                <w:rFonts w:ascii="Times New Roman" w:hAnsi="Times New Roman" w:cs="Times New Roman"/>
                <w:noProof/>
                <w:webHidden/>
                <w:sz w:val="24"/>
                <w:szCs w:val="24"/>
              </w:rPr>
              <w:tab/>
            </w:r>
            <w:r w:rsidRPr="00946425">
              <w:rPr>
                <w:rFonts w:ascii="Times New Roman" w:hAnsi="Times New Roman" w:cs="Times New Roman"/>
                <w:noProof/>
                <w:webHidden/>
                <w:sz w:val="24"/>
                <w:szCs w:val="24"/>
              </w:rPr>
              <w:fldChar w:fldCharType="begin"/>
            </w:r>
            <w:r w:rsidRPr="00946425">
              <w:rPr>
                <w:rFonts w:ascii="Times New Roman" w:hAnsi="Times New Roman" w:cs="Times New Roman"/>
                <w:noProof/>
                <w:webHidden/>
                <w:sz w:val="24"/>
                <w:szCs w:val="24"/>
              </w:rPr>
              <w:instrText xml:space="preserve"> PAGEREF _Toc227884437 \h </w:instrText>
            </w:r>
            <w:r w:rsidRPr="00946425">
              <w:rPr>
                <w:rFonts w:ascii="Times New Roman" w:hAnsi="Times New Roman" w:cs="Times New Roman"/>
                <w:noProof/>
                <w:webHidden/>
                <w:sz w:val="24"/>
                <w:szCs w:val="24"/>
              </w:rPr>
            </w:r>
            <w:r w:rsidRPr="00946425">
              <w:rPr>
                <w:rFonts w:ascii="Times New Roman" w:hAnsi="Times New Roman" w:cs="Times New Roman"/>
                <w:noProof/>
                <w:webHidden/>
                <w:sz w:val="24"/>
                <w:szCs w:val="24"/>
              </w:rPr>
              <w:fldChar w:fldCharType="separate"/>
            </w:r>
            <w:r w:rsidRPr="00946425">
              <w:rPr>
                <w:rFonts w:ascii="Times New Roman" w:hAnsi="Times New Roman" w:cs="Times New Roman"/>
                <w:noProof/>
                <w:webHidden/>
                <w:sz w:val="24"/>
                <w:szCs w:val="24"/>
              </w:rPr>
              <w:t>3</w:t>
            </w:r>
            <w:r w:rsidRPr="00946425">
              <w:rPr>
                <w:rFonts w:ascii="Times New Roman" w:hAnsi="Times New Roman" w:cs="Times New Roman"/>
                <w:noProof/>
                <w:webHidden/>
                <w:sz w:val="24"/>
                <w:szCs w:val="24"/>
              </w:rPr>
              <w:fldChar w:fldCharType="end"/>
            </w:r>
          </w:hyperlink>
        </w:p>
        <w:p w14:paraId="4B160D47" w14:textId="7EE9FCCF" w:rsidR="00946425" w:rsidRPr="00946425" w:rsidRDefault="00000000">
          <w:pPr>
            <w:pStyle w:val="TOC2"/>
            <w:tabs>
              <w:tab w:val="right" w:leader="dot" w:pos="9350"/>
            </w:tabs>
            <w:rPr>
              <w:rFonts w:ascii="Times New Roman" w:hAnsi="Times New Roman" w:cs="Times New Roman"/>
              <w:noProof/>
              <w:sz w:val="24"/>
              <w:szCs w:val="24"/>
            </w:rPr>
          </w:pPr>
          <w:hyperlink w:anchor="_Toc227884438" w:history="1">
            <w:r w:rsidR="00946425" w:rsidRPr="00946425">
              <w:rPr>
                <w:rStyle w:val="Hyperlink"/>
                <w:rFonts w:ascii="Times New Roman" w:hAnsi="Times New Roman" w:cs="Times New Roman"/>
                <w:noProof/>
                <w:sz w:val="24"/>
                <w:szCs w:val="24"/>
              </w:rPr>
              <w:t>1.1 Background to BYD Company</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_Toc227884438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3</w:t>
            </w:r>
            <w:r w:rsidR="00946425" w:rsidRPr="00946425">
              <w:rPr>
                <w:rFonts w:ascii="Times New Roman" w:hAnsi="Times New Roman" w:cs="Times New Roman"/>
                <w:noProof/>
                <w:webHidden/>
                <w:sz w:val="24"/>
                <w:szCs w:val="24"/>
              </w:rPr>
              <w:fldChar w:fldCharType="end"/>
            </w:r>
          </w:hyperlink>
        </w:p>
        <w:p w14:paraId="28083A28" w14:textId="6961C7C5" w:rsidR="00946425" w:rsidRPr="00946425" w:rsidRDefault="00000000">
          <w:pPr>
            <w:pStyle w:val="TOC2"/>
            <w:tabs>
              <w:tab w:val="right" w:leader="dot" w:pos="9350"/>
            </w:tabs>
            <w:rPr>
              <w:rFonts w:ascii="Times New Roman" w:hAnsi="Times New Roman" w:cs="Times New Roman"/>
              <w:noProof/>
              <w:sz w:val="24"/>
              <w:szCs w:val="24"/>
            </w:rPr>
          </w:pPr>
          <w:hyperlink w:anchor="_Toc227884439" w:history="1">
            <w:r w:rsidR="00946425" w:rsidRPr="00946425">
              <w:rPr>
                <w:rStyle w:val="Hyperlink"/>
                <w:rFonts w:ascii="Times New Roman" w:hAnsi="Times New Roman" w:cs="Times New Roman"/>
                <w:noProof/>
                <w:sz w:val="24"/>
                <w:szCs w:val="24"/>
              </w:rPr>
              <w:t>1.2 Purpose of the Report</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_Toc227884439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3</w:t>
            </w:r>
            <w:r w:rsidR="00946425" w:rsidRPr="00946425">
              <w:rPr>
                <w:rFonts w:ascii="Times New Roman" w:hAnsi="Times New Roman" w:cs="Times New Roman"/>
                <w:noProof/>
                <w:webHidden/>
                <w:sz w:val="24"/>
                <w:szCs w:val="24"/>
              </w:rPr>
              <w:fldChar w:fldCharType="end"/>
            </w:r>
          </w:hyperlink>
        </w:p>
        <w:p w14:paraId="5EABD072" w14:textId="2CD4CC3A" w:rsidR="00946425" w:rsidRPr="00946425" w:rsidRDefault="00000000">
          <w:pPr>
            <w:pStyle w:val="TOC2"/>
            <w:tabs>
              <w:tab w:val="right" w:leader="dot" w:pos="9350"/>
            </w:tabs>
            <w:rPr>
              <w:rFonts w:ascii="Times New Roman" w:hAnsi="Times New Roman" w:cs="Times New Roman"/>
              <w:noProof/>
              <w:sz w:val="24"/>
              <w:szCs w:val="24"/>
            </w:rPr>
          </w:pPr>
          <w:hyperlink w:anchor="_Toc227884440" w:history="1">
            <w:r w:rsidR="00946425" w:rsidRPr="00946425">
              <w:rPr>
                <w:rStyle w:val="Hyperlink"/>
                <w:rFonts w:ascii="Times New Roman" w:hAnsi="Times New Roman" w:cs="Times New Roman"/>
                <w:noProof/>
                <w:sz w:val="24"/>
                <w:szCs w:val="24"/>
              </w:rPr>
              <w:t>1.3 Report Structure</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_Toc227884440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3</w:t>
            </w:r>
            <w:r w:rsidR="00946425" w:rsidRPr="00946425">
              <w:rPr>
                <w:rFonts w:ascii="Times New Roman" w:hAnsi="Times New Roman" w:cs="Times New Roman"/>
                <w:noProof/>
                <w:webHidden/>
                <w:sz w:val="24"/>
                <w:szCs w:val="24"/>
              </w:rPr>
              <w:fldChar w:fldCharType="end"/>
            </w:r>
          </w:hyperlink>
        </w:p>
        <w:p w14:paraId="00687CEF" w14:textId="24859D75" w:rsidR="00946425" w:rsidRPr="00946425" w:rsidRDefault="00000000">
          <w:pPr>
            <w:pStyle w:val="TOC1"/>
            <w:tabs>
              <w:tab w:val="right" w:leader="dot" w:pos="9350"/>
            </w:tabs>
            <w:rPr>
              <w:rFonts w:ascii="Times New Roman" w:hAnsi="Times New Roman" w:cs="Times New Roman"/>
              <w:noProof/>
              <w:sz w:val="24"/>
              <w:szCs w:val="24"/>
            </w:rPr>
          </w:pPr>
          <w:hyperlink w:anchor="_Toc227884441" w:history="1">
            <w:r w:rsidR="00946425" w:rsidRPr="00946425">
              <w:rPr>
                <w:rStyle w:val="Hyperlink"/>
                <w:rFonts w:ascii="Times New Roman" w:hAnsi="Times New Roman" w:cs="Times New Roman"/>
                <w:noProof/>
                <w:sz w:val="24"/>
                <w:szCs w:val="24"/>
              </w:rPr>
              <w:t>2. Financial Health Check</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_Toc227884441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4</w:t>
            </w:r>
            <w:r w:rsidR="00946425" w:rsidRPr="00946425">
              <w:rPr>
                <w:rFonts w:ascii="Times New Roman" w:hAnsi="Times New Roman" w:cs="Times New Roman"/>
                <w:noProof/>
                <w:webHidden/>
                <w:sz w:val="24"/>
                <w:szCs w:val="24"/>
              </w:rPr>
              <w:fldChar w:fldCharType="end"/>
            </w:r>
          </w:hyperlink>
        </w:p>
        <w:p w14:paraId="438D964B" w14:textId="6BDFE7E1" w:rsidR="00946425" w:rsidRPr="00946425" w:rsidRDefault="00000000">
          <w:pPr>
            <w:pStyle w:val="TOC2"/>
            <w:tabs>
              <w:tab w:val="right" w:leader="dot" w:pos="9350"/>
            </w:tabs>
            <w:rPr>
              <w:rFonts w:ascii="Times New Roman" w:hAnsi="Times New Roman" w:cs="Times New Roman"/>
              <w:noProof/>
              <w:sz w:val="24"/>
              <w:szCs w:val="24"/>
            </w:rPr>
          </w:pPr>
          <w:hyperlink w:anchor="_Toc227884442" w:history="1">
            <w:r w:rsidR="00946425" w:rsidRPr="00946425">
              <w:rPr>
                <w:rStyle w:val="Hyperlink"/>
                <w:rFonts w:ascii="Times New Roman" w:hAnsi="Times New Roman" w:cs="Times New Roman"/>
                <w:noProof/>
                <w:sz w:val="24"/>
                <w:szCs w:val="24"/>
              </w:rPr>
              <w:t>2.1 Overview of Financial Performance</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_Toc227884442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4</w:t>
            </w:r>
            <w:r w:rsidR="00946425" w:rsidRPr="00946425">
              <w:rPr>
                <w:rFonts w:ascii="Times New Roman" w:hAnsi="Times New Roman" w:cs="Times New Roman"/>
                <w:noProof/>
                <w:webHidden/>
                <w:sz w:val="24"/>
                <w:szCs w:val="24"/>
              </w:rPr>
              <w:fldChar w:fldCharType="end"/>
            </w:r>
          </w:hyperlink>
        </w:p>
        <w:p w14:paraId="29CBA14D" w14:textId="43B0890A" w:rsidR="00946425" w:rsidRPr="00946425" w:rsidRDefault="00000000">
          <w:pPr>
            <w:pStyle w:val="TOC2"/>
            <w:tabs>
              <w:tab w:val="right" w:leader="dot" w:pos="9350"/>
            </w:tabs>
            <w:rPr>
              <w:rFonts w:ascii="Times New Roman" w:hAnsi="Times New Roman" w:cs="Times New Roman"/>
              <w:noProof/>
              <w:sz w:val="24"/>
              <w:szCs w:val="24"/>
            </w:rPr>
          </w:pPr>
          <w:hyperlink w:anchor="_Toc227884443" w:history="1">
            <w:r w:rsidR="00946425" w:rsidRPr="00946425">
              <w:rPr>
                <w:rStyle w:val="Hyperlink"/>
                <w:rFonts w:ascii="Times New Roman" w:hAnsi="Times New Roman" w:cs="Times New Roman"/>
                <w:noProof/>
                <w:sz w:val="24"/>
                <w:szCs w:val="24"/>
              </w:rPr>
              <w:t>2.2 Profitability Ratio Analysis</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_Toc227884443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4</w:t>
            </w:r>
            <w:r w:rsidR="00946425" w:rsidRPr="00946425">
              <w:rPr>
                <w:rFonts w:ascii="Times New Roman" w:hAnsi="Times New Roman" w:cs="Times New Roman"/>
                <w:noProof/>
                <w:webHidden/>
                <w:sz w:val="24"/>
                <w:szCs w:val="24"/>
              </w:rPr>
              <w:fldChar w:fldCharType="end"/>
            </w:r>
          </w:hyperlink>
        </w:p>
        <w:p w14:paraId="03F7D7F9" w14:textId="4209BC9B" w:rsidR="00946425" w:rsidRPr="00946425" w:rsidRDefault="00000000">
          <w:pPr>
            <w:pStyle w:val="TOC2"/>
            <w:tabs>
              <w:tab w:val="right" w:leader="dot" w:pos="9350"/>
            </w:tabs>
            <w:rPr>
              <w:rFonts w:ascii="Times New Roman" w:hAnsi="Times New Roman" w:cs="Times New Roman"/>
              <w:noProof/>
              <w:sz w:val="24"/>
              <w:szCs w:val="24"/>
            </w:rPr>
          </w:pPr>
          <w:hyperlink w:anchor="_Toc227884444" w:history="1">
            <w:r w:rsidR="00946425" w:rsidRPr="00946425">
              <w:rPr>
                <w:rStyle w:val="Hyperlink"/>
                <w:rFonts w:ascii="Times New Roman" w:hAnsi="Times New Roman" w:cs="Times New Roman"/>
                <w:noProof/>
                <w:sz w:val="24"/>
                <w:szCs w:val="24"/>
              </w:rPr>
              <w:t>2.3 Liquidity Ratio Analysis</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_Toc227884444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5</w:t>
            </w:r>
            <w:r w:rsidR="00946425" w:rsidRPr="00946425">
              <w:rPr>
                <w:rFonts w:ascii="Times New Roman" w:hAnsi="Times New Roman" w:cs="Times New Roman"/>
                <w:noProof/>
                <w:webHidden/>
                <w:sz w:val="24"/>
                <w:szCs w:val="24"/>
              </w:rPr>
              <w:fldChar w:fldCharType="end"/>
            </w:r>
          </w:hyperlink>
        </w:p>
        <w:p w14:paraId="56252C7E" w14:textId="1C7A274D" w:rsidR="00946425" w:rsidRPr="00946425" w:rsidRDefault="00000000">
          <w:pPr>
            <w:pStyle w:val="TOC2"/>
            <w:tabs>
              <w:tab w:val="right" w:leader="dot" w:pos="9350"/>
            </w:tabs>
            <w:rPr>
              <w:rFonts w:ascii="Times New Roman" w:hAnsi="Times New Roman" w:cs="Times New Roman"/>
              <w:noProof/>
              <w:sz w:val="24"/>
              <w:szCs w:val="24"/>
            </w:rPr>
          </w:pPr>
          <w:hyperlink w:anchor="_Toc227884445" w:history="1">
            <w:r w:rsidR="00946425" w:rsidRPr="00946425">
              <w:rPr>
                <w:rStyle w:val="Hyperlink"/>
                <w:rFonts w:ascii="Times New Roman" w:hAnsi="Times New Roman" w:cs="Times New Roman"/>
                <w:noProof/>
                <w:sz w:val="24"/>
                <w:szCs w:val="24"/>
              </w:rPr>
              <w:t>2.4 Efficiency Ratio Analysis</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_Toc227884445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5</w:t>
            </w:r>
            <w:r w:rsidR="00946425" w:rsidRPr="00946425">
              <w:rPr>
                <w:rFonts w:ascii="Times New Roman" w:hAnsi="Times New Roman" w:cs="Times New Roman"/>
                <w:noProof/>
                <w:webHidden/>
                <w:sz w:val="24"/>
                <w:szCs w:val="24"/>
              </w:rPr>
              <w:fldChar w:fldCharType="end"/>
            </w:r>
          </w:hyperlink>
        </w:p>
        <w:p w14:paraId="6B28D116" w14:textId="33F5042D" w:rsidR="00946425" w:rsidRPr="00946425" w:rsidRDefault="00000000">
          <w:pPr>
            <w:pStyle w:val="TOC2"/>
            <w:tabs>
              <w:tab w:val="right" w:leader="dot" w:pos="9350"/>
            </w:tabs>
            <w:rPr>
              <w:rFonts w:ascii="Times New Roman" w:hAnsi="Times New Roman" w:cs="Times New Roman"/>
              <w:noProof/>
              <w:sz w:val="24"/>
              <w:szCs w:val="24"/>
            </w:rPr>
          </w:pPr>
          <w:hyperlink w:anchor="_Toc227884446" w:history="1">
            <w:r w:rsidR="00946425" w:rsidRPr="00946425">
              <w:rPr>
                <w:rStyle w:val="Hyperlink"/>
                <w:rFonts w:ascii="Times New Roman" w:hAnsi="Times New Roman" w:cs="Times New Roman"/>
                <w:noProof/>
                <w:sz w:val="24"/>
                <w:szCs w:val="24"/>
              </w:rPr>
              <w:t>2.5 Gearing and Solvency Analysis</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_Toc227884446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6</w:t>
            </w:r>
            <w:r w:rsidR="00946425" w:rsidRPr="00946425">
              <w:rPr>
                <w:rFonts w:ascii="Times New Roman" w:hAnsi="Times New Roman" w:cs="Times New Roman"/>
                <w:noProof/>
                <w:webHidden/>
                <w:sz w:val="24"/>
                <w:szCs w:val="24"/>
              </w:rPr>
              <w:fldChar w:fldCharType="end"/>
            </w:r>
          </w:hyperlink>
        </w:p>
        <w:p w14:paraId="17EA27BD" w14:textId="056F7B1B" w:rsidR="00946425" w:rsidRPr="00946425" w:rsidRDefault="00000000">
          <w:pPr>
            <w:pStyle w:val="TOC2"/>
            <w:tabs>
              <w:tab w:val="right" w:leader="dot" w:pos="9350"/>
            </w:tabs>
            <w:rPr>
              <w:rFonts w:ascii="Times New Roman" w:hAnsi="Times New Roman" w:cs="Times New Roman"/>
              <w:noProof/>
              <w:sz w:val="24"/>
              <w:szCs w:val="24"/>
            </w:rPr>
          </w:pPr>
          <w:hyperlink w:anchor="_Toc227884447" w:history="1">
            <w:r w:rsidR="00946425" w:rsidRPr="00946425">
              <w:rPr>
                <w:rStyle w:val="Hyperlink"/>
                <w:rFonts w:ascii="Times New Roman" w:hAnsi="Times New Roman" w:cs="Times New Roman"/>
                <w:noProof/>
                <w:sz w:val="24"/>
                <w:szCs w:val="24"/>
              </w:rPr>
              <w:t>2.6 Investment and Cash Flow Analysis</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_Toc227884447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6</w:t>
            </w:r>
            <w:r w:rsidR="00946425" w:rsidRPr="00946425">
              <w:rPr>
                <w:rFonts w:ascii="Times New Roman" w:hAnsi="Times New Roman" w:cs="Times New Roman"/>
                <w:noProof/>
                <w:webHidden/>
                <w:sz w:val="24"/>
                <w:szCs w:val="24"/>
              </w:rPr>
              <w:fldChar w:fldCharType="end"/>
            </w:r>
          </w:hyperlink>
        </w:p>
        <w:p w14:paraId="0D03431F" w14:textId="41E6AED3" w:rsidR="00946425" w:rsidRPr="00946425" w:rsidRDefault="00000000">
          <w:pPr>
            <w:pStyle w:val="TOC1"/>
            <w:tabs>
              <w:tab w:val="right" w:leader="dot" w:pos="9350"/>
            </w:tabs>
            <w:rPr>
              <w:rFonts w:ascii="Times New Roman" w:hAnsi="Times New Roman" w:cs="Times New Roman"/>
              <w:noProof/>
              <w:sz w:val="24"/>
              <w:szCs w:val="24"/>
            </w:rPr>
          </w:pPr>
          <w:hyperlink w:anchor="_Toc227884448" w:history="1">
            <w:r w:rsidR="00946425" w:rsidRPr="00946425">
              <w:rPr>
                <w:rStyle w:val="Hyperlink"/>
                <w:rFonts w:ascii="Times New Roman" w:hAnsi="Times New Roman" w:cs="Times New Roman"/>
                <w:noProof/>
                <w:sz w:val="24"/>
                <w:szCs w:val="24"/>
              </w:rPr>
              <w:t>3. Working Capital Management Analysis</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_Toc227884448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8</w:t>
            </w:r>
            <w:r w:rsidR="00946425" w:rsidRPr="00946425">
              <w:rPr>
                <w:rFonts w:ascii="Times New Roman" w:hAnsi="Times New Roman" w:cs="Times New Roman"/>
                <w:noProof/>
                <w:webHidden/>
                <w:sz w:val="24"/>
                <w:szCs w:val="24"/>
              </w:rPr>
              <w:fldChar w:fldCharType="end"/>
            </w:r>
          </w:hyperlink>
        </w:p>
        <w:p w14:paraId="5132BE59" w14:textId="7172978A" w:rsidR="00946425" w:rsidRPr="00946425" w:rsidRDefault="00000000">
          <w:pPr>
            <w:pStyle w:val="TOC2"/>
            <w:tabs>
              <w:tab w:val="right" w:leader="dot" w:pos="9350"/>
            </w:tabs>
            <w:rPr>
              <w:rFonts w:ascii="Times New Roman" w:hAnsi="Times New Roman" w:cs="Times New Roman"/>
              <w:noProof/>
              <w:sz w:val="24"/>
              <w:szCs w:val="24"/>
            </w:rPr>
          </w:pPr>
          <w:hyperlink w:anchor="_Toc227884449" w:history="1">
            <w:r w:rsidR="00946425" w:rsidRPr="00946425">
              <w:rPr>
                <w:rStyle w:val="Hyperlink"/>
                <w:rFonts w:ascii="Times New Roman" w:hAnsi="Times New Roman" w:cs="Times New Roman"/>
                <w:noProof/>
                <w:sz w:val="24"/>
                <w:szCs w:val="24"/>
              </w:rPr>
              <w:t>3.1 Working Capital Position</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_Toc227884449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8</w:t>
            </w:r>
            <w:r w:rsidR="00946425" w:rsidRPr="00946425">
              <w:rPr>
                <w:rFonts w:ascii="Times New Roman" w:hAnsi="Times New Roman" w:cs="Times New Roman"/>
                <w:noProof/>
                <w:webHidden/>
                <w:sz w:val="24"/>
                <w:szCs w:val="24"/>
              </w:rPr>
              <w:fldChar w:fldCharType="end"/>
            </w:r>
          </w:hyperlink>
        </w:p>
        <w:p w14:paraId="22BD3E1E" w14:textId="49DFEDF6" w:rsidR="00946425" w:rsidRPr="00946425" w:rsidRDefault="00000000">
          <w:pPr>
            <w:pStyle w:val="TOC2"/>
            <w:tabs>
              <w:tab w:val="right" w:leader="dot" w:pos="9350"/>
            </w:tabs>
            <w:rPr>
              <w:rFonts w:ascii="Times New Roman" w:hAnsi="Times New Roman" w:cs="Times New Roman"/>
              <w:noProof/>
              <w:sz w:val="24"/>
              <w:szCs w:val="24"/>
            </w:rPr>
          </w:pPr>
          <w:hyperlink w:anchor="_Toc227884450" w:history="1">
            <w:r w:rsidR="00946425" w:rsidRPr="00946425">
              <w:rPr>
                <w:rStyle w:val="Hyperlink"/>
                <w:rFonts w:ascii="Times New Roman" w:hAnsi="Times New Roman" w:cs="Times New Roman"/>
                <w:noProof/>
                <w:sz w:val="24"/>
                <w:szCs w:val="24"/>
              </w:rPr>
              <w:t>3.2 Cash Operating Cycle Analysis</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_Toc227884450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8</w:t>
            </w:r>
            <w:r w:rsidR="00946425" w:rsidRPr="00946425">
              <w:rPr>
                <w:rFonts w:ascii="Times New Roman" w:hAnsi="Times New Roman" w:cs="Times New Roman"/>
                <w:noProof/>
                <w:webHidden/>
                <w:sz w:val="24"/>
                <w:szCs w:val="24"/>
              </w:rPr>
              <w:fldChar w:fldCharType="end"/>
            </w:r>
          </w:hyperlink>
        </w:p>
        <w:p w14:paraId="5104B9F2" w14:textId="01048ADB" w:rsidR="00946425" w:rsidRPr="00946425" w:rsidRDefault="00000000">
          <w:pPr>
            <w:pStyle w:val="TOC2"/>
            <w:tabs>
              <w:tab w:val="right" w:leader="dot" w:pos="9350"/>
            </w:tabs>
            <w:rPr>
              <w:rFonts w:ascii="Times New Roman" w:hAnsi="Times New Roman" w:cs="Times New Roman"/>
              <w:noProof/>
              <w:sz w:val="24"/>
              <w:szCs w:val="24"/>
            </w:rPr>
          </w:pPr>
          <w:hyperlink w:anchor="_Toc227884451" w:history="1">
            <w:r w:rsidR="00946425" w:rsidRPr="00946425">
              <w:rPr>
                <w:rStyle w:val="Hyperlink"/>
                <w:rFonts w:ascii="Times New Roman" w:hAnsi="Times New Roman" w:cs="Times New Roman"/>
                <w:noProof/>
                <w:sz w:val="24"/>
                <w:szCs w:val="24"/>
              </w:rPr>
              <w:t>3.3 Liquidity Risks and Operational Issues</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_Toc227884451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9</w:t>
            </w:r>
            <w:r w:rsidR="00946425" w:rsidRPr="00946425">
              <w:rPr>
                <w:rFonts w:ascii="Times New Roman" w:hAnsi="Times New Roman" w:cs="Times New Roman"/>
                <w:noProof/>
                <w:webHidden/>
                <w:sz w:val="24"/>
                <w:szCs w:val="24"/>
              </w:rPr>
              <w:fldChar w:fldCharType="end"/>
            </w:r>
          </w:hyperlink>
        </w:p>
        <w:p w14:paraId="3D5E69D5" w14:textId="57FBBF20" w:rsidR="00946425" w:rsidRPr="00946425" w:rsidRDefault="00000000">
          <w:pPr>
            <w:pStyle w:val="TOC2"/>
            <w:tabs>
              <w:tab w:val="right" w:leader="dot" w:pos="9350"/>
            </w:tabs>
            <w:rPr>
              <w:rFonts w:ascii="Times New Roman" w:hAnsi="Times New Roman" w:cs="Times New Roman"/>
              <w:noProof/>
              <w:sz w:val="24"/>
              <w:szCs w:val="24"/>
            </w:rPr>
          </w:pPr>
          <w:hyperlink w:anchor="_Toc227884452" w:history="1">
            <w:r w:rsidR="00946425" w:rsidRPr="00946425">
              <w:rPr>
                <w:rStyle w:val="Hyperlink"/>
                <w:rFonts w:ascii="Times New Roman" w:hAnsi="Times New Roman" w:cs="Times New Roman"/>
                <w:noProof/>
                <w:sz w:val="24"/>
                <w:szCs w:val="24"/>
              </w:rPr>
              <w:t>3.4 Working Capital Improvement Strategies</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_Toc227884452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9</w:t>
            </w:r>
            <w:r w:rsidR="00946425" w:rsidRPr="00946425">
              <w:rPr>
                <w:rFonts w:ascii="Times New Roman" w:hAnsi="Times New Roman" w:cs="Times New Roman"/>
                <w:noProof/>
                <w:webHidden/>
                <w:sz w:val="24"/>
                <w:szCs w:val="24"/>
              </w:rPr>
              <w:fldChar w:fldCharType="end"/>
            </w:r>
          </w:hyperlink>
        </w:p>
        <w:p w14:paraId="6A0EDFF3" w14:textId="0034847F" w:rsidR="00946425" w:rsidRPr="00946425" w:rsidRDefault="00000000">
          <w:pPr>
            <w:pStyle w:val="TOC2"/>
            <w:tabs>
              <w:tab w:val="right" w:leader="dot" w:pos="9350"/>
            </w:tabs>
            <w:rPr>
              <w:rFonts w:ascii="Times New Roman" w:hAnsi="Times New Roman" w:cs="Times New Roman"/>
              <w:noProof/>
              <w:sz w:val="24"/>
              <w:szCs w:val="24"/>
            </w:rPr>
          </w:pPr>
          <w:hyperlink w:anchor="_Toc227884453" w:history="1">
            <w:r w:rsidR="00946425" w:rsidRPr="00946425">
              <w:rPr>
                <w:rStyle w:val="Hyperlink"/>
                <w:rFonts w:ascii="Times New Roman" w:hAnsi="Times New Roman" w:cs="Times New Roman"/>
                <w:noProof/>
                <w:sz w:val="24"/>
                <w:szCs w:val="24"/>
              </w:rPr>
              <w:t>3.5 Short-term vs Long-term Financing Options</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_Toc227884453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10</w:t>
            </w:r>
            <w:r w:rsidR="00946425" w:rsidRPr="00946425">
              <w:rPr>
                <w:rFonts w:ascii="Times New Roman" w:hAnsi="Times New Roman" w:cs="Times New Roman"/>
                <w:noProof/>
                <w:webHidden/>
                <w:sz w:val="24"/>
                <w:szCs w:val="24"/>
              </w:rPr>
              <w:fldChar w:fldCharType="end"/>
            </w:r>
          </w:hyperlink>
        </w:p>
        <w:p w14:paraId="57B269BB" w14:textId="13A4882A" w:rsidR="00946425" w:rsidRPr="00946425" w:rsidRDefault="00000000">
          <w:pPr>
            <w:pStyle w:val="TOC1"/>
            <w:tabs>
              <w:tab w:val="right" w:leader="dot" w:pos="9350"/>
            </w:tabs>
            <w:rPr>
              <w:rFonts w:ascii="Times New Roman" w:hAnsi="Times New Roman" w:cs="Times New Roman"/>
              <w:noProof/>
              <w:sz w:val="24"/>
              <w:szCs w:val="24"/>
            </w:rPr>
          </w:pPr>
          <w:hyperlink w:anchor="_Toc227884454" w:history="1">
            <w:r w:rsidR="00946425" w:rsidRPr="00946425">
              <w:rPr>
                <w:rStyle w:val="Hyperlink"/>
                <w:rFonts w:ascii="Times New Roman" w:hAnsi="Times New Roman" w:cs="Times New Roman"/>
                <w:noProof/>
                <w:sz w:val="24"/>
                <w:szCs w:val="24"/>
              </w:rPr>
              <w:t>4. Strategic Financial Restructuring Plan</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_Toc227884454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11</w:t>
            </w:r>
            <w:r w:rsidR="00946425" w:rsidRPr="00946425">
              <w:rPr>
                <w:rFonts w:ascii="Times New Roman" w:hAnsi="Times New Roman" w:cs="Times New Roman"/>
                <w:noProof/>
                <w:webHidden/>
                <w:sz w:val="24"/>
                <w:szCs w:val="24"/>
              </w:rPr>
              <w:fldChar w:fldCharType="end"/>
            </w:r>
          </w:hyperlink>
        </w:p>
        <w:p w14:paraId="728F1FD2" w14:textId="1F544C3B" w:rsidR="00946425" w:rsidRPr="00946425" w:rsidRDefault="00000000">
          <w:pPr>
            <w:pStyle w:val="TOC2"/>
            <w:tabs>
              <w:tab w:val="right" w:leader="dot" w:pos="9350"/>
            </w:tabs>
            <w:rPr>
              <w:rFonts w:ascii="Times New Roman" w:hAnsi="Times New Roman" w:cs="Times New Roman"/>
              <w:noProof/>
              <w:sz w:val="24"/>
              <w:szCs w:val="24"/>
            </w:rPr>
          </w:pPr>
          <w:hyperlink w:anchor="_Toc227884455" w:history="1">
            <w:r w:rsidR="00946425" w:rsidRPr="00946425">
              <w:rPr>
                <w:rStyle w:val="Hyperlink"/>
                <w:rFonts w:ascii="Times New Roman" w:hAnsi="Times New Roman" w:cs="Times New Roman"/>
                <w:noProof/>
                <w:sz w:val="24"/>
                <w:szCs w:val="24"/>
              </w:rPr>
              <w:t>4.1 Need for Restructuring</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_Toc227884455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11</w:t>
            </w:r>
            <w:r w:rsidR="00946425" w:rsidRPr="00946425">
              <w:rPr>
                <w:rFonts w:ascii="Times New Roman" w:hAnsi="Times New Roman" w:cs="Times New Roman"/>
                <w:noProof/>
                <w:webHidden/>
                <w:sz w:val="24"/>
                <w:szCs w:val="24"/>
              </w:rPr>
              <w:fldChar w:fldCharType="end"/>
            </w:r>
          </w:hyperlink>
        </w:p>
        <w:p w14:paraId="77C4A2E9" w14:textId="2EF57CDE" w:rsidR="00946425" w:rsidRPr="00946425" w:rsidRDefault="00000000">
          <w:pPr>
            <w:pStyle w:val="TOC2"/>
            <w:tabs>
              <w:tab w:val="right" w:leader="dot" w:pos="9350"/>
            </w:tabs>
            <w:rPr>
              <w:rFonts w:ascii="Times New Roman" w:hAnsi="Times New Roman" w:cs="Times New Roman"/>
              <w:noProof/>
              <w:sz w:val="24"/>
              <w:szCs w:val="24"/>
            </w:rPr>
          </w:pPr>
          <w:hyperlink w:anchor="_Toc227884456" w:history="1">
            <w:r w:rsidR="00946425" w:rsidRPr="00946425">
              <w:rPr>
                <w:rStyle w:val="Hyperlink"/>
                <w:rFonts w:ascii="Times New Roman" w:hAnsi="Times New Roman" w:cs="Times New Roman"/>
                <w:noProof/>
                <w:sz w:val="24"/>
                <w:szCs w:val="24"/>
              </w:rPr>
              <w:t>4.2 Option 1: Equity Injection / Share Issue</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_Toc227884456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11</w:t>
            </w:r>
            <w:r w:rsidR="00946425" w:rsidRPr="00946425">
              <w:rPr>
                <w:rFonts w:ascii="Times New Roman" w:hAnsi="Times New Roman" w:cs="Times New Roman"/>
                <w:noProof/>
                <w:webHidden/>
                <w:sz w:val="24"/>
                <w:szCs w:val="24"/>
              </w:rPr>
              <w:fldChar w:fldCharType="end"/>
            </w:r>
          </w:hyperlink>
        </w:p>
        <w:p w14:paraId="4DAACCF0" w14:textId="71965AFA" w:rsidR="00946425" w:rsidRPr="00946425" w:rsidRDefault="00000000">
          <w:pPr>
            <w:pStyle w:val="TOC2"/>
            <w:tabs>
              <w:tab w:val="right" w:leader="dot" w:pos="9350"/>
            </w:tabs>
            <w:rPr>
              <w:rFonts w:ascii="Times New Roman" w:hAnsi="Times New Roman" w:cs="Times New Roman"/>
              <w:noProof/>
              <w:sz w:val="24"/>
              <w:szCs w:val="24"/>
            </w:rPr>
          </w:pPr>
          <w:hyperlink w:anchor="_Toc227884457" w:history="1">
            <w:r w:rsidR="00946425" w:rsidRPr="00946425">
              <w:rPr>
                <w:rStyle w:val="Hyperlink"/>
                <w:rFonts w:ascii="Times New Roman" w:hAnsi="Times New Roman" w:cs="Times New Roman"/>
                <w:noProof/>
                <w:sz w:val="24"/>
                <w:szCs w:val="24"/>
              </w:rPr>
              <w:t>4.3 Option 2: Debt Restructuring / Refinancing</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_Toc227884457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12</w:t>
            </w:r>
            <w:r w:rsidR="00946425" w:rsidRPr="00946425">
              <w:rPr>
                <w:rFonts w:ascii="Times New Roman" w:hAnsi="Times New Roman" w:cs="Times New Roman"/>
                <w:noProof/>
                <w:webHidden/>
                <w:sz w:val="24"/>
                <w:szCs w:val="24"/>
              </w:rPr>
              <w:fldChar w:fldCharType="end"/>
            </w:r>
          </w:hyperlink>
        </w:p>
        <w:p w14:paraId="2C84FC9D" w14:textId="4ECDE576" w:rsidR="00946425" w:rsidRPr="00946425" w:rsidRDefault="00000000">
          <w:pPr>
            <w:pStyle w:val="TOC2"/>
            <w:tabs>
              <w:tab w:val="right" w:leader="dot" w:pos="9350"/>
            </w:tabs>
            <w:rPr>
              <w:rFonts w:ascii="Times New Roman" w:hAnsi="Times New Roman" w:cs="Times New Roman"/>
              <w:noProof/>
              <w:sz w:val="24"/>
              <w:szCs w:val="24"/>
            </w:rPr>
          </w:pPr>
          <w:hyperlink w:anchor="_Toc227884458" w:history="1">
            <w:r w:rsidR="00946425" w:rsidRPr="00946425">
              <w:rPr>
                <w:rStyle w:val="Hyperlink"/>
                <w:rFonts w:ascii="Times New Roman" w:hAnsi="Times New Roman" w:cs="Times New Roman"/>
                <w:noProof/>
                <w:sz w:val="24"/>
                <w:szCs w:val="24"/>
              </w:rPr>
              <w:t>4.4 Option 3: Divestiture / Portfolio Rationalisation</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_Toc227884458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12</w:t>
            </w:r>
            <w:r w:rsidR="00946425" w:rsidRPr="00946425">
              <w:rPr>
                <w:rFonts w:ascii="Times New Roman" w:hAnsi="Times New Roman" w:cs="Times New Roman"/>
                <w:noProof/>
                <w:webHidden/>
                <w:sz w:val="24"/>
                <w:szCs w:val="24"/>
              </w:rPr>
              <w:fldChar w:fldCharType="end"/>
            </w:r>
          </w:hyperlink>
        </w:p>
        <w:p w14:paraId="04DBDC52" w14:textId="3BA7753A" w:rsidR="00946425" w:rsidRPr="00946425" w:rsidRDefault="00000000">
          <w:pPr>
            <w:pStyle w:val="TOC2"/>
            <w:tabs>
              <w:tab w:val="right" w:leader="dot" w:pos="9350"/>
            </w:tabs>
            <w:rPr>
              <w:rFonts w:ascii="Times New Roman" w:hAnsi="Times New Roman" w:cs="Times New Roman"/>
              <w:noProof/>
              <w:sz w:val="24"/>
              <w:szCs w:val="24"/>
            </w:rPr>
          </w:pPr>
          <w:hyperlink w:anchor="_Toc227884459" w:history="1">
            <w:r w:rsidR="00946425" w:rsidRPr="00946425">
              <w:rPr>
                <w:rStyle w:val="Hyperlink"/>
                <w:rFonts w:ascii="Times New Roman" w:hAnsi="Times New Roman" w:cs="Times New Roman"/>
                <w:noProof/>
                <w:sz w:val="24"/>
                <w:szCs w:val="24"/>
              </w:rPr>
              <w:t>4.5 Option 4: Strategic Alliances / Partnerships</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_Toc227884459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13</w:t>
            </w:r>
            <w:r w:rsidR="00946425" w:rsidRPr="00946425">
              <w:rPr>
                <w:rFonts w:ascii="Times New Roman" w:hAnsi="Times New Roman" w:cs="Times New Roman"/>
                <w:noProof/>
                <w:webHidden/>
                <w:sz w:val="24"/>
                <w:szCs w:val="24"/>
              </w:rPr>
              <w:fldChar w:fldCharType="end"/>
            </w:r>
          </w:hyperlink>
        </w:p>
        <w:p w14:paraId="019FDBA2" w14:textId="65A2EF1A" w:rsidR="00946425" w:rsidRPr="00946425" w:rsidRDefault="00000000">
          <w:pPr>
            <w:pStyle w:val="TOC2"/>
            <w:tabs>
              <w:tab w:val="right" w:leader="dot" w:pos="9350"/>
            </w:tabs>
            <w:rPr>
              <w:rFonts w:ascii="Times New Roman" w:hAnsi="Times New Roman" w:cs="Times New Roman"/>
              <w:noProof/>
              <w:sz w:val="24"/>
              <w:szCs w:val="24"/>
            </w:rPr>
          </w:pPr>
          <w:hyperlink w:anchor="_Toc227884460" w:history="1">
            <w:r w:rsidR="00946425" w:rsidRPr="00946425">
              <w:rPr>
                <w:rStyle w:val="Hyperlink"/>
                <w:rFonts w:ascii="Times New Roman" w:hAnsi="Times New Roman" w:cs="Times New Roman"/>
                <w:noProof/>
                <w:sz w:val="24"/>
                <w:szCs w:val="24"/>
              </w:rPr>
              <w:t>4.6 Impact on Shareholder Value and Financial Flexibility</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_Toc227884460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13</w:t>
            </w:r>
            <w:r w:rsidR="00946425" w:rsidRPr="00946425">
              <w:rPr>
                <w:rFonts w:ascii="Times New Roman" w:hAnsi="Times New Roman" w:cs="Times New Roman"/>
                <w:noProof/>
                <w:webHidden/>
                <w:sz w:val="24"/>
                <w:szCs w:val="24"/>
              </w:rPr>
              <w:fldChar w:fldCharType="end"/>
            </w:r>
          </w:hyperlink>
        </w:p>
        <w:p w14:paraId="6CB97EE9" w14:textId="57579020" w:rsidR="00946425" w:rsidRPr="00946425" w:rsidRDefault="00000000">
          <w:pPr>
            <w:pStyle w:val="TOC2"/>
            <w:tabs>
              <w:tab w:val="right" w:leader="dot" w:pos="9350"/>
            </w:tabs>
            <w:rPr>
              <w:rFonts w:ascii="Times New Roman" w:hAnsi="Times New Roman" w:cs="Times New Roman"/>
              <w:noProof/>
              <w:sz w:val="24"/>
              <w:szCs w:val="24"/>
            </w:rPr>
          </w:pPr>
          <w:hyperlink w:anchor="_Toc227884461" w:history="1">
            <w:r w:rsidR="00946425" w:rsidRPr="00946425">
              <w:rPr>
                <w:rStyle w:val="Hyperlink"/>
                <w:rFonts w:ascii="Times New Roman" w:hAnsi="Times New Roman" w:cs="Times New Roman"/>
                <w:noProof/>
                <w:sz w:val="24"/>
                <w:szCs w:val="24"/>
              </w:rPr>
              <w:t>4.7 International and Ethical Considerations</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_Toc227884461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14</w:t>
            </w:r>
            <w:r w:rsidR="00946425" w:rsidRPr="00946425">
              <w:rPr>
                <w:rFonts w:ascii="Times New Roman" w:hAnsi="Times New Roman" w:cs="Times New Roman"/>
                <w:noProof/>
                <w:webHidden/>
                <w:sz w:val="24"/>
                <w:szCs w:val="24"/>
              </w:rPr>
              <w:fldChar w:fldCharType="end"/>
            </w:r>
          </w:hyperlink>
        </w:p>
        <w:p w14:paraId="23469F2B" w14:textId="3BFB1B07" w:rsidR="00946425" w:rsidRPr="00946425" w:rsidRDefault="00000000">
          <w:pPr>
            <w:pStyle w:val="TOC1"/>
            <w:tabs>
              <w:tab w:val="right" w:leader="dot" w:pos="9350"/>
            </w:tabs>
            <w:rPr>
              <w:rFonts w:ascii="Times New Roman" w:hAnsi="Times New Roman" w:cs="Times New Roman"/>
              <w:noProof/>
              <w:sz w:val="24"/>
              <w:szCs w:val="24"/>
            </w:rPr>
          </w:pPr>
          <w:hyperlink w:anchor="_Toc227884462" w:history="1">
            <w:r w:rsidR="00946425" w:rsidRPr="00946425">
              <w:rPr>
                <w:rStyle w:val="Hyperlink"/>
                <w:rFonts w:ascii="Times New Roman" w:hAnsi="Times New Roman" w:cs="Times New Roman"/>
                <w:noProof/>
                <w:sz w:val="24"/>
                <w:szCs w:val="24"/>
              </w:rPr>
              <w:t>5. Investment Appraisal and Capital Budgeting</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_Toc227884462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15</w:t>
            </w:r>
            <w:r w:rsidR="00946425" w:rsidRPr="00946425">
              <w:rPr>
                <w:rFonts w:ascii="Times New Roman" w:hAnsi="Times New Roman" w:cs="Times New Roman"/>
                <w:noProof/>
                <w:webHidden/>
                <w:sz w:val="24"/>
                <w:szCs w:val="24"/>
              </w:rPr>
              <w:fldChar w:fldCharType="end"/>
            </w:r>
          </w:hyperlink>
        </w:p>
        <w:p w14:paraId="6754F0A3" w14:textId="1DBCB549" w:rsidR="00946425" w:rsidRPr="00946425" w:rsidRDefault="00000000">
          <w:pPr>
            <w:pStyle w:val="TOC2"/>
            <w:tabs>
              <w:tab w:val="right" w:leader="dot" w:pos="9350"/>
            </w:tabs>
            <w:rPr>
              <w:rFonts w:ascii="Times New Roman" w:hAnsi="Times New Roman" w:cs="Times New Roman"/>
              <w:noProof/>
              <w:sz w:val="24"/>
              <w:szCs w:val="24"/>
            </w:rPr>
          </w:pPr>
          <w:hyperlink w:anchor="_Toc227884463" w:history="1">
            <w:r w:rsidR="00946425" w:rsidRPr="00946425">
              <w:rPr>
                <w:rStyle w:val="Hyperlink"/>
                <w:rFonts w:ascii="Times New Roman" w:hAnsi="Times New Roman" w:cs="Times New Roman"/>
                <w:noProof/>
                <w:sz w:val="24"/>
                <w:szCs w:val="24"/>
              </w:rPr>
              <w:t>5.1 Introduction to Investment Decision</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_Toc227884463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15</w:t>
            </w:r>
            <w:r w:rsidR="00946425" w:rsidRPr="00946425">
              <w:rPr>
                <w:rFonts w:ascii="Times New Roman" w:hAnsi="Times New Roman" w:cs="Times New Roman"/>
                <w:noProof/>
                <w:webHidden/>
                <w:sz w:val="24"/>
                <w:szCs w:val="24"/>
              </w:rPr>
              <w:fldChar w:fldCharType="end"/>
            </w:r>
          </w:hyperlink>
        </w:p>
        <w:p w14:paraId="40A08A03" w14:textId="2F4148B5" w:rsidR="00946425" w:rsidRPr="00946425" w:rsidRDefault="00000000">
          <w:pPr>
            <w:pStyle w:val="TOC2"/>
            <w:tabs>
              <w:tab w:val="right" w:leader="dot" w:pos="9350"/>
            </w:tabs>
            <w:rPr>
              <w:rFonts w:ascii="Times New Roman" w:hAnsi="Times New Roman" w:cs="Times New Roman"/>
              <w:noProof/>
              <w:sz w:val="24"/>
              <w:szCs w:val="24"/>
            </w:rPr>
          </w:pPr>
          <w:hyperlink w:anchor="_Toc227884464" w:history="1">
            <w:r w:rsidR="00946425" w:rsidRPr="00946425">
              <w:rPr>
                <w:rStyle w:val="Hyperlink"/>
                <w:rFonts w:ascii="Times New Roman" w:hAnsi="Times New Roman" w:cs="Times New Roman"/>
                <w:noProof/>
                <w:sz w:val="24"/>
                <w:szCs w:val="24"/>
              </w:rPr>
              <w:t>5.2 Payback Period</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_Toc227884464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15</w:t>
            </w:r>
            <w:r w:rsidR="00946425" w:rsidRPr="00946425">
              <w:rPr>
                <w:rFonts w:ascii="Times New Roman" w:hAnsi="Times New Roman" w:cs="Times New Roman"/>
                <w:noProof/>
                <w:webHidden/>
                <w:sz w:val="24"/>
                <w:szCs w:val="24"/>
              </w:rPr>
              <w:fldChar w:fldCharType="end"/>
            </w:r>
          </w:hyperlink>
        </w:p>
        <w:p w14:paraId="69DB6509" w14:textId="6CC64D5A" w:rsidR="00946425" w:rsidRPr="00946425" w:rsidRDefault="00000000">
          <w:pPr>
            <w:pStyle w:val="TOC2"/>
            <w:tabs>
              <w:tab w:val="right" w:leader="dot" w:pos="9350"/>
            </w:tabs>
            <w:rPr>
              <w:rFonts w:ascii="Times New Roman" w:hAnsi="Times New Roman" w:cs="Times New Roman"/>
              <w:noProof/>
              <w:sz w:val="24"/>
              <w:szCs w:val="24"/>
            </w:rPr>
          </w:pPr>
          <w:hyperlink w:anchor="_Toc227884465" w:history="1">
            <w:r w:rsidR="00946425" w:rsidRPr="00946425">
              <w:rPr>
                <w:rStyle w:val="Hyperlink"/>
                <w:rFonts w:ascii="Times New Roman" w:hAnsi="Times New Roman" w:cs="Times New Roman"/>
                <w:noProof/>
                <w:sz w:val="24"/>
                <w:szCs w:val="24"/>
              </w:rPr>
              <w:t>5.3 Accounting Rate of Return (ARR)</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_Toc227884465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15</w:t>
            </w:r>
            <w:r w:rsidR="00946425" w:rsidRPr="00946425">
              <w:rPr>
                <w:rFonts w:ascii="Times New Roman" w:hAnsi="Times New Roman" w:cs="Times New Roman"/>
                <w:noProof/>
                <w:webHidden/>
                <w:sz w:val="24"/>
                <w:szCs w:val="24"/>
              </w:rPr>
              <w:fldChar w:fldCharType="end"/>
            </w:r>
          </w:hyperlink>
        </w:p>
        <w:p w14:paraId="20C00335" w14:textId="232C5107" w:rsidR="00946425" w:rsidRPr="00946425" w:rsidRDefault="00000000">
          <w:pPr>
            <w:pStyle w:val="TOC2"/>
            <w:tabs>
              <w:tab w:val="right" w:leader="dot" w:pos="9350"/>
            </w:tabs>
            <w:rPr>
              <w:rFonts w:ascii="Times New Roman" w:hAnsi="Times New Roman" w:cs="Times New Roman"/>
              <w:noProof/>
              <w:sz w:val="24"/>
              <w:szCs w:val="24"/>
            </w:rPr>
          </w:pPr>
          <w:hyperlink w:anchor="_Toc227884466" w:history="1">
            <w:r w:rsidR="00946425" w:rsidRPr="00946425">
              <w:rPr>
                <w:rStyle w:val="Hyperlink"/>
                <w:rFonts w:ascii="Times New Roman" w:hAnsi="Times New Roman" w:cs="Times New Roman"/>
                <w:noProof/>
                <w:sz w:val="24"/>
                <w:szCs w:val="24"/>
              </w:rPr>
              <w:t>5.4 Net Present Value (NPV)</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_Toc227884466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16</w:t>
            </w:r>
            <w:r w:rsidR="00946425" w:rsidRPr="00946425">
              <w:rPr>
                <w:rFonts w:ascii="Times New Roman" w:hAnsi="Times New Roman" w:cs="Times New Roman"/>
                <w:noProof/>
                <w:webHidden/>
                <w:sz w:val="24"/>
                <w:szCs w:val="24"/>
              </w:rPr>
              <w:fldChar w:fldCharType="end"/>
            </w:r>
          </w:hyperlink>
        </w:p>
        <w:p w14:paraId="0147C22D" w14:textId="427D5870" w:rsidR="00946425" w:rsidRPr="00946425" w:rsidRDefault="00000000">
          <w:pPr>
            <w:pStyle w:val="TOC2"/>
            <w:tabs>
              <w:tab w:val="right" w:leader="dot" w:pos="9350"/>
            </w:tabs>
            <w:rPr>
              <w:rFonts w:ascii="Times New Roman" w:hAnsi="Times New Roman" w:cs="Times New Roman"/>
              <w:noProof/>
              <w:sz w:val="24"/>
              <w:szCs w:val="24"/>
            </w:rPr>
          </w:pPr>
          <w:hyperlink w:anchor="_Toc227884467" w:history="1">
            <w:r w:rsidR="00946425" w:rsidRPr="00946425">
              <w:rPr>
                <w:rStyle w:val="Hyperlink"/>
                <w:rFonts w:ascii="Times New Roman" w:hAnsi="Times New Roman" w:cs="Times New Roman"/>
                <w:noProof/>
                <w:sz w:val="24"/>
                <w:szCs w:val="24"/>
              </w:rPr>
              <w:t>5.5 Profitability Index (PI) and Internal Rate of Return (IRR)</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_Toc227884467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16</w:t>
            </w:r>
            <w:r w:rsidR="00946425" w:rsidRPr="00946425">
              <w:rPr>
                <w:rFonts w:ascii="Times New Roman" w:hAnsi="Times New Roman" w:cs="Times New Roman"/>
                <w:noProof/>
                <w:webHidden/>
                <w:sz w:val="24"/>
                <w:szCs w:val="24"/>
              </w:rPr>
              <w:fldChar w:fldCharType="end"/>
            </w:r>
          </w:hyperlink>
        </w:p>
        <w:p w14:paraId="38F0FB7C" w14:textId="43BA230A" w:rsidR="00946425" w:rsidRPr="00946425" w:rsidRDefault="00000000">
          <w:pPr>
            <w:pStyle w:val="TOC2"/>
            <w:tabs>
              <w:tab w:val="right" w:leader="dot" w:pos="9350"/>
            </w:tabs>
            <w:rPr>
              <w:rFonts w:ascii="Times New Roman" w:hAnsi="Times New Roman" w:cs="Times New Roman"/>
              <w:noProof/>
              <w:sz w:val="24"/>
              <w:szCs w:val="24"/>
            </w:rPr>
          </w:pPr>
          <w:hyperlink w:anchor="_Toc227884468" w:history="1">
            <w:r w:rsidR="00946425" w:rsidRPr="00946425">
              <w:rPr>
                <w:rStyle w:val="Hyperlink"/>
                <w:rFonts w:ascii="Times New Roman" w:hAnsi="Times New Roman" w:cs="Times New Roman"/>
                <w:noProof/>
                <w:sz w:val="24"/>
                <w:szCs w:val="24"/>
              </w:rPr>
              <w:t>5.6 Recommended Project</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_Toc227884468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17</w:t>
            </w:r>
            <w:r w:rsidR="00946425" w:rsidRPr="00946425">
              <w:rPr>
                <w:rFonts w:ascii="Times New Roman" w:hAnsi="Times New Roman" w:cs="Times New Roman"/>
                <w:noProof/>
                <w:webHidden/>
                <w:sz w:val="24"/>
                <w:szCs w:val="24"/>
              </w:rPr>
              <w:fldChar w:fldCharType="end"/>
            </w:r>
          </w:hyperlink>
        </w:p>
        <w:p w14:paraId="0FEC944D" w14:textId="4687C3A1" w:rsidR="00946425" w:rsidRPr="00946425" w:rsidRDefault="00000000">
          <w:pPr>
            <w:pStyle w:val="TOC2"/>
            <w:tabs>
              <w:tab w:val="right" w:leader="dot" w:pos="9350"/>
            </w:tabs>
            <w:rPr>
              <w:rFonts w:ascii="Times New Roman" w:hAnsi="Times New Roman" w:cs="Times New Roman"/>
              <w:noProof/>
              <w:sz w:val="24"/>
              <w:szCs w:val="24"/>
            </w:rPr>
          </w:pPr>
          <w:hyperlink w:anchor="_Toc227884469" w:history="1">
            <w:r w:rsidR="00946425" w:rsidRPr="00946425">
              <w:rPr>
                <w:rStyle w:val="Hyperlink"/>
                <w:rFonts w:ascii="Times New Roman" w:hAnsi="Times New Roman" w:cs="Times New Roman"/>
                <w:noProof/>
                <w:sz w:val="24"/>
                <w:szCs w:val="24"/>
              </w:rPr>
              <w:t>5.7 Non-Financial Risk Considerations</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_Toc227884469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17</w:t>
            </w:r>
            <w:r w:rsidR="00946425" w:rsidRPr="00946425">
              <w:rPr>
                <w:rFonts w:ascii="Times New Roman" w:hAnsi="Times New Roman" w:cs="Times New Roman"/>
                <w:noProof/>
                <w:webHidden/>
                <w:sz w:val="24"/>
                <w:szCs w:val="24"/>
              </w:rPr>
              <w:fldChar w:fldCharType="end"/>
            </w:r>
          </w:hyperlink>
        </w:p>
        <w:p w14:paraId="0201FB29" w14:textId="0D2215F8" w:rsidR="00946425" w:rsidRPr="00946425" w:rsidRDefault="00000000">
          <w:pPr>
            <w:pStyle w:val="TOC2"/>
            <w:tabs>
              <w:tab w:val="right" w:leader="dot" w:pos="9350"/>
            </w:tabs>
            <w:rPr>
              <w:rFonts w:ascii="Times New Roman" w:hAnsi="Times New Roman" w:cs="Times New Roman"/>
              <w:noProof/>
              <w:sz w:val="24"/>
              <w:szCs w:val="24"/>
            </w:rPr>
          </w:pPr>
          <w:hyperlink w:anchor="_Toc227884470" w:history="1">
            <w:r w:rsidR="00946425" w:rsidRPr="00946425">
              <w:rPr>
                <w:rStyle w:val="Hyperlink"/>
                <w:rFonts w:ascii="Times New Roman" w:hAnsi="Times New Roman" w:cs="Times New Roman"/>
                <w:noProof/>
                <w:sz w:val="24"/>
                <w:szCs w:val="24"/>
              </w:rPr>
              <w:t>5.8 Capital Rationing Decision</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_Toc227884470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17</w:t>
            </w:r>
            <w:r w:rsidR="00946425" w:rsidRPr="00946425">
              <w:rPr>
                <w:rFonts w:ascii="Times New Roman" w:hAnsi="Times New Roman" w:cs="Times New Roman"/>
                <w:noProof/>
                <w:webHidden/>
                <w:sz w:val="24"/>
                <w:szCs w:val="24"/>
              </w:rPr>
              <w:fldChar w:fldCharType="end"/>
            </w:r>
          </w:hyperlink>
        </w:p>
        <w:p w14:paraId="210CF551" w14:textId="05351107" w:rsidR="00946425" w:rsidRPr="00946425" w:rsidRDefault="00000000">
          <w:pPr>
            <w:pStyle w:val="TOC1"/>
            <w:tabs>
              <w:tab w:val="right" w:leader="dot" w:pos="9350"/>
            </w:tabs>
            <w:rPr>
              <w:rFonts w:ascii="Times New Roman" w:hAnsi="Times New Roman" w:cs="Times New Roman"/>
              <w:noProof/>
              <w:sz w:val="24"/>
              <w:szCs w:val="24"/>
            </w:rPr>
          </w:pPr>
          <w:hyperlink w:anchor="_Toc227884471" w:history="1">
            <w:r w:rsidR="00946425" w:rsidRPr="00946425">
              <w:rPr>
                <w:rStyle w:val="Hyperlink"/>
                <w:rFonts w:ascii="Times New Roman" w:hAnsi="Times New Roman" w:cs="Times New Roman"/>
                <w:noProof/>
                <w:sz w:val="24"/>
                <w:szCs w:val="24"/>
              </w:rPr>
              <w:t>6. Conclusion</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_Toc227884471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19</w:t>
            </w:r>
            <w:r w:rsidR="00946425" w:rsidRPr="00946425">
              <w:rPr>
                <w:rFonts w:ascii="Times New Roman" w:hAnsi="Times New Roman" w:cs="Times New Roman"/>
                <w:noProof/>
                <w:webHidden/>
                <w:sz w:val="24"/>
                <w:szCs w:val="24"/>
              </w:rPr>
              <w:fldChar w:fldCharType="end"/>
            </w:r>
          </w:hyperlink>
        </w:p>
        <w:p w14:paraId="092BD85B" w14:textId="6DD79E12" w:rsidR="00946425" w:rsidRPr="00946425" w:rsidRDefault="00000000">
          <w:pPr>
            <w:pStyle w:val="TOC2"/>
            <w:tabs>
              <w:tab w:val="right" w:leader="dot" w:pos="9350"/>
            </w:tabs>
            <w:rPr>
              <w:rFonts w:ascii="Times New Roman" w:hAnsi="Times New Roman" w:cs="Times New Roman"/>
              <w:noProof/>
              <w:sz w:val="24"/>
              <w:szCs w:val="24"/>
            </w:rPr>
          </w:pPr>
          <w:hyperlink w:anchor="_Toc227884472" w:history="1">
            <w:r w:rsidR="00946425" w:rsidRPr="00946425">
              <w:rPr>
                <w:rStyle w:val="Hyperlink"/>
                <w:rFonts w:ascii="Times New Roman" w:hAnsi="Times New Roman" w:cs="Times New Roman"/>
                <w:noProof/>
                <w:sz w:val="24"/>
                <w:szCs w:val="24"/>
              </w:rPr>
              <w:t>6.1 Summary of Financial Findings</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_Toc227884472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19</w:t>
            </w:r>
            <w:r w:rsidR="00946425" w:rsidRPr="00946425">
              <w:rPr>
                <w:rFonts w:ascii="Times New Roman" w:hAnsi="Times New Roman" w:cs="Times New Roman"/>
                <w:noProof/>
                <w:webHidden/>
                <w:sz w:val="24"/>
                <w:szCs w:val="24"/>
              </w:rPr>
              <w:fldChar w:fldCharType="end"/>
            </w:r>
          </w:hyperlink>
        </w:p>
        <w:p w14:paraId="7217E0D0" w14:textId="125CD83E" w:rsidR="00946425" w:rsidRPr="00946425" w:rsidRDefault="00000000">
          <w:pPr>
            <w:pStyle w:val="TOC2"/>
            <w:tabs>
              <w:tab w:val="right" w:leader="dot" w:pos="9350"/>
            </w:tabs>
            <w:rPr>
              <w:rFonts w:ascii="Times New Roman" w:hAnsi="Times New Roman" w:cs="Times New Roman"/>
              <w:noProof/>
              <w:sz w:val="24"/>
              <w:szCs w:val="24"/>
            </w:rPr>
          </w:pPr>
          <w:hyperlink w:anchor="_Toc227884473" w:history="1">
            <w:r w:rsidR="00946425" w:rsidRPr="00946425">
              <w:rPr>
                <w:rStyle w:val="Hyperlink"/>
                <w:rFonts w:ascii="Times New Roman" w:hAnsi="Times New Roman" w:cs="Times New Roman"/>
                <w:noProof/>
                <w:sz w:val="24"/>
                <w:szCs w:val="24"/>
              </w:rPr>
              <w:t>6.2 Final Strategic Recommendations</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_Toc227884473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19</w:t>
            </w:r>
            <w:r w:rsidR="00946425" w:rsidRPr="00946425">
              <w:rPr>
                <w:rFonts w:ascii="Times New Roman" w:hAnsi="Times New Roman" w:cs="Times New Roman"/>
                <w:noProof/>
                <w:webHidden/>
                <w:sz w:val="24"/>
                <w:szCs w:val="24"/>
              </w:rPr>
              <w:fldChar w:fldCharType="end"/>
            </w:r>
          </w:hyperlink>
        </w:p>
        <w:p w14:paraId="19188FE3" w14:textId="541E8F8B" w:rsidR="00946425" w:rsidRPr="00946425" w:rsidRDefault="00000000">
          <w:pPr>
            <w:pStyle w:val="TOC1"/>
            <w:tabs>
              <w:tab w:val="right" w:leader="dot" w:pos="9350"/>
            </w:tabs>
            <w:rPr>
              <w:rFonts w:ascii="Times New Roman" w:hAnsi="Times New Roman" w:cs="Times New Roman"/>
              <w:noProof/>
              <w:sz w:val="24"/>
              <w:szCs w:val="24"/>
            </w:rPr>
          </w:pPr>
          <w:hyperlink w:anchor="_Toc227884474" w:history="1">
            <w:r w:rsidR="00946425" w:rsidRPr="00946425">
              <w:rPr>
                <w:rStyle w:val="Hyperlink"/>
                <w:rFonts w:ascii="Times New Roman" w:hAnsi="Times New Roman" w:cs="Times New Roman"/>
                <w:noProof/>
                <w:sz w:val="24"/>
                <w:szCs w:val="24"/>
                <w:lang w:val="en-US"/>
              </w:rPr>
              <w:t>Reference list</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_Toc227884474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20</w:t>
            </w:r>
            <w:r w:rsidR="00946425" w:rsidRPr="00946425">
              <w:rPr>
                <w:rFonts w:ascii="Times New Roman" w:hAnsi="Times New Roman" w:cs="Times New Roman"/>
                <w:noProof/>
                <w:webHidden/>
                <w:sz w:val="24"/>
                <w:szCs w:val="24"/>
              </w:rPr>
              <w:fldChar w:fldCharType="end"/>
            </w:r>
          </w:hyperlink>
        </w:p>
        <w:p w14:paraId="5E54C8E9" w14:textId="420BD9CE" w:rsidR="00946425" w:rsidRPr="00946425" w:rsidRDefault="00000000">
          <w:pPr>
            <w:pStyle w:val="TOC1"/>
            <w:tabs>
              <w:tab w:val="right" w:leader="dot" w:pos="9350"/>
            </w:tabs>
            <w:rPr>
              <w:rFonts w:ascii="Times New Roman" w:hAnsi="Times New Roman" w:cs="Times New Roman"/>
              <w:noProof/>
              <w:sz w:val="24"/>
              <w:szCs w:val="24"/>
            </w:rPr>
          </w:pPr>
          <w:hyperlink w:anchor="_Toc227884475" w:history="1">
            <w:r w:rsidR="00946425" w:rsidRPr="00946425">
              <w:rPr>
                <w:rStyle w:val="Hyperlink"/>
                <w:rFonts w:ascii="Times New Roman" w:hAnsi="Times New Roman" w:cs="Times New Roman"/>
                <w:noProof/>
                <w:sz w:val="24"/>
                <w:szCs w:val="24"/>
              </w:rPr>
              <w:t>Appendices</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_Toc227884475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22</w:t>
            </w:r>
            <w:r w:rsidR="00946425" w:rsidRPr="00946425">
              <w:rPr>
                <w:rFonts w:ascii="Times New Roman" w:hAnsi="Times New Roman" w:cs="Times New Roman"/>
                <w:noProof/>
                <w:webHidden/>
                <w:sz w:val="24"/>
                <w:szCs w:val="24"/>
              </w:rPr>
              <w:fldChar w:fldCharType="end"/>
            </w:r>
          </w:hyperlink>
        </w:p>
        <w:p w14:paraId="75AC7D7D" w14:textId="763775E8" w:rsidR="00946425" w:rsidRPr="00946425" w:rsidRDefault="00000000">
          <w:pPr>
            <w:pStyle w:val="TOC2"/>
            <w:tabs>
              <w:tab w:val="right" w:leader="dot" w:pos="9350"/>
            </w:tabs>
            <w:rPr>
              <w:rFonts w:ascii="Times New Roman" w:hAnsi="Times New Roman" w:cs="Times New Roman"/>
              <w:noProof/>
              <w:sz w:val="24"/>
              <w:szCs w:val="24"/>
            </w:rPr>
          </w:pPr>
          <w:hyperlink w:anchor="_Toc227884476" w:history="1">
            <w:r w:rsidR="00946425" w:rsidRPr="00946425">
              <w:rPr>
                <w:rStyle w:val="Hyperlink"/>
                <w:rFonts w:ascii="Times New Roman" w:hAnsi="Times New Roman" w:cs="Times New Roman"/>
                <w:noProof/>
                <w:sz w:val="24"/>
                <w:szCs w:val="24"/>
                <w:lang w:val="en-US"/>
              </w:rPr>
              <w:t>Appendix A: Five-Year Financial Statements</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_Toc227884476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22</w:t>
            </w:r>
            <w:r w:rsidR="00946425" w:rsidRPr="00946425">
              <w:rPr>
                <w:rFonts w:ascii="Times New Roman" w:hAnsi="Times New Roman" w:cs="Times New Roman"/>
                <w:noProof/>
                <w:webHidden/>
                <w:sz w:val="24"/>
                <w:szCs w:val="24"/>
              </w:rPr>
              <w:fldChar w:fldCharType="end"/>
            </w:r>
          </w:hyperlink>
        </w:p>
        <w:p w14:paraId="7557255C" w14:textId="21D3887B" w:rsidR="00946425" w:rsidRPr="00946425" w:rsidRDefault="00000000">
          <w:pPr>
            <w:pStyle w:val="TOC2"/>
            <w:tabs>
              <w:tab w:val="right" w:leader="dot" w:pos="9350"/>
            </w:tabs>
            <w:rPr>
              <w:rFonts w:ascii="Times New Roman" w:hAnsi="Times New Roman" w:cs="Times New Roman"/>
              <w:noProof/>
              <w:sz w:val="24"/>
              <w:szCs w:val="24"/>
            </w:rPr>
          </w:pPr>
          <w:hyperlink w:anchor="_Toc227884477" w:history="1">
            <w:r w:rsidR="00946425" w:rsidRPr="00946425">
              <w:rPr>
                <w:rStyle w:val="Hyperlink"/>
                <w:rFonts w:ascii="Times New Roman" w:hAnsi="Times New Roman" w:cs="Times New Roman"/>
                <w:noProof/>
                <w:sz w:val="24"/>
                <w:szCs w:val="24"/>
                <w:lang w:val="en-US"/>
              </w:rPr>
              <w:t>Appendix B: Ratio Calculations</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_Toc227884477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24</w:t>
            </w:r>
            <w:r w:rsidR="00946425" w:rsidRPr="00946425">
              <w:rPr>
                <w:rFonts w:ascii="Times New Roman" w:hAnsi="Times New Roman" w:cs="Times New Roman"/>
                <w:noProof/>
                <w:webHidden/>
                <w:sz w:val="24"/>
                <w:szCs w:val="24"/>
              </w:rPr>
              <w:fldChar w:fldCharType="end"/>
            </w:r>
          </w:hyperlink>
        </w:p>
        <w:p w14:paraId="2B412B7E" w14:textId="4A3092EF" w:rsidR="00946425" w:rsidRPr="00946425" w:rsidRDefault="00000000">
          <w:pPr>
            <w:pStyle w:val="TOC2"/>
            <w:tabs>
              <w:tab w:val="right" w:leader="dot" w:pos="9350"/>
            </w:tabs>
            <w:rPr>
              <w:rFonts w:ascii="Times New Roman" w:hAnsi="Times New Roman" w:cs="Times New Roman"/>
              <w:noProof/>
              <w:sz w:val="24"/>
              <w:szCs w:val="24"/>
            </w:rPr>
          </w:pPr>
          <w:hyperlink w:anchor="_Toc227884478" w:history="1">
            <w:r w:rsidR="00946425" w:rsidRPr="00946425">
              <w:rPr>
                <w:rStyle w:val="Hyperlink"/>
                <w:rFonts w:ascii="Times New Roman" w:hAnsi="Times New Roman" w:cs="Times New Roman"/>
                <w:noProof/>
                <w:sz w:val="24"/>
                <w:szCs w:val="24"/>
                <w:lang w:val="en-US"/>
              </w:rPr>
              <w:t>Appendix C: Graphs and Charts</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_Toc227884478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27</w:t>
            </w:r>
            <w:r w:rsidR="00946425" w:rsidRPr="00946425">
              <w:rPr>
                <w:rFonts w:ascii="Times New Roman" w:hAnsi="Times New Roman" w:cs="Times New Roman"/>
                <w:noProof/>
                <w:webHidden/>
                <w:sz w:val="24"/>
                <w:szCs w:val="24"/>
              </w:rPr>
              <w:fldChar w:fldCharType="end"/>
            </w:r>
          </w:hyperlink>
        </w:p>
        <w:p w14:paraId="7E2E37FE" w14:textId="3D6D2168" w:rsidR="00946425" w:rsidRPr="00946425" w:rsidRDefault="00000000">
          <w:pPr>
            <w:pStyle w:val="TOC2"/>
            <w:tabs>
              <w:tab w:val="right" w:leader="dot" w:pos="9350"/>
            </w:tabs>
            <w:rPr>
              <w:rFonts w:ascii="Times New Roman" w:hAnsi="Times New Roman" w:cs="Times New Roman"/>
              <w:noProof/>
              <w:sz w:val="24"/>
              <w:szCs w:val="24"/>
            </w:rPr>
          </w:pPr>
          <w:hyperlink w:anchor="_Toc227884479" w:history="1">
            <w:r w:rsidR="00946425" w:rsidRPr="00946425">
              <w:rPr>
                <w:rStyle w:val="Hyperlink"/>
                <w:rFonts w:ascii="Times New Roman" w:hAnsi="Times New Roman" w:cs="Times New Roman"/>
                <w:noProof/>
                <w:sz w:val="24"/>
                <w:szCs w:val="24"/>
                <w:lang w:val="en-US"/>
              </w:rPr>
              <w:t>Appendix D: Investment Appraisal Calculations</w:t>
            </w:r>
            <w:r w:rsidR="00946425" w:rsidRPr="00946425">
              <w:rPr>
                <w:rFonts w:ascii="Times New Roman" w:hAnsi="Times New Roman" w:cs="Times New Roman"/>
                <w:noProof/>
                <w:webHidden/>
                <w:sz w:val="24"/>
                <w:szCs w:val="24"/>
              </w:rPr>
              <w:tab/>
            </w:r>
            <w:r w:rsidR="00946425" w:rsidRPr="00946425">
              <w:rPr>
                <w:rFonts w:ascii="Times New Roman" w:hAnsi="Times New Roman" w:cs="Times New Roman"/>
                <w:noProof/>
                <w:webHidden/>
                <w:sz w:val="24"/>
                <w:szCs w:val="24"/>
              </w:rPr>
              <w:fldChar w:fldCharType="begin"/>
            </w:r>
            <w:r w:rsidR="00946425" w:rsidRPr="00946425">
              <w:rPr>
                <w:rFonts w:ascii="Times New Roman" w:hAnsi="Times New Roman" w:cs="Times New Roman"/>
                <w:noProof/>
                <w:webHidden/>
                <w:sz w:val="24"/>
                <w:szCs w:val="24"/>
              </w:rPr>
              <w:instrText xml:space="preserve"> PAGEREF _Toc227884479 \h </w:instrText>
            </w:r>
            <w:r w:rsidR="00946425" w:rsidRPr="00946425">
              <w:rPr>
                <w:rFonts w:ascii="Times New Roman" w:hAnsi="Times New Roman" w:cs="Times New Roman"/>
                <w:noProof/>
                <w:webHidden/>
                <w:sz w:val="24"/>
                <w:szCs w:val="24"/>
              </w:rPr>
            </w:r>
            <w:r w:rsidR="00946425" w:rsidRPr="00946425">
              <w:rPr>
                <w:rFonts w:ascii="Times New Roman" w:hAnsi="Times New Roman" w:cs="Times New Roman"/>
                <w:noProof/>
                <w:webHidden/>
                <w:sz w:val="24"/>
                <w:szCs w:val="24"/>
              </w:rPr>
              <w:fldChar w:fldCharType="separate"/>
            </w:r>
            <w:r w:rsidR="00946425" w:rsidRPr="00946425">
              <w:rPr>
                <w:rFonts w:ascii="Times New Roman" w:hAnsi="Times New Roman" w:cs="Times New Roman"/>
                <w:noProof/>
                <w:webHidden/>
                <w:sz w:val="24"/>
                <w:szCs w:val="24"/>
              </w:rPr>
              <w:t>37</w:t>
            </w:r>
            <w:r w:rsidR="00946425" w:rsidRPr="00946425">
              <w:rPr>
                <w:rFonts w:ascii="Times New Roman" w:hAnsi="Times New Roman" w:cs="Times New Roman"/>
                <w:noProof/>
                <w:webHidden/>
                <w:sz w:val="24"/>
                <w:szCs w:val="24"/>
              </w:rPr>
              <w:fldChar w:fldCharType="end"/>
            </w:r>
          </w:hyperlink>
        </w:p>
        <w:p w14:paraId="2EA2FABE" w14:textId="1EA7698D" w:rsidR="00946425" w:rsidRDefault="00946425">
          <w:r w:rsidRPr="00946425">
            <w:rPr>
              <w:rFonts w:ascii="Times New Roman" w:hAnsi="Times New Roman" w:cs="Times New Roman"/>
              <w:noProof/>
              <w:sz w:val="24"/>
              <w:szCs w:val="24"/>
            </w:rPr>
            <w:fldChar w:fldCharType="end"/>
          </w:r>
        </w:p>
      </w:sdtContent>
    </w:sdt>
    <w:p w14:paraId="6F817740" w14:textId="54AEC4E0" w:rsidR="009416FD" w:rsidRPr="00946425" w:rsidRDefault="009416FD" w:rsidP="00946425">
      <w:pPr>
        <w:jc w:val="both"/>
        <w:rPr>
          <w:rFonts w:ascii="Times New Roman" w:hAnsi="Times New Roman" w:cs="Times New Roman"/>
          <w:sz w:val="24"/>
          <w:szCs w:val="24"/>
        </w:rPr>
      </w:pPr>
      <w:r w:rsidRPr="00946425">
        <w:rPr>
          <w:rFonts w:ascii="Times New Roman" w:hAnsi="Times New Roman" w:cs="Times New Roman"/>
          <w:sz w:val="24"/>
          <w:szCs w:val="24"/>
        </w:rPr>
        <w:br w:type="page"/>
      </w:r>
    </w:p>
    <w:p w14:paraId="11AAF841" w14:textId="77777777" w:rsidR="009416FD" w:rsidRPr="00946425" w:rsidRDefault="009416FD" w:rsidP="00946425">
      <w:pPr>
        <w:pStyle w:val="Heading1"/>
        <w:spacing w:line="360" w:lineRule="auto"/>
        <w:jc w:val="both"/>
        <w:rPr>
          <w:rFonts w:ascii="Times New Roman" w:hAnsi="Times New Roman" w:cs="Times New Roman"/>
          <w:b/>
          <w:bCs/>
          <w:color w:val="auto"/>
          <w:sz w:val="24"/>
          <w:szCs w:val="24"/>
        </w:rPr>
      </w:pPr>
      <w:bookmarkStart w:id="0" w:name="_Toc227884437"/>
      <w:r w:rsidRPr="00946425">
        <w:rPr>
          <w:rFonts w:ascii="Times New Roman" w:hAnsi="Times New Roman" w:cs="Times New Roman"/>
          <w:b/>
          <w:bCs/>
          <w:color w:val="auto"/>
          <w:sz w:val="24"/>
          <w:szCs w:val="24"/>
        </w:rPr>
        <w:lastRenderedPageBreak/>
        <w:t>1. Introduction</w:t>
      </w:r>
      <w:bookmarkEnd w:id="0"/>
    </w:p>
    <w:p w14:paraId="67028770" w14:textId="77777777" w:rsidR="009416FD" w:rsidRPr="00946425" w:rsidRDefault="009416FD" w:rsidP="00946425">
      <w:pPr>
        <w:pStyle w:val="Heading2"/>
        <w:spacing w:line="360" w:lineRule="auto"/>
        <w:jc w:val="both"/>
        <w:rPr>
          <w:rFonts w:ascii="Times New Roman" w:hAnsi="Times New Roman" w:cs="Times New Roman"/>
          <w:b/>
          <w:bCs/>
          <w:color w:val="auto"/>
          <w:sz w:val="24"/>
          <w:szCs w:val="24"/>
        </w:rPr>
      </w:pPr>
      <w:bookmarkStart w:id="1" w:name="_Toc227884438"/>
      <w:r w:rsidRPr="00946425">
        <w:rPr>
          <w:rFonts w:ascii="Times New Roman" w:hAnsi="Times New Roman" w:cs="Times New Roman"/>
          <w:b/>
          <w:bCs/>
          <w:color w:val="auto"/>
          <w:sz w:val="24"/>
          <w:szCs w:val="24"/>
        </w:rPr>
        <w:t>1.1 Background to BYD Company</w:t>
      </w:r>
      <w:bookmarkEnd w:id="1"/>
    </w:p>
    <w:p w14:paraId="2188C687" w14:textId="7777777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BYD Company Limited is a Chinese high-tech production company that was established in 1994 and has operations in the automobiles, batteries, electronics, renewable energy and rail transit. The company has established itself as a significant player in the worldwide fresh energy car market due to its focus on technological innovation, vertical integration and zero-emission mobility solutions. BYD is publicly traded on the Hong Kong and Shenzhen stock exchanges, with its official corporate profile reporting that the company had a 2024 revenue of over RMB 700 billion. Its 2024 Annual Report also indicates that revenue increased to RMB 777.1 billion, profit attributable to shareholders increased to RMB 40.25 billion and that the new energy vehicles of the company had penetrated over 100 countries and regions by the end of 2024.</w:t>
      </w:r>
    </w:p>
    <w:p w14:paraId="57241156" w14:textId="62BA562C" w:rsidR="009416FD" w:rsidRPr="00946425" w:rsidRDefault="009416FD" w:rsidP="00946425">
      <w:pPr>
        <w:pStyle w:val="Heading2"/>
        <w:spacing w:line="360" w:lineRule="auto"/>
        <w:jc w:val="both"/>
        <w:rPr>
          <w:rFonts w:ascii="Times New Roman" w:hAnsi="Times New Roman" w:cs="Times New Roman"/>
          <w:b/>
          <w:bCs/>
          <w:color w:val="auto"/>
          <w:sz w:val="24"/>
          <w:szCs w:val="24"/>
        </w:rPr>
      </w:pPr>
      <w:bookmarkStart w:id="2" w:name="_Toc227884439"/>
      <w:r w:rsidRPr="00946425">
        <w:rPr>
          <w:rFonts w:ascii="Times New Roman" w:hAnsi="Times New Roman" w:cs="Times New Roman"/>
          <w:b/>
          <w:bCs/>
          <w:color w:val="auto"/>
          <w:sz w:val="24"/>
          <w:szCs w:val="24"/>
        </w:rPr>
        <w:t>1.2 Purpose of the Report</w:t>
      </w:r>
      <w:bookmarkEnd w:id="2"/>
    </w:p>
    <w:p w14:paraId="1BFB297E" w14:textId="7777777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In this report, the financial position and strategic financial management of BYD are reviewed in the eyes of a Chief Financial Officer. The goal is to examine the financial performance of the company during the past five years by using the data available on the income statement, balance sheet and cash flow statement with the ratio analysis. The report also evaluates the working capital management of BYD, financial strengths, and weaknesses, and provides viable recommendations to enhance the liquidity and operational efficiency. Furthermore, it also explores the possibilities of restructuring and uses investment appraisal methods to three suggested projects to enable sound and strategically aligned decision making that are financially sound.</w:t>
      </w:r>
    </w:p>
    <w:p w14:paraId="031BF95C" w14:textId="6342FD45" w:rsidR="009416FD" w:rsidRPr="00946425" w:rsidRDefault="009416FD" w:rsidP="00946425">
      <w:pPr>
        <w:pStyle w:val="Heading2"/>
        <w:spacing w:line="360" w:lineRule="auto"/>
        <w:jc w:val="both"/>
        <w:rPr>
          <w:rFonts w:ascii="Times New Roman" w:hAnsi="Times New Roman" w:cs="Times New Roman"/>
          <w:b/>
          <w:bCs/>
          <w:color w:val="auto"/>
          <w:sz w:val="24"/>
          <w:szCs w:val="24"/>
        </w:rPr>
      </w:pPr>
      <w:bookmarkStart w:id="3" w:name="_Toc227884440"/>
      <w:r w:rsidRPr="00946425">
        <w:rPr>
          <w:rFonts w:ascii="Times New Roman" w:hAnsi="Times New Roman" w:cs="Times New Roman"/>
          <w:b/>
          <w:bCs/>
          <w:color w:val="auto"/>
          <w:sz w:val="24"/>
          <w:szCs w:val="24"/>
        </w:rPr>
        <w:t>1.3 Report Structure</w:t>
      </w:r>
      <w:bookmarkEnd w:id="3"/>
    </w:p>
    <w:p w14:paraId="1618043A" w14:textId="4D40EC7C" w:rsidR="009416FD"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 xml:space="preserve">The analysis of the report is structured around four key analytical sections as per the assignment brief. It starts with a financial health assessment in terms of five years ratio analysis, and then a working capital management analysis concerning the cash operating cycle and financing decisions. The third section suggests a financial restructuring plan of BYD with international and ethical recommendations whereas the fourth section </w:t>
      </w:r>
      <w:proofErr w:type="spellStart"/>
      <w:r w:rsidRPr="00946425">
        <w:rPr>
          <w:rFonts w:ascii="Times New Roman" w:hAnsi="Times New Roman" w:cs="Times New Roman"/>
          <w:sz w:val="24"/>
          <w:szCs w:val="24"/>
        </w:rPr>
        <w:t>analyzes</w:t>
      </w:r>
      <w:proofErr w:type="spellEnd"/>
      <w:r w:rsidRPr="00946425">
        <w:rPr>
          <w:rFonts w:ascii="Times New Roman" w:hAnsi="Times New Roman" w:cs="Times New Roman"/>
          <w:sz w:val="24"/>
          <w:szCs w:val="24"/>
        </w:rPr>
        <w:t xml:space="preserve"> three investment projects in terms of payback period, ARR, NPV, PI and IRR and finally suggests the most appropriate project based on the capital rationing.</w:t>
      </w:r>
      <w:r w:rsidR="009416FD" w:rsidRPr="00946425">
        <w:rPr>
          <w:rFonts w:ascii="Times New Roman" w:hAnsi="Times New Roman" w:cs="Times New Roman"/>
          <w:sz w:val="24"/>
          <w:szCs w:val="24"/>
        </w:rPr>
        <w:br w:type="page"/>
      </w:r>
    </w:p>
    <w:p w14:paraId="1A8572DA" w14:textId="77777777" w:rsidR="009416FD" w:rsidRPr="00946425" w:rsidRDefault="009416FD" w:rsidP="00946425">
      <w:pPr>
        <w:pStyle w:val="Heading1"/>
        <w:spacing w:line="360" w:lineRule="auto"/>
        <w:jc w:val="both"/>
        <w:rPr>
          <w:rFonts w:ascii="Times New Roman" w:hAnsi="Times New Roman" w:cs="Times New Roman"/>
          <w:b/>
          <w:bCs/>
          <w:color w:val="auto"/>
          <w:sz w:val="24"/>
          <w:szCs w:val="24"/>
        </w:rPr>
      </w:pPr>
      <w:bookmarkStart w:id="4" w:name="_Toc227884441"/>
      <w:r w:rsidRPr="00946425">
        <w:rPr>
          <w:rFonts w:ascii="Times New Roman" w:hAnsi="Times New Roman" w:cs="Times New Roman"/>
          <w:b/>
          <w:bCs/>
          <w:color w:val="auto"/>
          <w:sz w:val="24"/>
          <w:szCs w:val="24"/>
        </w:rPr>
        <w:lastRenderedPageBreak/>
        <w:t>2. Financial Health Check</w:t>
      </w:r>
      <w:bookmarkEnd w:id="4"/>
    </w:p>
    <w:p w14:paraId="0C93C90D" w14:textId="77777777" w:rsidR="009416FD" w:rsidRPr="00946425" w:rsidRDefault="009416FD" w:rsidP="00946425">
      <w:pPr>
        <w:pStyle w:val="Heading2"/>
        <w:spacing w:line="360" w:lineRule="auto"/>
        <w:jc w:val="both"/>
        <w:rPr>
          <w:rFonts w:ascii="Times New Roman" w:hAnsi="Times New Roman" w:cs="Times New Roman"/>
          <w:b/>
          <w:bCs/>
          <w:color w:val="auto"/>
          <w:sz w:val="24"/>
          <w:szCs w:val="24"/>
        </w:rPr>
      </w:pPr>
      <w:bookmarkStart w:id="5" w:name="_Toc227884442"/>
      <w:r w:rsidRPr="00946425">
        <w:rPr>
          <w:rFonts w:ascii="Times New Roman" w:hAnsi="Times New Roman" w:cs="Times New Roman"/>
          <w:b/>
          <w:bCs/>
          <w:color w:val="auto"/>
          <w:sz w:val="24"/>
          <w:szCs w:val="24"/>
        </w:rPr>
        <w:t>2.1 Overview of Financial Performance</w:t>
      </w:r>
      <w:bookmarkEnd w:id="5"/>
    </w:p>
    <w:p w14:paraId="4440B468" w14:textId="68FA2009"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According to the latest financial reports, BYD has a highly robust scale, profitability and operating cash generation growth. Revenue rose to RMB 777.1 billion in 2024 as compared to 602.3 billion in 2023 whereas profit attributable to shareholders rose to RMB 40.25 billion in 2024 as compared to 30.04 billion in 2023. Revenue has increased significantly within the five years of 2020 to 2024, with a growth of RMB 156.6 billion to 777.1 billion as the company has been expanding its operations and market presence</w:t>
      </w:r>
      <w:r w:rsidR="00864840" w:rsidRPr="00946425">
        <w:rPr>
          <w:rFonts w:ascii="Times New Roman" w:hAnsi="Times New Roman" w:cs="Times New Roman"/>
          <w:sz w:val="24"/>
          <w:szCs w:val="24"/>
        </w:rPr>
        <w:t xml:space="preserve"> (Liang, 2024)</w:t>
      </w:r>
      <w:r w:rsidRPr="00946425">
        <w:rPr>
          <w:rFonts w:ascii="Times New Roman" w:hAnsi="Times New Roman" w:cs="Times New Roman"/>
          <w:sz w:val="24"/>
          <w:szCs w:val="24"/>
        </w:rPr>
        <w:t>. The total assets also rose in 2020, RMB 201.0 billion, to 2024, RMB 783.4 billion, as the company invested in the capacity of production and technology and global expansion in large scale. Concurrently, BYD continued to experience robust operating cash generation, as official 2024 reports showed that net cash flow related to operating activities was RMB 133.5 billion and cash reserves amounted to approximately RMB 154.9 billion</w:t>
      </w:r>
      <w:r w:rsidR="00864840" w:rsidRPr="00946425">
        <w:rPr>
          <w:rFonts w:ascii="Times New Roman" w:hAnsi="Times New Roman" w:cs="Times New Roman"/>
          <w:sz w:val="24"/>
          <w:szCs w:val="24"/>
        </w:rPr>
        <w:t xml:space="preserve"> (Zeng, 2024)</w:t>
      </w:r>
      <w:r w:rsidRPr="00946425">
        <w:rPr>
          <w:rFonts w:ascii="Times New Roman" w:hAnsi="Times New Roman" w:cs="Times New Roman"/>
          <w:sz w:val="24"/>
          <w:szCs w:val="24"/>
        </w:rPr>
        <w:t>. On the whole, the company seems to be more financially sound than it used to be in previous years, though its low current ratio indicates that high growth rates continue to strain short-term liquidity.</w:t>
      </w:r>
    </w:p>
    <w:p w14:paraId="0CB82961" w14:textId="2471FE97" w:rsidR="009416FD" w:rsidRPr="00946425" w:rsidRDefault="009416FD" w:rsidP="00946425">
      <w:pPr>
        <w:pStyle w:val="Heading2"/>
        <w:spacing w:line="360" w:lineRule="auto"/>
        <w:jc w:val="both"/>
        <w:rPr>
          <w:rFonts w:ascii="Times New Roman" w:hAnsi="Times New Roman" w:cs="Times New Roman"/>
          <w:b/>
          <w:bCs/>
          <w:color w:val="auto"/>
          <w:sz w:val="24"/>
          <w:szCs w:val="24"/>
        </w:rPr>
      </w:pPr>
      <w:bookmarkStart w:id="6" w:name="_Toc227884443"/>
      <w:r w:rsidRPr="00946425">
        <w:rPr>
          <w:rFonts w:ascii="Times New Roman" w:hAnsi="Times New Roman" w:cs="Times New Roman"/>
          <w:b/>
          <w:bCs/>
          <w:color w:val="auto"/>
          <w:sz w:val="24"/>
          <w:szCs w:val="24"/>
        </w:rPr>
        <w:t>2.2 Profitability Ratio Analysis</w:t>
      </w:r>
      <w:bookmarkEnd w:id="6"/>
    </w:p>
    <w:p w14:paraId="2CA2C844" w14:textId="7777777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The profitability ratios of BYD show that the company has been improving in its performance in the past five years. Gross profit margin has increased to 16 and 19 in 2022 and 2023 respectively and indicates a better pricing power, better cost control, and benefits of scale economies. This is significant since the BYD company is in an extremely competitive market of EVs where margin pressure is prevalent.</w:t>
      </w:r>
    </w:p>
    <w:p w14:paraId="7BE9A128" w14:textId="097AA6F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The net profit margin has also increased by 1.4 to 3.9 in 2021-22, 5.0 in 2022-24 indicating that a higher percentage of sales revenue is turning into bottom-line profit. The profit available to shareholders increased by 2020 to 2024 by a percentage of RMB 4.23 billion to RMB 40.25 billion respectively, and this indicates a high increase in earnings. The earnings per share also hit RMB 13.84 in 2024, meaning that equity investors can get better returns</w:t>
      </w:r>
      <w:r w:rsidR="00864840" w:rsidRPr="00946425">
        <w:rPr>
          <w:rFonts w:ascii="Times New Roman" w:hAnsi="Times New Roman" w:cs="Times New Roman"/>
          <w:sz w:val="24"/>
          <w:szCs w:val="24"/>
        </w:rPr>
        <w:t xml:space="preserve"> (Zhao, 2024)</w:t>
      </w:r>
      <w:r w:rsidRPr="00946425">
        <w:rPr>
          <w:rFonts w:ascii="Times New Roman" w:hAnsi="Times New Roman" w:cs="Times New Roman"/>
          <w:sz w:val="24"/>
          <w:szCs w:val="24"/>
        </w:rPr>
        <w:t>.</w:t>
      </w:r>
    </w:p>
    <w:p w14:paraId="04A86105" w14:textId="2D3E6705"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 xml:space="preserve">The trend in profitability indicates that BYD has ceased being a relatively low-margin growth enterprise and become a more efficient financially and commercially developed business. This performance seems to have been facilitated by its vertical integration, high investment in Research </w:t>
      </w:r>
      <w:r w:rsidRPr="00946425">
        <w:rPr>
          <w:rFonts w:ascii="Times New Roman" w:hAnsi="Times New Roman" w:cs="Times New Roman"/>
          <w:sz w:val="24"/>
          <w:szCs w:val="24"/>
        </w:rPr>
        <w:lastRenderedPageBreak/>
        <w:t>and Development and increasing sales in foreign markets. Nonetheless, profitability is to be determined with caution since the automotive industry is susceptible to price wars, regulatory transformation and increasing operational expenses. Nevertheless, the increase in its margin indicates a definite positive development in the financial position of BYD</w:t>
      </w:r>
      <w:r w:rsidR="00864840" w:rsidRPr="00946425">
        <w:rPr>
          <w:rFonts w:ascii="Times New Roman" w:hAnsi="Times New Roman" w:cs="Times New Roman"/>
          <w:sz w:val="24"/>
          <w:szCs w:val="24"/>
        </w:rPr>
        <w:t xml:space="preserve"> (Zhao, 2024)</w:t>
      </w:r>
      <w:r w:rsidRPr="00946425">
        <w:rPr>
          <w:rFonts w:ascii="Times New Roman" w:hAnsi="Times New Roman" w:cs="Times New Roman"/>
          <w:sz w:val="24"/>
          <w:szCs w:val="24"/>
        </w:rPr>
        <w:t>.</w:t>
      </w:r>
    </w:p>
    <w:p w14:paraId="321121D1" w14:textId="26076487" w:rsidR="009416FD" w:rsidRPr="00946425" w:rsidRDefault="009416FD" w:rsidP="00946425">
      <w:pPr>
        <w:pStyle w:val="Heading2"/>
        <w:spacing w:line="360" w:lineRule="auto"/>
        <w:jc w:val="both"/>
        <w:rPr>
          <w:rFonts w:ascii="Times New Roman" w:hAnsi="Times New Roman" w:cs="Times New Roman"/>
          <w:b/>
          <w:bCs/>
          <w:color w:val="auto"/>
          <w:sz w:val="24"/>
          <w:szCs w:val="24"/>
        </w:rPr>
      </w:pPr>
      <w:bookmarkStart w:id="7" w:name="_Toc227884444"/>
      <w:r w:rsidRPr="00946425">
        <w:rPr>
          <w:rFonts w:ascii="Times New Roman" w:hAnsi="Times New Roman" w:cs="Times New Roman"/>
          <w:b/>
          <w:bCs/>
          <w:color w:val="auto"/>
          <w:sz w:val="24"/>
          <w:szCs w:val="24"/>
        </w:rPr>
        <w:t>2.3 Liquidity Ratio Analysis</w:t>
      </w:r>
      <w:bookmarkEnd w:id="7"/>
    </w:p>
    <w:p w14:paraId="6FB64C9C" w14:textId="7777777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Liquidity position of BYD is more of a mixed one as compared to its profitability performance. The current ratio was 1.05 in 2020, 0.97 in 2021, 0.72 in 2022, 0.67 in 2023 and 0.75 in 2024, showing that current liabilities have generally exceeded current assets in recent years. This implies a fairly narrow short-term liquidity stance and implies that the company might have to depend extensively on effective working capital management to achieve its short-term liabilities.</w:t>
      </w:r>
    </w:p>
    <w:p w14:paraId="3FA5F130" w14:textId="26941EFE"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 xml:space="preserve">But other positive indicators partially compensate the liquidity risk. BYD has a better working capital efficiency with a reduction in the number of days in the </w:t>
      </w:r>
      <w:proofErr w:type="gramStart"/>
      <w:r w:rsidRPr="00946425">
        <w:rPr>
          <w:rFonts w:ascii="Times New Roman" w:hAnsi="Times New Roman" w:cs="Times New Roman"/>
          <w:sz w:val="24"/>
          <w:szCs w:val="24"/>
        </w:rPr>
        <w:t>receivables</w:t>
      </w:r>
      <w:proofErr w:type="gramEnd"/>
      <w:r w:rsidRPr="00946425">
        <w:rPr>
          <w:rFonts w:ascii="Times New Roman" w:hAnsi="Times New Roman" w:cs="Times New Roman"/>
          <w:sz w:val="24"/>
          <w:szCs w:val="24"/>
        </w:rPr>
        <w:t xml:space="preserve"> turnover of 135 days in 2020 to 35 days in 2024 and an inventory turnover of 82 days in 2020 reducing to 61 days in 2024. Moreover, the company has cash reserves of approximately RMB 154.9 billion and net operating cash flow of RMB 133.5 billion in 2024, which enhances its capacity to address the short-term financial strain</w:t>
      </w:r>
      <w:r w:rsidR="00864840" w:rsidRPr="00946425">
        <w:rPr>
          <w:rFonts w:ascii="Times New Roman" w:hAnsi="Times New Roman" w:cs="Times New Roman"/>
          <w:sz w:val="24"/>
          <w:szCs w:val="24"/>
        </w:rPr>
        <w:t xml:space="preserve"> (Zhang, 2024)</w:t>
      </w:r>
      <w:r w:rsidRPr="00946425">
        <w:rPr>
          <w:rFonts w:ascii="Times New Roman" w:hAnsi="Times New Roman" w:cs="Times New Roman"/>
          <w:sz w:val="24"/>
          <w:szCs w:val="24"/>
        </w:rPr>
        <w:t>.</w:t>
      </w:r>
    </w:p>
    <w:p w14:paraId="1A5FB63D" w14:textId="7777777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Thus, despite the current ratio staying below 1, the increasing cash generation and accelerating turnover of receivables and inventory of BYD can indicate that its liquidity status is not critical but manageable. As long as this trend persists, BYD can potentially sustain future growth, without being strained by acute short-term funding requirements.</w:t>
      </w:r>
    </w:p>
    <w:p w14:paraId="006D0D41" w14:textId="3313D1AD" w:rsidR="009416FD" w:rsidRPr="00946425" w:rsidRDefault="009416FD" w:rsidP="00946425">
      <w:pPr>
        <w:pStyle w:val="Heading2"/>
        <w:spacing w:line="360" w:lineRule="auto"/>
        <w:jc w:val="both"/>
        <w:rPr>
          <w:rFonts w:ascii="Times New Roman" w:hAnsi="Times New Roman" w:cs="Times New Roman"/>
          <w:b/>
          <w:bCs/>
          <w:color w:val="auto"/>
          <w:sz w:val="24"/>
          <w:szCs w:val="24"/>
        </w:rPr>
      </w:pPr>
      <w:bookmarkStart w:id="8" w:name="_Toc227884445"/>
      <w:r w:rsidRPr="00946425">
        <w:rPr>
          <w:rFonts w:ascii="Times New Roman" w:hAnsi="Times New Roman" w:cs="Times New Roman"/>
          <w:b/>
          <w:bCs/>
          <w:color w:val="auto"/>
          <w:sz w:val="24"/>
          <w:szCs w:val="24"/>
        </w:rPr>
        <w:t>2.4 Efficiency Ratio Analysis</w:t>
      </w:r>
      <w:bookmarkEnd w:id="8"/>
    </w:p>
    <w:p w14:paraId="35FB54FD" w14:textId="7777777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The efficiency ratios of BYD indicate that the company has become more efficient in its management of receivables, inventory and overall operations as the company has grown. According to the 2024 Annual Report, receivables turnover days fell from 135 days in 2020 to 95 days in 2021, 53 days in 2022, 43 days in 2023 and 35 days in 2024. This is a big plus and shows that BYD has improved tremendously in terms of its ability to turn credit sales into cash that promotes liquidity and decreases working capital strain.</w:t>
      </w:r>
    </w:p>
    <w:p w14:paraId="05F82D9A" w14:textId="00985A62"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 xml:space="preserve">Inventory turnover days also improved, falling from 82 days in 2020 to 73 in 2021, 63 in 2022, 63 in 2023 and 61 in 2024. This implies better inventory management and an effective production and </w:t>
      </w:r>
      <w:r w:rsidRPr="00946425">
        <w:rPr>
          <w:rFonts w:ascii="Times New Roman" w:hAnsi="Times New Roman" w:cs="Times New Roman"/>
          <w:sz w:val="24"/>
          <w:szCs w:val="24"/>
        </w:rPr>
        <w:lastRenderedPageBreak/>
        <w:t>sales cycle, though the rather high stockholding ratio is acceptable in a manufacturing-intensive EV company</w:t>
      </w:r>
      <w:r w:rsidR="004D433B" w:rsidRPr="00946425">
        <w:rPr>
          <w:rFonts w:ascii="Times New Roman" w:hAnsi="Times New Roman" w:cs="Times New Roman"/>
          <w:sz w:val="24"/>
          <w:szCs w:val="24"/>
        </w:rPr>
        <w:t xml:space="preserve"> (Lin, 2023)</w:t>
      </w:r>
      <w:r w:rsidRPr="00946425">
        <w:rPr>
          <w:rFonts w:ascii="Times New Roman" w:hAnsi="Times New Roman" w:cs="Times New Roman"/>
          <w:sz w:val="24"/>
          <w:szCs w:val="24"/>
        </w:rPr>
        <w:t>.</w:t>
      </w:r>
    </w:p>
    <w:p w14:paraId="104B4B97" w14:textId="59E5E8ED"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Such gains are significant since BYD has grown tremendously on the domestic and foreign markets, selling 4.27 million vehicles in 2024 and earning RMB 221.9 billion in foreign revenues. Increased collection of receivables and the reduction in inventory days means that the growth has been accompanied by the evolution of operating systems. In general, BYD seems to be performing well in terms of efficiency, as the company is more quickly converting working capital and maintaining significant growth in sales volumes and global expansion</w:t>
      </w:r>
      <w:r w:rsidR="004D433B" w:rsidRPr="00946425">
        <w:rPr>
          <w:rFonts w:ascii="Times New Roman" w:hAnsi="Times New Roman" w:cs="Times New Roman"/>
          <w:sz w:val="24"/>
          <w:szCs w:val="24"/>
        </w:rPr>
        <w:t xml:space="preserve"> (Lin, 2023)</w:t>
      </w:r>
      <w:r w:rsidRPr="00946425">
        <w:rPr>
          <w:rFonts w:ascii="Times New Roman" w:hAnsi="Times New Roman" w:cs="Times New Roman"/>
          <w:sz w:val="24"/>
          <w:szCs w:val="24"/>
        </w:rPr>
        <w:t>.</w:t>
      </w:r>
    </w:p>
    <w:p w14:paraId="334BC502" w14:textId="44FF46C8" w:rsidR="009416FD" w:rsidRPr="00946425" w:rsidRDefault="009416FD" w:rsidP="00946425">
      <w:pPr>
        <w:pStyle w:val="Heading2"/>
        <w:spacing w:line="360" w:lineRule="auto"/>
        <w:jc w:val="both"/>
        <w:rPr>
          <w:rFonts w:ascii="Times New Roman" w:hAnsi="Times New Roman" w:cs="Times New Roman"/>
          <w:b/>
          <w:bCs/>
          <w:color w:val="auto"/>
          <w:sz w:val="24"/>
          <w:szCs w:val="24"/>
        </w:rPr>
      </w:pPr>
      <w:bookmarkStart w:id="9" w:name="_Toc227884446"/>
      <w:r w:rsidRPr="00946425">
        <w:rPr>
          <w:rFonts w:ascii="Times New Roman" w:hAnsi="Times New Roman" w:cs="Times New Roman"/>
          <w:b/>
          <w:bCs/>
          <w:color w:val="auto"/>
          <w:sz w:val="24"/>
          <w:szCs w:val="24"/>
        </w:rPr>
        <w:t>2.5 Gearing and Solvency Analysis</w:t>
      </w:r>
      <w:bookmarkEnd w:id="9"/>
    </w:p>
    <w:p w14:paraId="54A5918B" w14:textId="7777777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The gearing and solvency status of BYD is rather good, despite such huge scope of expansion. Gearing is defined in its annual report as a ratio of total borrowings netted against cash and cash equivalents against net assets less minority interests and in 2020 it was 23, in 2021 it was 7, in 2022 it was 4, in 2023 it was 1 and in 2024 it was 2. This low gearing value indicates that BYD is not over-reliant on net borrowing and has built up its balance sheet over the years.</w:t>
      </w:r>
    </w:p>
    <w:p w14:paraId="6ECD52F1" w14:textId="79E794DC"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This is also supported by the wider capital structure of BYD. The total liabilities were growing as the business grew, but total equity was growing very strongly (as well) to approximately RMB 198.7 billion in 2024 following RMB 64.5 billion in 2020. Moreover, BYD has announced that the interest-bearing debt decreased between 2023 and 2024 by RMB 36.55 billion to 28.58 billion indicating that only 4.9% of total liabilities are covered by interest bearing debt</w:t>
      </w:r>
      <w:r w:rsidR="004D433B" w:rsidRPr="00946425">
        <w:rPr>
          <w:rFonts w:ascii="Times New Roman" w:hAnsi="Times New Roman" w:cs="Times New Roman"/>
          <w:sz w:val="24"/>
          <w:szCs w:val="24"/>
        </w:rPr>
        <w:t xml:space="preserve"> (Yang, 2024)</w:t>
      </w:r>
      <w:r w:rsidRPr="00946425">
        <w:rPr>
          <w:rFonts w:ascii="Times New Roman" w:hAnsi="Times New Roman" w:cs="Times New Roman"/>
          <w:sz w:val="24"/>
          <w:szCs w:val="24"/>
        </w:rPr>
        <w:t>.</w:t>
      </w:r>
    </w:p>
    <w:p w14:paraId="4E0FDD50" w14:textId="7777777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 xml:space="preserve">This implies high solvency and financial strength in the long term. The conclusion here is that BYD remains free to borrow as and when required but future growth based on debt should be reviewed bearing in mind the competition in the industry and the high </w:t>
      </w:r>
      <w:proofErr w:type="gramStart"/>
      <w:r w:rsidRPr="00946425">
        <w:rPr>
          <w:rFonts w:ascii="Times New Roman" w:hAnsi="Times New Roman" w:cs="Times New Roman"/>
          <w:sz w:val="24"/>
          <w:szCs w:val="24"/>
        </w:rPr>
        <w:t>capital intensive</w:t>
      </w:r>
      <w:proofErr w:type="gramEnd"/>
      <w:r w:rsidRPr="00946425">
        <w:rPr>
          <w:rFonts w:ascii="Times New Roman" w:hAnsi="Times New Roman" w:cs="Times New Roman"/>
          <w:sz w:val="24"/>
          <w:szCs w:val="24"/>
        </w:rPr>
        <w:t xml:space="preserve"> nature of the investment.</w:t>
      </w:r>
    </w:p>
    <w:p w14:paraId="6EE96487" w14:textId="05DB6DCC" w:rsidR="009416FD" w:rsidRPr="00946425" w:rsidRDefault="009416FD" w:rsidP="00946425">
      <w:pPr>
        <w:pStyle w:val="Heading2"/>
        <w:spacing w:line="360" w:lineRule="auto"/>
        <w:jc w:val="both"/>
        <w:rPr>
          <w:rFonts w:ascii="Times New Roman" w:hAnsi="Times New Roman" w:cs="Times New Roman"/>
          <w:b/>
          <w:bCs/>
          <w:color w:val="auto"/>
          <w:sz w:val="24"/>
          <w:szCs w:val="24"/>
        </w:rPr>
      </w:pPr>
      <w:bookmarkStart w:id="10" w:name="_Toc227884447"/>
      <w:r w:rsidRPr="00946425">
        <w:rPr>
          <w:rFonts w:ascii="Times New Roman" w:hAnsi="Times New Roman" w:cs="Times New Roman"/>
          <w:b/>
          <w:bCs/>
          <w:color w:val="auto"/>
          <w:sz w:val="24"/>
          <w:szCs w:val="24"/>
        </w:rPr>
        <w:t>2.6 Investment and Cash Flow Analysis</w:t>
      </w:r>
      <w:bookmarkEnd w:id="10"/>
    </w:p>
    <w:p w14:paraId="5D71E60D" w14:textId="7777777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 xml:space="preserve">The investment and cash flow profile of BYD indicate that it is a </w:t>
      </w:r>
      <w:proofErr w:type="gramStart"/>
      <w:r w:rsidRPr="00946425">
        <w:rPr>
          <w:rFonts w:ascii="Times New Roman" w:hAnsi="Times New Roman" w:cs="Times New Roman"/>
          <w:sz w:val="24"/>
          <w:szCs w:val="24"/>
        </w:rPr>
        <w:t>growth oriented</w:t>
      </w:r>
      <w:proofErr w:type="gramEnd"/>
      <w:r w:rsidRPr="00946425">
        <w:rPr>
          <w:rFonts w:ascii="Times New Roman" w:hAnsi="Times New Roman" w:cs="Times New Roman"/>
          <w:sz w:val="24"/>
          <w:szCs w:val="24"/>
        </w:rPr>
        <w:t xml:space="preserve"> company with a financial capability to finance the growth. The company has focused on innovation, battery technology and intelligent vehicle system with a strategic investment in 2024 of RMB 54.2 billion in research and development. This investment is the one that helps maintain competitiveness in the long run but it needs to be sustained in profitability and cash generation.</w:t>
      </w:r>
    </w:p>
    <w:p w14:paraId="759378AC" w14:textId="7777777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lastRenderedPageBreak/>
        <w:t>In 2024, the cash flow performance of the company was good. The net cash flow of operating activities amounted to RMB 133.5 billion and cash reserves have increased to RMB 154.9 billion which are record levels, according to official BYD disclosures. High operating cash flow will be significant in the sense that it shows that BYD is converting its profits into cash and not just account earnings.</w:t>
      </w:r>
    </w:p>
    <w:p w14:paraId="7352FA50" w14:textId="4DA5791D" w:rsidR="009416FD" w:rsidRPr="009416FD"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Investor-wise, the company earned RMB 13.84 per share in 2024, which is a good indicator of better returns to investors. On the whole, the potential ability of BYD to integrate high investment expenditures and robust operating cash inflows imply good financial foundation of the future projects, internationalization and possible restructuring should it be necessary.</w:t>
      </w:r>
    </w:p>
    <w:p w14:paraId="29F5B934" w14:textId="3737EC87" w:rsidR="009416FD" w:rsidRPr="00946425" w:rsidRDefault="009416FD"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br w:type="page"/>
      </w:r>
    </w:p>
    <w:p w14:paraId="3881F401" w14:textId="77777777" w:rsidR="009416FD" w:rsidRPr="00946425" w:rsidRDefault="009416FD" w:rsidP="00946425">
      <w:pPr>
        <w:pStyle w:val="Heading1"/>
        <w:spacing w:line="360" w:lineRule="auto"/>
        <w:jc w:val="both"/>
        <w:rPr>
          <w:rFonts w:ascii="Times New Roman" w:hAnsi="Times New Roman" w:cs="Times New Roman"/>
          <w:b/>
          <w:bCs/>
          <w:color w:val="auto"/>
          <w:sz w:val="24"/>
          <w:szCs w:val="24"/>
        </w:rPr>
      </w:pPr>
      <w:bookmarkStart w:id="11" w:name="_Toc227884448"/>
      <w:r w:rsidRPr="00946425">
        <w:rPr>
          <w:rFonts w:ascii="Times New Roman" w:hAnsi="Times New Roman" w:cs="Times New Roman"/>
          <w:b/>
          <w:bCs/>
          <w:color w:val="auto"/>
          <w:sz w:val="24"/>
          <w:szCs w:val="24"/>
        </w:rPr>
        <w:lastRenderedPageBreak/>
        <w:t>3. Working Capital Management Analysis</w:t>
      </w:r>
      <w:bookmarkEnd w:id="11"/>
    </w:p>
    <w:p w14:paraId="6C7A8FF8" w14:textId="77777777" w:rsidR="009416FD" w:rsidRPr="00946425" w:rsidRDefault="009416FD" w:rsidP="00946425">
      <w:pPr>
        <w:pStyle w:val="Heading2"/>
        <w:spacing w:line="360" w:lineRule="auto"/>
        <w:jc w:val="both"/>
        <w:rPr>
          <w:rFonts w:ascii="Times New Roman" w:hAnsi="Times New Roman" w:cs="Times New Roman"/>
          <w:b/>
          <w:bCs/>
          <w:color w:val="auto"/>
          <w:sz w:val="24"/>
          <w:szCs w:val="24"/>
        </w:rPr>
      </w:pPr>
      <w:bookmarkStart w:id="12" w:name="_Toc227884449"/>
      <w:r w:rsidRPr="00946425">
        <w:rPr>
          <w:rFonts w:ascii="Times New Roman" w:hAnsi="Times New Roman" w:cs="Times New Roman"/>
          <w:b/>
          <w:bCs/>
          <w:color w:val="auto"/>
          <w:sz w:val="24"/>
          <w:szCs w:val="24"/>
        </w:rPr>
        <w:t>3.1 Working Capital Position</w:t>
      </w:r>
      <w:bookmarkEnd w:id="12"/>
    </w:p>
    <w:p w14:paraId="41D265FF" w14:textId="65D62186"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 xml:space="preserve">The working capital position of BYD seems to be tight, even though it has a high profitability and cash generation. Current liabilities in 2024 were approximately RMB 496.0 billion whereas the current assets were significantly lower and this means that the company has negative working capital and this could be one reason why the current ratio was less than 1. This implies that BYD is heavily dependent on an effective turnover of receivables, inventory and payables to facilitate day to day operations. This is not the only position that can be taken in large scale manufacturing firms that have good supplier credit but this position, nonetheless, adds liquidity pressure in the short term in case the operating conditions deteriorate. This risk is in part compensated by a strong operating cash flow and high cash reserves of </w:t>
      </w:r>
      <w:proofErr w:type="gramStart"/>
      <w:r w:rsidRPr="00946425">
        <w:rPr>
          <w:rFonts w:ascii="Times New Roman" w:hAnsi="Times New Roman" w:cs="Times New Roman"/>
          <w:sz w:val="24"/>
          <w:szCs w:val="24"/>
        </w:rPr>
        <w:t>BYD,</w:t>
      </w:r>
      <w:proofErr w:type="gramEnd"/>
      <w:r w:rsidRPr="00946425">
        <w:rPr>
          <w:rFonts w:ascii="Times New Roman" w:hAnsi="Times New Roman" w:cs="Times New Roman"/>
          <w:sz w:val="24"/>
          <w:szCs w:val="24"/>
        </w:rPr>
        <w:t xml:space="preserve"> however, its working cash structure is aggressive and needs to be monitored closely because the company is growing internationally</w:t>
      </w:r>
      <w:r w:rsidR="004D433B" w:rsidRPr="00946425">
        <w:rPr>
          <w:rFonts w:ascii="Times New Roman" w:hAnsi="Times New Roman" w:cs="Times New Roman"/>
          <w:sz w:val="24"/>
          <w:szCs w:val="24"/>
        </w:rPr>
        <w:t xml:space="preserve"> (Twelve Data, 2025)</w:t>
      </w:r>
      <w:r w:rsidRPr="00946425">
        <w:rPr>
          <w:rFonts w:ascii="Times New Roman" w:hAnsi="Times New Roman" w:cs="Times New Roman"/>
          <w:sz w:val="24"/>
          <w:szCs w:val="24"/>
        </w:rPr>
        <w:t>.</w:t>
      </w:r>
    </w:p>
    <w:p w14:paraId="45E22F39" w14:textId="493999E9" w:rsidR="009416FD" w:rsidRPr="00946425" w:rsidRDefault="009416FD" w:rsidP="00946425">
      <w:pPr>
        <w:pStyle w:val="Heading2"/>
        <w:spacing w:line="360" w:lineRule="auto"/>
        <w:jc w:val="both"/>
        <w:rPr>
          <w:rFonts w:ascii="Times New Roman" w:hAnsi="Times New Roman" w:cs="Times New Roman"/>
          <w:b/>
          <w:bCs/>
          <w:color w:val="auto"/>
          <w:sz w:val="24"/>
          <w:szCs w:val="24"/>
        </w:rPr>
      </w:pPr>
      <w:bookmarkStart w:id="13" w:name="_Toc227884450"/>
      <w:r w:rsidRPr="00946425">
        <w:rPr>
          <w:rFonts w:ascii="Times New Roman" w:hAnsi="Times New Roman" w:cs="Times New Roman"/>
          <w:b/>
          <w:bCs/>
          <w:color w:val="auto"/>
          <w:sz w:val="24"/>
          <w:szCs w:val="24"/>
        </w:rPr>
        <w:t>3.2 Cash Operating Cycle Analysis</w:t>
      </w:r>
      <w:bookmarkEnd w:id="13"/>
    </w:p>
    <w:p w14:paraId="03D40D33" w14:textId="3B87925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 xml:space="preserve">The cash operating cycle is used to determine the duration within which a company has invested its cash in operations before it is recouped by receiving customer payments. It is generally computed as the sum of the </w:t>
      </w:r>
      <w:proofErr w:type="gramStart"/>
      <w:r w:rsidRPr="00946425">
        <w:rPr>
          <w:rFonts w:ascii="Times New Roman" w:hAnsi="Times New Roman" w:cs="Times New Roman"/>
          <w:sz w:val="24"/>
          <w:szCs w:val="24"/>
        </w:rPr>
        <w:t>receivables</w:t>
      </w:r>
      <w:proofErr w:type="gramEnd"/>
      <w:r w:rsidRPr="00946425">
        <w:rPr>
          <w:rFonts w:ascii="Times New Roman" w:hAnsi="Times New Roman" w:cs="Times New Roman"/>
          <w:sz w:val="24"/>
          <w:szCs w:val="24"/>
        </w:rPr>
        <w:t xml:space="preserve"> days and inventory days less the payable days. According to the annual data provided by BYD in 2024, its receivables days are approximately 35, inventory days are 61 and its payable days are significantly longer, creating a negative cash operating cycle</w:t>
      </w:r>
      <w:r w:rsidR="004D433B" w:rsidRPr="00946425">
        <w:rPr>
          <w:rFonts w:ascii="Times New Roman" w:hAnsi="Times New Roman" w:cs="Times New Roman"/>
          <w:sz w:val="24"/>
          <w:szCs w:val="24"/>
        </w:rPr>
        <w:t xml:space="preserve"> (</w:t>
      </w:r>
      <w:proofErr w:type="spellStart"/>
      <w:r w:rsidR="004D433B" w:rsidRPr="00946425">
        <w:rPr>
          <w:rFonts w:ascii="Times New Roman" w:hAnsi="Times New Roman" w:cs="Times New Roman"/>
          <w:sz w:val="24"/>
          <w:szCs w:val="24"/>
        </w:rPr>
        <w:t>GuruFocus</w:t>
      </w:r>
      <w:proofErr w:type="spellEnd"/>
      <w:r w:rsidR="004D433B" w:rsidRPr="00946425">
        <w:rPr>
          <w:rFonts w:ascii="Times New Roman" w:hAnsi="Times New Roman" w:cs="Times New Roman"/>
          <w:sz w:val="24"/>
          <w:szCs w:val="24"/>
        </w:rPr>
        <w:t>, 2025)</w:t>
      </w:r>
      <w:r w:rsidRPr="00946425">
        <w:rPr>
          <w:rFonts w:ascii="Times New Roman" w:hAnsi="Times New Roman" w:cs="Times New Roman"/>
          <w:sz w:val="24"/>
          <w:szCs w:val="24"/>
        </w:rPr>
        <w:t>.</w:t>
      </w:r>
    </w:p>
    <w:p w14:paraId="790B1220" w14:textId="7777777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This can be a great help in liquidity management because a negative cycle implies that BYD typically gets cash supplied by customers and does not need to pay suppliers to the full extent. This structure promotes internal financing of growth and less dependence on external short-term borrowing. The increasing receivables turnover and decreasing inventory days also indicate increased operational efficiency in the long run at BYD. Moreover, BYD has mentioned that in 2024 it reinforced collaboration with the supply-chain partners and also improved its payment cycles to upstream suppliers, implying that it actively manages the relations with suppliers in addition to its expansion.</w:t>
      </w:r>
    </w:p>
    <w:p w14:paraId="19FBEB89" w14:textId="7777777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lastRenderedPageBreak/>
        <w:t>In general, cash operating cycle of BYD seems to be efficient and favourable to growth. The sustainability of the model, however, is based on the continued high sales, the confidence of the suppliers and good management of the inventory. With the market demand decelerating or suppliers becoming more demanding in terms, the negative working capital model used by BYD might become more challenging to sustain.</w:t>
      </w:r>
    </w:p>
    <w:p w14:paraId="5858A79E" w14:textId="35F1D818" w:rsidR="009416FD" w:rsidRPr="00946425" w:rsidRDefault="009416FD" w:rsidP="00946425">
      <w:pPr>
        <w:pStyle w:val="Heading2"/>
        <w:spacing w:line="360" w:lineRule="auto"/>
        <w:jc w:val="both"/>
        <w:rPr>
          <w:rFonts w:ascii="Times New Roman" w:hAnsi="Times New Roman" w:cs="Times New Roman"/>
          <w:b/>
          <w:bCs/>
          <w:color w:val="auto"/>
          <w:sz w:val="24"/>
          <w:szCs w:val="24"/>
        </w:rPr>
      </w:pPr>
      <w:bookmarkStart w:id="14" w:name="_Toc227884451"/>
      <w:r w:rsidRPr="00946425">
        <w:rPr>
          <w:rFonts w:ascii="Times New Roman" w:hAnsi="Times New Roman" w:cs="Times New Roman"/>
          <w:b/>
          <w:bCs/>
          <w:color w:val="auto"/>
          <w:sz w:val="24"/>
          <w:szCs w:val="24"/>
        </w:rPr>
        <w:t>3.3 Liquidity Risks and Operational Issues</w:t>
      </w:r>
      <w:bookmarkEnd w:id="14"/>
    </w:p>
    <w:p w14:paraId="24858575" w14:textId="2E0BFDC3"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The primary liquidity risk that BYD is exposed to is that short-term liability is high in comparison with the short-term assets. Although a negative working capital model may be efficient, it does not provide as much leeway in case EV demand declines, customer payments become sluggish, or inventory accumulates unforeseen. The fast global growth of BYD can also pose operational stress due to increased logistics demands, cross-border payments, currency exposure and increased supply-chain coordination</w:t>
      </w:r>
      <w:r w:rsidR="004D433B" w:rsidRPr="00946425">
        <w:rPr>
          <w:rFonts w:ascii="Times New Roman" w:hAnsi="Times New Roman" w:cs="Times New Roman"/>
          <w:sz w:val="24"/>
          <w:szCs w:val="24"/>
        </w:rPr>
        <w:t xml:space="preserve"> (Filbeck and Barkley, 2023)</w:t>
      </w:r>
      <w:r w:rsidRPr="00946425">
        <w:rPr>
          <w:rFonts w:ascii="Times New Roman" w:hAnsi="Times New Roman" w:cs="Times New Roman"/>
          <w:sz w:val="24"/>
          <w:szCs w:val="24"/>
        </w:rPr>
        <w:t>.</w:t>
      </w:r>
    </w:p>
    <w:p w14:paraId="44F9E1D2" w14:textId="7922E11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The reliance on good supplier relations is another problem of BYD. In case of limiting credit support by suppliers or accelerated payment, the short-term cash pressure may grow. Moreover, the EV market is very competitive, which implies that price decreases or compression of margins may decrease the cash that is available to finance working capital requirements. Thus, liquidity is not a significant issue in BYD, but operational discipline is still crucial</w:t>
      </w:r>
      <w:r w:rsidR="004D433B" w:rsidRPr="00946425">
        <w:rPr>
          <w:rFonts w:ascii="Times New Roman" w:hAnsi="Times New Roman" w:cs="Times New Roman"/>
          <w:sz w:val="24"/>
          <w:szCs w:val="24"/>
        </w:rPr>
        <w:t xml:space="preserve"> (Ashok Panigrahi, 2024)</w:t>
      </w:r>
      <w:r w:rsidRPr="00946425">
        <w:rPr>
          <w:rFonts w:ascii="Times New Roman" w:hAnsi="Times New Roman" w:cs="Times New Roman"/>
          <w:sz w:val="24"/>
          <w:szCs w:val="24"/>
        </w:rPr>
        <w:t>.</w:t>
      </w:r>
    </w:p>
    <w:p w14:paraId="77371059" w14:textId="705D43AB" w:rsidR="009416FD" w:rsidRPr="00946425" w:rsidRDefault="009416FD" w:rsidP="00946425">
      <w:pPr>
        <w:pStyle w:val="Heading2"/>
        <w:spacing w:line="360" w:lineRule="auto"/>
        <w:jc w:val="both"/>
        <w:rPr>
          <w:rFonts w:ascii="Times New Roman" w:hAnsi="Times New Roman" w:cs="Times New Roman"/>
          <w:b/>
          <w:bCs/>
          <w:color w:val="auto"/>
          <w:sz w:val="24"/>
          <w:szCs w:val="24"/>
        </w:rPr>
      </w:pPr>
      <w:bookmarkStart w:id="15" w:name="_Toc227884452"/>
      <w:r w:rsidRPr="00946425">
        <w:rPr>
          <w:rFonts w:ascii="Times New Roman" w:hAnsi="Times New Roman" w:cs="Times New Roman"/>
          <w:b/>
          <w:bCs/>
          <w:color w:val="auto"/>
          <w:sz w:val="24"/>
          <w:szCs w:val="24"/>
        </w:rPr>
        <w:t>3.4 Working Capital Improvement Strategies</w:t>
      </w:r>
      <w:bookmarkEnd w:id="15"/>
    </w:p>
    <w:p w14:paraId="16656FE9" w14:textId="0CA76999"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To enhance liquidity without retarding growth, BYD needs to implement a number of targeted working capital strategies. First, it needs to keep enhancing receivables management by tightening credit evaluation, accelerating the issuance of invoices and enhancing collection procedures since a shorter cash conversion cycle will decrease reliance on external finance. Second, the inventory management needs to be streamlined by having improved demand prediction, enhanced production planning and enhanced coordination between the procurement and sales teams in order to ensure that the stock that remains does not consume unnecessary cash</w:t>
      </w:r>
      <w:r w:rsidR="004D433B" w:rsidRPr="00946425">
        <w:rPr>
          <w:rFonts w:ascii="Times New Roman" w:hAnsi="Times New Roman" w:cs="Times New Roman"/>
          <w:sz w:val="24"/>
          <w:szCs w:val="24"/>
        </w:rPr>
        <w:t xml:space="preserve"> (Filbeck and Barkley, 2023)</w:t>
      </w:r>
      <w:r w:rsidRPr="00946425">
        <w:rPr>
          <w:rFonts w:ascii="Times New Roman" w:hAnsi="Times New Roman" w:cs="Times New Roman"/>
          <w:sz w:val="24"/>
          <w:szCs w:val="24"/>
        </w:rPr>
        <w:t>.</w:t>
      </w:r>
    </w:p>
    <w:p w14:paraId="4C82ED26" w14:textId="7777777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 xml:space="preserve">Third, BYD needs to be attentive to managing payables, balancing between supplier credit and relationship stability. The company has already claimed that it has sped up the payment cycles to upstream suppliers in 2024, which reinforce supply-chain resilience, yet it must still seek favourable terms where feasible without harming trust. Fourth, frequent short-term cash flow </w:t>
      </w:r>
      <w:r w:rsidRPr="00946425">
        <w:rPr>
          <w:rFonts w:ascii="Times New Roman" w:hAnsi="Times New Roman" w:cs="Times New Roman"/>
          <w:sz w:val="24"/>
          <w:szCs w:val="24"/>
        </w:rPr>
        <w:lastRenderedPageBreak/>
        <w:t>projections must be enhanced throughout business units and abroad activities such that funding gaps will be discovered at the earliest stage.</w:t>
      </w:r>
    </w:p>
    <w:p w14:paraId="22DC8E76" w14:textId="7777777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Lastly, BYD needs to be more connected with its working capital decision making to its high rate of international expansion, particularly in foreign markets where the payment cycles, logistics risks, and currency flows can vary. Collectively, these would enhance liquidity discipline, minimize operational risk and facilitate sustainable growth.</w:t>
      </w:r>
    </w:p>
    <w:p w14:paraId="5122E652" w14:textId="4134D502" w:rsidR="009416FD" w:rsidRPr="00946425" w:rsidRDefault="009416FD" w:rsidP="00946425">
      <w:pPr>
        <w:pStyle w:val="Heading2"/>
        <w:spacing w:line="360" w:lineRule="auto"/>
        <w:jc w:val="both"/>
        <w:rPr>
          <w:rFonts w:ascii="Times New Roman" w:hAnsi="Times New Roman" w:cs="Times New Roman"/>
          <w:b/>
          <w:bCs/>
          <w:color w:val="auto"/>
          <w:sz w:val="24"/>
          <w:szCs w:val="24"/>
        </w:rPr>
      </w:pPr>
      <w:bookmarkStart w:id="16" w:name="_Toc227884453"/>
      <w:r w:rsidRPr="00946425">
        <w:rPr>
          <w:rFonts w:ascii="Times New Roman" w:hAnsi="Times New Roman" w:cs="Times New Roman"/>
          <w:b/>
          <w:bCs/>
          <w:color w:val="auto"/>
          <w:sz w:val="24"/>
          <w:szCs w:val="24"/>
        </w:rPr>
        <w:t>3.5 Short-term vs Long-term Financing Options</w:t>
      </w:r>
      <w:bookmarkEnd w:id="16"/>
    </w:p>
    <w:p w14:paraId="7779CE08" w14:textId="5675AF1C" w:rsidR="009416FD"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Temporary operating requirements like inventory build-ups, receivable delays and seasonal cash flows require short-term financing whereas long-term financing is used when it comes to plant expansion, investment on technology and strategic growth. In the case of BYD, such short-term instruments as trade credit, overdrafts and invoice-based facilities may be used, which are flexible but have a risk of higher rollover. Bank loans, bonds or equity financing are long-term options and more aligned to capital-intensive investment in production capacity and R&amp;D since BYD has a good operating cash flow with low debt burden</w:t>
      </w:r>
      <w:r w:rsidR="004D433B" w:rsidRPr="00946425">
        <w:rPr>
          <w:rFonts w:ascii="Times New Roman" w:hAnsi="Times New Roman" w:cs="Times New Roman"/>
          <w:sz w:val="24"/>
          <w:szCs w:val="24"/>
        </w:rPr>
        <w:t xml:space="preserve"> (Rickman, 2023)</w:t>
      </w:r>
      <w:r w:rsidRPr="00946425">
        <w:rPr>
          <w:rFonts w:ascii="Times New Roman" w:hAnsi="Times New Roman" w:cs="Times New Roman"/>
          <w:sz w:val="24"/>
          <w:szCs w:val="24"/>
        </w:rPr>
        <w:t>.</w:t>
      </w:r>
      <w:r w:rsidR="009416FD" w:rsidRPr="00946425">
        <w:rPr>
          <w:rFonts w:ascii="Times New Roman" w:hAnsi="Times New Roman" w:cs="Times New Roman"/>
          <w:sz w:val="24"/>
          <w:szCs w:val="24"/>
        </w:rPr>
        <w:br w:type="page"/>
      </w:r>
    </w:p>
    <w:p w14:paraId="7DCA1E26" w14:textId="77777777" w:rsidR="009416FD" w:rsidRPr="00946425" w:rsidRDefault="009416FD" w:rsidP="00946425">
      <w:pPr>
        <w:pStyle w:val="Heading1"/>
        <w:spacing w:line="360" w:lineRule="auto"/>
        <w:jc w:val="both"/>
        <w:rPr>
          <w:rFonts w:ascii="Times New Roman" w:hAnsi="Times New Roman" w:cs="Times New Roman"/>
          <w:b/>
          <w:bCs/>
          <w:color w:val="auto"/>
          <w:sz w:val="24"/>
          <w:szCs w:val="24"/>
        </w:rPr>
      </w:pPr>
      <w:bookmarkStart w:id="17" w:name="_Toc227884454"/>
      <w:r w:rsidRPr="00946425">
        <w:rPr>
          <w:rFonts w:ascii="Times New Roman" w:hAnsi="Times New Roman" w:cs="Times New Roman"/>
          <w:b/>
          <w:bCs/>
          <w:color w:val="auto"/>
          <w:sz w:val="24"/>
          <w:szCs w:val="24"/>
        </w:rPr>
        <w:lastRenderedPageBreak/>
        <w:t>4. Strategic Financial Restructuring Plan</w:t>
      </w:r>
      <w:bookmarkEnd w:id="17"/>
    </w:p>
    <w:p w14:paraId="4DF39E73" w14:textId="77777777" w:rsidR="009416FD" w:rsidRPr="00946425" w:rsidRDefault="009416FD" w:rsidP="00946425">
      <w:pPr>
        <w:pStyle w:val="Heading2"/>
        <w:spacing w:line="360" w:lineRule="auto"/>
        <w:jc w:val="both"/>
        <w:rPr>
          <w:rFonts w:ascii="Times New Roman" w:hAnsi="Times New Roman" w:cs="Times New Roman"/>
          <w:b/>
          <w:bCs/>
          <w:color w:val="auto"/>
          <w:sz w:val="24"/>
          <w:szCs w:val="24"/>
        </w:rPr>
      </w:pPr>
      <w:bookmarkStart w:id="18" w:name="_Toc227884455"/>
      <w:r w:rsidRPr="00946425">
        <w:rPr>
          <w:rFonts w:ascii="Times New Roman" w:hAnsi="Times New Roman" w:cs="Times New Roman"/>
          <w:b/>
          <w:bCs/>
          <w:color w:val="auto"/>
          <w:sz w:val="24"/>
          <w:szCs w:val="24"/>
        </w:rPr>
        <w:t>4.1 Need for Restructuring</w:t>
      </w:r>
      <w:bookmarkEnd w:id="18"/>
    </w:p>
    <w:p w14:paraId="25288805" w14:textId="1A9B8F5D"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Despite the good financial performance of BYD, a certain degree of strategic financial restructuring would be warranted to help it in its next phase of growth. The company is growing fast in foreign markets, where 2024 overseas sales will be RMB 221.9 billion and the sales volume of vehicles will increase to 4.27 million units. Simultaneously, BYD still invests a lot in the research and development, as it has used over RMB 54.2 billion in 2024 alone. This global expansion, investment in innovation and the growing complexity of operations is adding pressure on a flexible, robust and efficient capital structure</w:t>
      </w:r>
      <w:r w:rsidR="004D433B" w:rsidRPr="00946425">
        <w:rPr>
          <w:rFonts w:ascii="Times New Roman" w:hAnsi="Times New Roman" w:cs="Times New Roman"/>
          <w:sz w:val="24"/>
          <w:szCs w:val="24"/>
        </w:rPr>
        <w:t xml:space="preserve"> (IG Analyst, 2025)</w:t>
      </w:r>
      <w:r w:rsidRPr="00946425">
        <w:rPr>
          <w:rFonts w:ascii="Times New Roman" w:hAnsi="Times New Roman" w:cs="Times New Roman"/>
          <w:sz w:val="24"/>
          <w:szCs w:val="24"/>
        </w:rPr>
        <w:t>. Moreover, BYD has other business units other than automobiles such as electronics, batteries, photovoltaics and rail transit making it a source of strategic decisions on where capital should be focused. Thus, restructuring is not something that should be considered a reaction to the distress, but a proactive method of optimising growth, funding and strategic focus.</w:t>
      </w:r>
    </w:p>
    <w:p w14:paraId="6078D2E9" w14:textId="596224BF" w:rsidR="009416FD" w:rsidRPr="00946425" w:rsidRDefault="009416FD" w:rsidP="00946425">
      <w:pPr>
        <w:pStyle w:val="Heading2"/>
        <w:spacing w:line="360" w:lineRule="auto"/>
        <w:jc w:val="both"/>
        <w:rPr>
          <w:rFonts w:ascii="Times New Roman" w:hAnsi="Times New Roman" w:cs="Times New Roman"/>
          <w:b/>
          <w:bCs/>
          <w:color w:val="auto"/>
          <w:sz w:val="24"/>
          <w:szCs w:val="24"/>
        </w:rPr>
      </w:pPr>
      <w:bookmarkStart w:id="19" w:name="_Toc227884456"/>
      <w:r w:rsidRPr="00946425">
        <w:rPr>
          <w:rFonts w:ascii="Times New Roman" w:hAnsi="Times New Roman" w:cs="Times New Roman"/>
          <w:b/>
          <w:bCs/>
          <w:color w:val="auto"/>
          <w:sz w:val="24"/>
          <w:szCs w:val="24"/>
        </w:rPr>
        <w:t>4.2 Option 1: Equity Injection / Share Issue</w:t>
      </w:r>
      <w:bookmarkEnd w:id="19"/>
    </w:p>
    <w:p w14:paraId="73E87DAA" w14:textId="254AA46C"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An additional restructuring alternative that BYD may adopt is additional equity funding via a share issue or strategic equity injections. This strategy is practical since BYD has already achieved a HK 43.5 billion accelerated share issue in early 2024, which is said to be the biggest equity refinancing in the world automotive sector in the last ten years. Equity financing is able to finance the overseas factory construction, distribution growth and technology investments without having a substantial effect with regard to the financial leverage. This is especially true in the case of a business like BYD, whose strategic priorities involve expanding internationally and further innovation</w:t>
      </w:r>
      <w:r w:rsidR="00946425" w:rsidRPr="00946425">
        <w:rPr>
          <w:rFonts w:ascii="Times New Roman" w:hAnsi="Times New Roman" w:cs="Times New Roman"/>
          <w:sz w:val="24"/>
          <w:szCs w:val="24"/>
        </w:rPr>
        <w:t xml:space="preserve"> (Zhuo, 2024)</w:t>
      </w:r>
      <w:r w:rsidRPr="00946425">
        <w:rPr>
          <w:rFonts w:ascii="Times New Roman" w:hAnsi="Times New Roman" w:cs="Times New Roman"/>
          <w:sz w:val="24"/>
          <w:szCs w:val="24"/>
        </w:rPr>
        <w:t>.</w:t>
      </w:r>
    </w:p>
    <w:p w14:paraId="41C51A40" w14:textId="1B25D174"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The key benefit of the equity financing is that it enhances the balance sheet and maintains the ability to borrow in the future. It also decreases the refinancing risk as opposed to over borrowing. The main drawback however is dilution of shares, since the issuance of new shares will lower the percentage of ownership of the existing investors and it can reduce the share earnings in the short run. Nevertheless, in the case of a growing organization where investor trust is high, and capital needs are high, equity financing may be a proper restructuring instrument when implemented sparingly and linked to profitable growth projects</w:t>
      </w:r>
      <w:r w:rsidR="00946425" w:rsidRPr="00946425">
        <w:rPr>
          <w:rFonts w:ascii="Times New Roman" w:hAnsi="Times New Roman" w:cs="Times New Roman"/>
          <w:sz w:val="24"/>
          <w:szCs w:val="24"/>
        </w:rPr>
        <w:t xml:space="preserve"> (Zhuo, 2024)</w:t>
      </w:r>
      <w:r w:rsidRPr="00946425">
        <w:rPr>
          <w:rFonts w:ascii="Times New Roman" w:hAnsi="Times New Roman" w:cs="Times New Roman"/>
          <w:sz w:val="24"/>
          <w:szCs w:val="24"/>
        </w:rPr>
        <w:t>.</w:t>
      </w:r>
    </w:p>
    <w:p w14:paraId="17D8782F" w14:textId="17EEDDF1" w:rsidR="009416FD" w:rsidRPr="00946425" w:rsidRDefault="009416FD" w:rsidP="00946425">
      <w:pPr>
        <w:pStyle w:val="Heading2"/>
        <w:spacing w:line="360" w:lineRule="auto"/>
        <w:jc w:val="both"/>
        <w:rPr>
          <w:rFonts w:ascii="Times New Roman" w:hAnsi="Times New Roman" w:cs="Times New Roman"/>
          <w:b/>
          <w:bCs/>
          <w:color w:val="auto"/>
          <w:sz w:val="24"/>
          <w:szCs w:val="24"/>
        </w:rPr>
      </w:pPr>
      <w:bookmarkStart w:id="20" w:name="_Toc227884457"/>
      <w:r w:rsidRPr="00946425">
        <w:rPr>
          <w:rFonts w:ascii="Times New Roman" w:hAnsi="Times New Roman" w:cs="Times New Roman"/>
          <w:b/>
          <w:bCs/>
          <w:color w:val="auto"/>
          <w:sz w:val="24"/>
          <w:szCs w:val="24"/>
        </w:rPr>
        <w:lastRenderedPageBreak/>
        <w:t>4.3 Option 2: Debt Restructuring / Refinancing</w:t>
      </w:r>
      <w:bookmarkEnd w:id="20"/>
    </w:p>
    <w:p w14:paraId="521A92F3" w14:textId="6FD84DC5"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The second alternative is debt restructuring or refinancing in order to enhance the maturity profile and the cost of capital. The financial position of BYD indicates that it may afford to do so out of strength, instead of need, as its interest-paying debt decreased to RMB 28.58 billion in 2024 and represented only 4.9% of the total liabilities. This is a low debt burden that indicates that the firm still has the capacity of borrowing and in case of favourable market conditions, it may refinance the current liabilities</w:t>
      </w:r>
      <w:r w:rsidR="00946425" w:rsidRPr="00946425">
        <w:rPr>
          <w:rFonts w:ascii="Times New Roman" w:hAnsi="Times New Roman" w:cs="Times New Roman"/>
          <w:sz w:val="24"/>
          <w:szCs w:val="24"/>
        </w:rPr>
        <w:t xml:space="preserve"> (Zhang, 2024a)</w:t>
      </w:r>
      <w:r w:rsidRPr="00946425">
        <w:rPr>
          <w:rFonts w:ascii="Times New Roman" w:hAnsi="Times New Roman" w:cs="Times New Roman"/>
          <w:sz w:val="24"/>
          <w:szCs w:val="24"/>
        </w:rPr>
        <w:t>.</w:t>
      </w:r>
    </w:p>
    <w:p w14:paraId="608452E9" w14:textId="7777777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Refinancing may assist BYD to align the tenor of its funding to long term investments like overseas plants, battery technology and manufacturing growth. By substituting short-term liabilities with long-term debt, liquidity pressure would be decreased and the financial planning would be enhanced. It can also reduce the cost of financing provided BYD is able to leverage its robust cash flow and market position to get better deals.</w:t>
      </w:r>
    </w:p>
    <w:p w14:paraId="33983F2A" w14:textId="09D8D044"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More debt, however, would raise fixed costs and put BYD more at risk of interest rate risk and market uncertainty. This may decrease flexibility in a competitive EV industry where price pressure may be high. Thus, debt restructuring can only be of use as an instrument of balance-sheet optimisation and not a major source of aggressive expansion finance</w:t>
      </w:r>
      <w:r w:rsidR="00946425" w:rsidRPr="00946425">
        <w:rPr>
          <w:rFonts w:ascii="Times New Roman" w:hAnsi="Times New Roman" w:cs="Times New Roman"/>
          <w:sz w:val="24"/>
          <w:szCs w:val="24"/>
        </w:rPr>
        <w:t xml:space="preserve"> (Zhang, 2024a)</w:t>
      </w:r>
      <w:r w:rsidRPr="00946425">
        <w:rPr>
          <w:rFonts w:ascii="Times New Roman" w:hAnsi="Times New Roman" w:cs="Times New Roman"/>
          <w:sz w:val="24"/>
          <w:szCs w:val="24"/>
        </w:rPr>
        <w:t>.</w:t>
      </w:r>
    </w:p>
    <w:p w14:paraId="001A547D" w14:textId="3B5E816E" w:rsidR="009416FD" w:rsidRPr="00946425" w:rsidRDefault="009416FD" w:rsidP="00946425">
      <w:pPr>
        <w:pStyle w:val="Heading2"/>
        <w:spacing w:line="360" w:lineRule="auto"/>
        <w:jc w:val="both"/>
        <w:rPr>
          <w:rFonts w:ascii="Times New Roman" w:hAnsi="Times New Roman" w:cs="Times New Roman"/>
          <w:b/>
          <w:bCs/>
          <w:color w:val="auto"/>
          <w:sz w:val="24"/>
          <w:szCs w:val="24"/>
        </w:rPr>
      </w:pPr>
      <w:bookmarkStart w:id="21" w:name="_Toc227884458"/>
      <w:r w:rsidRPr="00946425">
        <w:rPr>
          <w:rFonts w:ascii="Times New Roman" w:hAnsi="Times New Roman" w:cs="Times New Roman"/>
          <w:b/>
          <w:bCs/>
          <w:color w:val="auto"/>
          <w:sz w:val="24"/>
          <w:szCs w:val="24"/>
        </w:rPr>
        <w:t>4.4 Option 3: Divestiture / Portfolio Rationalisation</w:t>
      </w:r>
      <w:bookmarkEnd w:id="21"/>
    </w:p>
    <w:p w14:paraId="68CFB44A" w14:textId="7777777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Divestiture or portfolio rationalisation is a third restructuring choice. BYD does not just deal with automotive but also deals in handset components and assembly services, rechargeable batteries, photovoltaics and urban rail transit. This diversified structure has the strategic benefits, yet it can be associated with the distribution of management attention and capital to businesses with various growth patterns and returns.</w:t>
      </w:r>
    </w:p>
    <w:p w14:paraId="034478EB" w14:textId="7777777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Rationalisation of portfolio would include the evaluation of business lines that are core to BYD competitive advantage in new energy vehicles and intelligent mobility in the long term. When some non-core or low-return activities add less to shareholder value, BYD can eliminate them either by reducing investment in them, selling them off, or sell selected assets to raise capital to invest in EV platforms, batteries and manufacturing abroad.</w:t>
      </w:r>
    </w:p>
    <w:p w14:paraId="1214C9F7" w14:textId="74DF7069" w:rsidR="009416FD"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 xml:space="preserve">The stronger strategic focus and increased efficiency in the allocation of capital are the benefit of this alternative. It may also boost operational flexibility and returns on invested capital. </w:t>
      </w:r>
      <w:r w:rsidRPr="00946425">
        <w:rPr>
          <w:rFonts w:ascii="Times New Roman" w:hAnsi="Times New Roman" w:cs="Times New Roman"/>
          <w:sz w:val="24"/>
          <w:szCs w:val="24"/>
        </w:rPr>
        <w:lastRenderedPageBreak/>
        <w:t>Nonetheless, the threat is that BYD can be deprived of the beneficial diversification or undermine synergies between its technology, battery, and manufacturing divisions. Thus, rationalisation must be discriminatory and must be on evident strategic fit and financial payback.</w:t>
      </w:r>
    </w:p>
    <w:p w14:paraId="12944415" w14:textId="77777777" w:rsidR="007968D2" w:rsidRPr="00946425" w:rsidRDefault="007968D2" w:rsidP="00946425">
      <w:pPr>
        <w:pStyle w:val="Heading2"/>
        <w:spacing w:line="360" w:lineRule="auto"/>
        <w:jc w:val="both"/>
        <w:rPr>
          <w:rFonts w:ascii="Times New Roman" w:hAnsi="Times New Roman" w:cs="Times New Roman"/>
          <w:b/>
          <w:bCs/>
          <w:color w:val="auto"/>
          <w:sz w:val="24"/>
          <w:szCs w:val="24"/>
        </w:rPr>
      </w:pPr>
      <w:bookmarkStart w:id="22" w:name="_Toc227884459"/>
      <w:r w:rsidRPr="00946425">
        <w:rPr>
          <w:rFonts w:ascii="Times New Roman" w:hAnsi="Times New Roman" w:cs="Times New Roman"/>
          <w:b/>
          <w:bCs/>
          <w:color w:val="auto"/>
          <w:sz w:val="24"/>
          <w:szCs w:val="24"/>
        </w:rPr>
        <w:t>4.5 Option 4: Strategic Alliances / Partnerships</w:t>
      </w:r>
      <w:bookmarkEnd w:id="22"/>
    </w:p>
    <w:p w14:paraId="49E43E13" w14:textId="21FBD75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Strategic alliances and partnerships can provide BYD with a flexible restructuring alternative of assisting overseas expansion without taking all cost and risks on its own. Forming partnerships can assist the firm achieve quicker distribution networks, logistics frameworks, funding sources and regulatory savvy in the overseas markets. This will be particularly handy when BYD is still going global and tries to be more local in Europe, Latin America and Asia</w:t>
      </w:r>
      <w:r w:rsidR="00946425" w:rsidRPr="00946425">
        <w:rPr>
          <w:rFonts w:ascii="Times New Roman" w:hAnsi="Times New Roman" w:cs="Times New Roman"/>
          <w:sz w:val="24"/>
          <w:szCs w:val="24"/>
        </w:rPr>
        <w:t xml:space="preserve"> (Reuters, 2025)</w:t>
      </w:r>
      <w:r w:rsidRPr="00946425">
        <w:rPr>
          <w:rFonts w:ascii="Times New Roman" w:hAnsi="Times New Roman" w:cs="Times New Roman"/>
          <w:sz w:val="24"/>
          <w:szCs w:val="24"/>
        </w:rPr>
        <w:t>.</w:t>
      </w:r>
    </w:p>
    <w:p w14:paraId="542E4E3F" w14:textId="03A7C7CB"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It has been already proven that this model can help BYD in its global strategy. In 2024, BYD joined partnerships in Europe, such as CEVA Logistics collaboration regarding logistics and transportation and a strategic alliance with ARVAL to help localise in the European market. The academic discussion of the alliance between BYD and Toyota also indicates that multinational partnerships might lead to the improvement of technological cooperation, marketing and brand reputation</w:t>
      </w:r>
      <w:r w:rsidR="00946425" w:rsidRPr="00946425">
        <w:rPr>
          <w:rFonts w:ascii="Times New Roman" w:hAnsi="Times New Roman" w:cs="Times New Roman"/>
          <w:sz w:val="24"/>
          <w:szCs w:val="24"/>
        </w:rPr>
        <w:t xml:space="preserve"> (Reuters, 2025)</w:t>
      </w:r>
      <w:r w:rsidRPr="00946425">
        <w:rPr>
          <w:rFonts w:ascii="Times New Roman" w:hAnsi="Times New Roman" w:cs="Times New Roman"/>
          <w:sz w:val="24"/>
          <w:szCs w:val="24"/>
        </w:rPr>
        <w:t>.</w:t>
      </w:r>
    </w:p>
    <w:p w14:paraId="7690B181" w14:textId="3313EC98"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The main advantage of the alliances is that they minimize capital intensity and market-entry risk. Nonetheless, alliances also may restrain control, cause coordination issues and result in disagreements over goals or technology transfer. Partnerships should then be employed sparingly by BYD when a local knowledge and entry speed are more important than complete ownership</w:t>
      </w:r>
      <w:r w:rsidR="00946425" w:rsidRPr="00946425">
        <w:rPr>
          <w:rFonts w:ascii="Times New Roman" w:hAnsi="Times New Roman" w:cs="Times New Roman"/>
          <w:sz w:val="24"/>
          <w:szCs w:val="24"/>
        </w:rPr>
        <w:t xml:space="preserve"> (</w:t>
      </w:r>
      <w:proofErr w:type="spellStart"/>
      <w:r w:rsidR="00946425" w:rsidRPr="00946425">
        <w:rPr>
          <w:rFonts w:ascii="Times New Roman" w:hAnsi="Times New Roman" w:cs="Times New Roman"/>
          <w:sz w:val="24"/>
          <w:szCs w:val="24"/>
        </w:rPr>
        <w:t>Gasgoo</w:t>
      </w:r>
      <w:proofErr w:type="spellEnd"/>
      <w:r w:rsidR="00946425" w:rsidRPr="00946425">
        <w:rPr>
          <w:rFonts w:ascii="Times New Roman" w:hAnsi="Times New Roman" w:cs="Times New Roman"/>
          <w:sz w:val="24"/>
          <w:szCs w:val="24"/>
        </w:rPr>
        <w:t>, 2020)</w:t>
      </w:r>
      <w:r w:rsidRPr="00946425">
        <w:rPr>
          <w:rFonts w:ascii="Times New Roman" w:hAnsi="Times New Roman" w:cs="Times New Roman"/>
          <w:sz w:val="24"/>
          <w:szCs w:val="24"/>
        </w:rPr>
        <w:t>.</w:t>
      </w:r>
    </w:p>
    <w:p w14:paraId="4A0E6554" w14:textId="3AB616AD" w:rsidR="007968D2" w:rsidRPr="00946425" w:rsidRDefault="007968D2" w:rsidP="00946425">
      <w:pPr>
        <w:pStyle w:val="Heading2"/>
        <w:spacing w:line="360" w:lineRule="auto"/>
        <w:jc w:val="both"/>
        <w:rPr>
          <w:rFonts w:ascii="Times New Roman" w:hAnsi="Times New Roman" w:cs="Times New Roman"/>
          <w:b/>
          <w:bCs/>
          <w:color w:val="auto"/>
          <w:sz w:val="24"/>
          <w:szCs w:val="24"/>
        </w:rPr>
      </w:pPr>
      <w:bookmarkStart w:id="23" w:name="_Toc227884460"/>
      <w:r w:rsidRPr="00946425">
        <w:rPr>
          <w:rFonts w:ascii="Times New Roman" w:hAnsi="Times New Roman" w:cs="Times New Roman"/>
          <w:b/>
          <w:bCs/>
          <w:color w:val="auto"/>
          <w:sz w:val="24"/>
          <w:szCs w:val="24"/>
        </w:rPr>
        <w:t>4.6 Impact on Shareholder Value and Financial Flexibility</w:t>
      </w:r>
      <w:bookmarkEnd w:id="23"/>
    </w:p>
    <w:p w14:paraId="27DF4FC3" w14:textId="7777777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Shareholder value and financial flexibility implications of the above restructuring options are different. Equity injection has the advantage of fortifying the balance sheet and saving borrowing power, while disadvantaging the current shareholders and reducing short term earnings per share. Refinancing of debt could reduce the liquidity strain and enhance stability of funds, though heavy debt would create fixed commitments and decrease the ability to withstand crashes in the industry.</w:t>
      </w:r>
    </w:p>
    <w:p w14:paraId="7DAD2E94" w14:textId="7777777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 xml:space="preserve">Portfolio rationalisation and divestiture have the potential to enhance return on capital through the allocation of resources to more lucrative EV and battery operations. Strategic alliances can also secure shareholder value by lowering the quantity of capital BYD has to invest in global expansion </w:t>
      </w:r>
      <w:r w:rsidRPr="00946425">
        <w:rPr>
          <w:rFonts w:ascii="Times New Roman" w:hAnsi="Times New Roman" w:cs="Times New Roman"/>
          <w:sz w:val="24"/>
          <w:szCs w:val="24"/>
        </w:rPr>
        <w:lastRenderedPageBreak/>
        <w:t>on its own. In general, a balanced combination of selective partnering, disciplined refinancing and selective capital allocation is likely to be the best restructuring course since it would help the company to expand and retain financial flexibility and shareholder trust.</w:t>
      </w:r>
    </w:p>
    <w:p w14:paraId="304CE9EE" w14:textId="4F3D4C83" w:rsidR="007968D2" w:rsidRPr="00946425" w:rsidRDefault="007968D2" w:rsidP="00946425">
      <w:pPr>
        <w:pStyle w:val="Heading2"/>
        <w:spacing w:line="360" w:lineRule="auto"/>
        <w:jc w:val="both"/>
        <w:rPr>
          <w:rFonts w:ascii="Times New Roman" w:hAnsi="Times New Roman" w:cs="Times New Roman"/>
          <w:b/>
          <w:bCs/>
          <w:color w:val="auto"/>
          <w:sz w:val="24"/>
          <w:szCs w:val="24"/>
        </w:rPr>
      </w:pPr>
      <w:bookmarkStart w:id="24" w:name="_Toc227884461"/>
      <w:r w:rsidRPr="00946425">
        <w:rPr>
          <w:rFonts w:ascii="Times New Roman" w:hAnsi="Times New Roman" w:cs="Times New Roman"/>
          <w:b/>
          <w:bCs/>
          <w:color w:val="auto"/>
          <w:sz w:val="24"/>
          <w:szCs w:val="24"/>
        </w:rPr>
        <w:t>4.7 International and Ethical Considerations</w:t>
      </w:r>
      <w:bookmarkEnd w:id="24"/>
    </w:p>
    <w:p w14:paraId="51701490" w14:textId="2CCF11DA" w:rsidR="007968D2"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 xml:space="preserve">The restructuring plan of BYD should take into account not only the financial results but also the international and ethical concerns. International growth puts the company at risk of currency, tariff, domestic taxation and regulatory uncertainty, particularly with BYD growing manufacturing and sales beyond China. Ethics also play a significant role, such as labour standards, responsible supply-chain management and environmental performance. According to the 2024 ESG reporting of BYD, sustainability has been made a priority at the board level, and carbon reduction and governance goals were incorporated into the management. As such, reorganization in the future must not only be in </w:t>
      </w:r>
      <w:proofErr w:type="spellStart"/>
      <w:r w:rsidRPr="00946425">
        <w:rPr>
          <w:rFonts w:ascii="Times New Roman" w:hAnsi="Times New Roman" w:cs="Times New Roman"/>
          <w:sz w:val="24"/>
          <w:szCs w:val="24"/>
        </w:rPr>
        <w:t>favor</w:t>
      </w:r>
      <w:proofErr w:type="spellEnd"/>
      <w:r w:rsidRPr="00946425">
        <w:rPr>
          <w:rFonts w:ascii="Times New Roman" w:hAnsi="Times New Roman" w:cs="Times New Roman"/>
          <w:sz w:val="24"/>
          <w:szCs w:val="24"/>
        </w:rPr>
        <w:t xml:space="preserve"> of profitability and growth, but also accountable international business practices</w:t>
      </w:r>
      <w:r w:rsidR="00946425" w:rsidRPr="00946425">
        <w:rPr>
          <w:rFonts w:ascii="Times New Roman" w:hAnsi="Times New Roman" w:cs="Times New Roman"/>
          <w:sz w:val="24"/>
          <w:szCs w:val="24"/>
        </w:rPr>
        <w:t xml:space="preserve"> (Sinha, 2025)</w:t>
      </w:r>
      <w:r w:rsidRPr="00946425">
        <w:rPr>
          <w:rFonts w:ascii="Times New Roman" w:hAnsi="Times New Roman" w:cs="Times New Roman"/>
          <w:sz w:val="24"/>
          <w:szCs w:val="24"/>
        </w:rPr>
        <w:t>.</w:t>
      </w:r>
      <w:r w:rsidR="007968D2" w:rsidRPr="00946425">
        <w:rPr>
          <w:rFonts w:ascii="Times New Roman" w:hAnsi="Times New Roman" w:cs="Times New Roman"/>
          <w:sz w:val="24"/>
          <w:szCs w:val="24"/>
        </w:rPr>
        <w:br w:type="page"/>
      </w:r>
    </w:p>
    <w:p w14:paraId="4E260CA7" w14:textId="77777777" w:rsidR="007968D2" w:rsidRPr="00946425" w:rsidRDefault="007968D2" w:rsidP="00946425">
      <w:pPr>
        <w:pStyle w:val="Heading1"/>
        <w:spacing w:line="360" w:lineRule="auto"/>
        <w:jc w:val="both"/>
        <w:rPr>
          <w:rFonts w:ascii="Times New Roman" w:hAnsi="Times New Roman" w:cs="Times New Roman"/>
          <w:b/>
          <w:bCs/>
          <w:color w:val="auto"/>
          <w:sz w:val="24"/>
          <w:szCs w:val="24"/>
        </w:rPr>
      </w:pPr>
      <w:bookmarkStart w:id="25" w:name="_Toc227884462"/>
      <w:r w:rsidRPr="00946425">
        <w:rPr>
          <w:rFonts w:ascii="Times New Roman" w:hAnsi="Times New Roman" w:cs="Times New Roman"/>
          <w:b/>
          <w:bCs/>
          <w:color w:val="auto"/>
          <w:sz w:val="24"/>
          <w:szCs w:val="24"/>
        </w:rPr>
        <w:lastRenderedPageBreak/>
        <w:t>5. Investment Appraisal and Capital Budgeting</w:t>
      </w:r>
      <w:bookmarkEnd w:id="25"/>
    </w:p>
    <w:p w14:paraId="24C04307" w14:textId="77777777" w:rsidR="007968D2" w:rsidRPr="00946425" w:rsidRDefault="007968D2" w:rsidP="00946425">
      <w:pPr>
        <w:pStyle w:val="Heading2"/>
        <w:spacing w:line="360" w:lineRule="auto"/>
        <w:jc w:val="both"/>
        <w:rPr>
          <w:rFonts w:ascii="Times New Roman" w:hAnsi="Times New Roman" w:cs="Times New Roman"/>
          <w:b/>
          <w:bCs/>
          <w:color w:val="auto"/>
          <w:sz w:val="24"/>
          <w:szCs w:val="24"/>
        </w:rPr>
      </w:pPr>
      <w:bookmarkStart w:id="26" w:name="_Toc227884463"/>
      <w:r w:rsidRPr="00946425">
        <w:rPr>
          <w:rFonts w:ascii="Times New Roman" w:hAnsi="Times New Roman" w:cs="Times New Roman"/>
          <w:b/>
          <w:bCs/>
          <w:color w:val="auto"/>
          <w:sz w:val="24"/>
          <w:szCs w:val="24"/>
        </w:rPr>
        <w:t>5.1 Introduction to Investment Decision</w:t>
      </w:r>
      <w:bookmarkEnd w:id="26"/>
    </w:p>
    <w:p w14:paraId="1A93E298" w14:textId="7777777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Investment appraisal is applied to determine whether a planned project is worth the money and strategic. Three projects should be evaluated in the assignment with Payback Period, Accounting rate of return and Net Present Value, the discount rate is 10 per cent and the depreciation is straight line to zero. These approaches give various views on liquidity, accounting profitability and value creation. The financial strength, cash flow ability and long run strategic priorities must also be considered in investment decisions made by a company like BYD.</w:t>
      </w:r>
    </w:p>
    <w:p w14:paraId="465C056F" w14:textId="702A1C7D" w:rsidR="007968D2" w:rsidRPr="00946425" w:rsidRDefault="007968D2" w:rsidP="00946425">
      <w:pPr>
        <w:pStyle w:val="Heading2"/>
        <w:spacing w:line="360" w:lineRule="auto"/>
        <w:jc w:val="both"/>
        <w:rPr>
          <w:rFonts w:ascii="Times New Roman" w:hAnsi="Times New Roman" w:cs="Times New Roman"/>
          <w:b/>
          <w:bCs/>
          <w:color w:val="auto"/>
          <w:sz w:val="24"/>
          <w:szCs w:val="24"/>
        </w:rPr>
      </w:pPr>
      <w:bookmarkStart w:id="27" w:name="_Toc227884464"/>
      <w:r w:rsidRPr="00946425">
        <w:rPr>
          <w:rFonts w:ascii="Times New Roman" w:hAnsi="Times New Roman" w:cs="Times New Roman"/>
          <w:b/>
          <w:bCs/>
          <w:color w:val="auto"/>
          <w:sz w:val="24"/>
          <w:szCs w:val="24"/>
        </w:rPr>
        <w:t>5.2 Payback Period</w:t>
      </w:r>
      <w:bookmarkEnd w:id="27"/>
    </w:p>
    <w:p w14:paraId="2C8D65F8" w14:textId="7777777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The payback period is used to determine the duration that a project would pay back its initial investment in relation to net cash inflows. According to the provided data, Project A is characterized by the payback period of 4.5 years, Project B has the payback period of about 4.55 years, and Project C is the one that has the shortest payback period of 3.6 years. Liquidity wise, Project C stands to be the best as it pays back the starting capital in a shorter time than the other alternatives. This can be appealing to BYD as shorter payback minimizes uncertainty exposure and increases the rate of cash recovery. Payback however does not take into account cash flows past the recovery point and does not factor in the time value of money hence should not be utilized solely in the ultimate decision-making.</w:t>
      </w:r>
    </w:p>
    <w:p w14:paraId="3B8733EF" w14:textId="1260F46B" w:rsidR="007968D2" w:rsidRPr="00946425" w:rsidRDefault="007968D2" w:rsidP="00946425">
      <w:pPr>
        <w:pStyle w:val="Heading2"/>
        <w:spacing w:line="360" w:lineRule="auto"/>
        <w:jc w:val="both"/>
        <w:rPr>
          <w:rFonts w:ascii="Times New Roman" w:hAnsi="Times New Roman" w:cs="Times New Roman"/>
          <w:b/>
          <w:bCs/>
          <w:color w:val="auto"/>
          <w:sz w:val="24"/>
          <w:szCs w:val="24"/>
        </w:rPr>
      </w:pPr>
      <w:bookmarkStart w:id="28" w:name="_Toc227884465"/>
      <w:r w:rsidRPr="00946425">
        <w:rPr>
          <w:rFonts w:ascii="Times New Roman" w:hAnsi="Times New Roman" w:cs="Times New Roman"/>
          <w:b/>
          <w:bCs/>
          <w:color w:val="auto"/>
          <w:sz w:val="24"/>
          <w:szCs w:val="24"/>
        </w:rPr>
        <w:t>5.3 Accounting Rate of Return (ARR)</w:t>
      </w:r>
      <w:bookmarkEnd w:id="28"/>
    </w:p>
    <w:p w14:paraId="2E91BF23" w14:textId="77777777" w:rsidR="007968D2" w:rsidRPr="007968D2" w:rsidRDefault="007968D2" w:rsidP="00946425">
      <w:pPr>
        <w:spacing w:line="360" w:lineRule="auto"/>
        <w:jc w:val="both"/>
        <w:rPr>
          <w:rFonts w:ascii="Times New Roman" w:hAnsi="Times New Roman" w:cs="Times New Roman"/>
          <w:sz w:val="24"/>
          <w:szCs w:val="24"/>
        </w:rPr>
      </w:pPr>
      <w:r w:rsidRPr="007968D2">
        <w:rPr>
          <w:rFonts w:ascii="Times New Roman" w:hAnsi="Times New Roman" w:cs="Times New Roman"/>
          <w:sz w:val="24"/>
          <w:szCs w:val="24"/>
        </w:rPr>
        <w:t>Using straight-line depreciation to zero over five years (annual depreciation £10m), the average annual accounting profit and ARR for each project are:</w:t>
      </w:r>
    </w:p>
    <w:tbl>
      <w:tblPr>
        <w:tblStyle w:val="TableGrid"/>
        <w:tblW w:w="8916" w:type="dxa"/>
        <w:tblLook w:val="04A0" w:firstRow="1" w:lastRow="0" w:firstColumn="1" w:lastColumn="0" w:noHBand="0" w:noVBand="1"/>
      </w:tblPr>
      <w:tblGrid>
        <w:gridCol w:w="961"/>
        <w:gridCol w:w="2568"/>
        <w:gridCol w:w="4189"/>
        <w:gridCol w:w="1198"/>
      </w:tblGrid>
      <w:tr w:rsidR="00946425" w:rsidRPr="007968D2" w14:paraId="14F87746" w14:textId="77777777" w:rsidTr="007968D2">
        <w:trPr>
          <w:trHeight w:val="415"/>
        </w:trPr>
        <w:tc>
          <w:tcPr>
            <w:tcW w:w="0" w:type="auto"/>
            <w:hideMark/>
          </w:tcPr>
          <w:p w14:paraId="285E6899" w14:textId="77777777" w:rsidR="007968D2" w:rsidRPr="007968D2" w:rsidRDefault="007968D2" w:rsidP="00946425">
            <w:pPr>
              <w:spacing w:after="160" w:line="360" w:lineRule="auto"/>
              <w:jc w:val="both"/>
              <w:rPr>
                <w:rFonts w:ascii="Times New Roman" w:hAnsi="Times New Roman" w:cs="Times New Roman"/>
                <w:b/>
                <w:bCs/>
                <w:sz w:val="24"/>
                <w:szCs w:val="24"/>
              </w:rPr>
            </w:pPr>
            <w:r w:rsidRPr="007968D2">
              <w:rPr>
                <w:rFonts w:ascii="Times New Roman" w:hAnsi="Times New Roman" w:cs="Times New Roman"/>
                <w:b/>
                <w:bCs/>
                <w:sz w:val="24"/>
                <w:szCs w:val="24"/>
              </w:rPr>
              <w:t>Project</w:t>
            </w:r>
          </w:p>
        </w:tc>
        <w:tc>
          <w:tcPr>
            <w:tcW w:w="0" w:type="auto"/>
            <w:hideMark/>
          </w:tcPr>
          <w:p w14:paraId="48DF88FA" w14:textId="77777777" w:rsidR="007968D2" w:rsidRPr="007968D2" w:rsidRDefault="007968D2" w:rsidP="00946425">
            <w:pPr>
              <w:spacing w:after="160" w:line="360" w:lineRule="auto"/>
              <w:jc w:val="both"/>
              <w:rPr>
                <w:rFonts w:ascii="Times New Roman" w:hAnsi="Times New Roman" w:cs="Times New Roman"/>
                <w:b/>
                <w:bCs/>
                <w:sz w:val="24"/>
                <w:szCs w:val="24"/>
              </w:rPr>
            </w:pPr>
            <w:r w:rsidRPr="007968D2">
              <w:rPr>
                <w:rFonts w:ascii="Times New Roman" w:hAnsi="Times New Roman" w:cs="Times New Roman"/>
                <w:b/>
                <w:bCs/>
                <w:sz w:val="24"/>
                <w:szCs w:val="24"/>
              </w:rPr>
              <w:t>Initial investment (£m)</w:t>
            </w:r>
          </w:p>
        </w:tc>
        <w:tc>
          <w:tcPr>
            <w:tcW w:w="0" w:type="auto"/>
            <w:hideMark/>
          </w:tcPr>
          <w:p w14:paraId="4296BF07" w14:textId="77777777" w:rsidR="007968D2" w:rsidRPr="007968D2" w:rsidRDefault="007968D2" w:rsidP="00946425">
            <w:pPr>
              <w:spacing w:after="160" w:line="360" w:lineRule="auto"/>
              <w:jc w:val="both"/>
              <w:rPr>
                <w:rFonts w:ascii="Times New Roman" w:hAnsi="Times New Roman" w:cs="Times New Roman"/>
                <w:b/>
                <w:bCs/>
                <w:sz w:val="24"/>
                <w:szCs w:val="24"/>
              </w:rPr>
            </w:pPr>
            <w:r w:rsidRPr="007968D2">
              <w:rPr>
                <w:rFonts w:ascii="Times New Roman" w:hAnsi="Times New Roman" w:cs="Times New Roman"/>
                <w:b/>
                <w:bCs/>
                <w:sz w:val="24"/>
                <w:szCs w:val="24"/>
              </w:rPr>
              <w:t>Average annual accounting profit (£m)</w:t>
            </w:r>
          </w:p>
        </w:tc>
        <w:tc>
          <w:tcPr>
            <w:tcW w:w="0" w:type="auto"/>
            <w:hideMark/>
          </w:tcPr>
          <w:p w14:paraId="2C2B5213" w14:textId="77777777" w:rsidR="007968D2" w:rsidRPr="007968D2" w:rsidRDefault="007968D2" w:rsidP="00946425">
            <w:pPr>
              <w:spacing w:after="160" w:line="360" w:lineRule="auto"/>
              <w:jc w:val="both"/>
              <w:rPr>
                <w:rFonts w:ascii="Times New Roman" w:hAnsi="Times New Roman" w:cs="Times New Roman"/>
                <w:b/>
                <w:bCs/>
                <w:sz w:val="24"/>
                <w:szCs w:val="24"/>
              </w:rPr>
            </w:pPr>
            <w:r w:rsidRPr="007968D2">
              <w:rPr>
                <w:rFonts w:ascii="Times New Roman" w:hAnsi="Times New Roman" w:cs="Times New Roman"/>
                <w:b/>
                <w:bCs/>
                <w:sz w:val="24"/>
                <w:szCs w:val="24"/>
              </w:rPr>
              <w:t>ARR (%)</w:t>
            </w:r>
          </w:p>
        </w:tc>
      </w:tr>
      <w:tr w:rsidR="00946425" w:rsidRPr="007968D2" w14:paraId="24FDE4BC" w14:textId="77777777" w:rsidTr="007968D2">
        <w:trPr>
          <w:trHeight w:val="431"/>
        </w:trPr>
        <w:tc>
          <w:tcPr>
            <w:tcW w:w="0" w:type="auto"/>
            <w:hideMark/>
          </w:tcPr>
          <w:p w14:paraId="1B048023"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A</w:t>
            </w:r>
          </w:p>
        </w:tc>
        <w:tc>
          <w:tcPr>
            <w:tcW w:w="0" w:type="auto"/>
            <w:hideMark/>
          </w:tcPr>
          <w:p w14:paraId="16B4920A"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50</w:t>
            </w:r>
          </w:p>
        </w:tc>
        <w:tc>
          <w:tcPr>
            <w:tcW w:w="0" w:type="auto"/>
            <w:hideMark/>
          </w:tcPr>
          <w:p w14:paraId="28533C83"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0.8</w:t>
            </w:r>
          </w:p>
        </w:tc>
        <w:tc>
          <w:tcPr>
            <w:tcW w:w="0" w:type="auto"/>
            <w:hideMark/>
          </w:tcPr>
          <w:p w14:paraId="1C452DE1"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1.6</w:t>
            </w:r>
          </w:p>
        </w:tc>
      </w:tr>
      <w:tr w:rsidR="00946425" w:rsidRPr="007968D2" w14:paraId="0A226D52" w14:textId="77777777" w:rsidTr="007968D2">
        <w:trPr>
          <w:trHeight w:val="415"/>
        </w:trPr>
        <w:tc>
          <w:tcPr>
            <w:tcW w:w="0" w:type="auto"/>
            <w:hideMark/>
          </w:tcPr>
          <w:p w14:paraId="3B3CCB87"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B</w:t>
            </w:r>
          </w:p>
        </w:tc>
        <w:tc>
          <w:tcPr>
            <w:tcW w:w="0" w:type="auto"/>
            <w:hideMark/>
          </w:tcPr>
          <w:p w14:paraId="2658BB9B"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50</w:t>
            </w:r>
          </w:p>
        </w:tc>
        <w:tc>
          <w:tcPr>
            <w:tcW w:w="0" w:type="auto"/>
            <w:hideMark/>
          </w:tcPr>
          <w:p w14:paraId="352200AD"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1.0</w:t>
            </w:r>
          </w:p>
        </w:tc>
        <w:tc>
          <w:tcPr>
            <w:tcW w:w="0" w:type="auto"/>
            <w:hideMark/>
          </w:tcPr>
          <w:p w14:paraId="7480BEBE"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2.0</w:t>
            </w:r>
          </w:p>
        </w:tc>
      </w:tr>
      <w:tr w:rsidR="00946425" w:rsidRPr="007968D2" w14:paraId="30ADDF10" w14:textId="77777777" w:rsidTr="007968D2">
        <w:trPr>
          <w:trHeight w:val="415"/>
        </w:trPr>
        <w:tc>
          <w:tcPr>
            <w:tcW w:w="0" w:type="auto"/>
            <w:hideMark/>
          </w:tcPr>
          <w:p w14:paraId="65C8A4A6"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C</w:t>
            </w:r>
          </w:p>
        </w:tc>
        <w:tc>
          <w:tcPr>
            <w:tcW w:w="0" w:type="auto"/>
            <w:hideMark/>
          </w:tcPr>
          <w:p w14:paraId="5D61678B"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50</w:t>
            </w:r>
          </w:p>
        </w:tc>
        <w:tc>
          <w:tcPr>
            <w:tcW w:w="0" w:type="auto"/>
            <w:hideMark/>
          </w:tcPr>
          <w:p w14:paraId="7CCE2745"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3.0</w:t>
            </w:r>
          </w:p>
        </w:tc>
        <w:tc>
          <w:tcPr>
            <w:tcW w:w="0" w:type="auto"/>
            <w:hideMark/>
          </w:tcPr>
          <w:p w14:paraId="0BC571DD"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6.0</w:t>
            </w:r>
          </w:p>
        </w:tc>
      </w:tr>
    </w:tbl>
    <w:p w14:paraId="3D582634" w14:textId="77777777" w:rsidR="007968D2" w:rsidRPr="00946425" w:rsidRDefault="007968D2" w:rsidP="00946425">
      <w:pPr>
        <w:spacing w:line="360" w:lineRule="auto"/>
        <w:jc w:val="both"/>
        <w:rPr>
          <w:rFonts w:ascii="Times New Roman" w:hAnsi="Times New Roman" w:cs="Times New Roman"/>
          <w:sz w:val="24"/>
          <w:szCs w:val="24"/>
        </w:rPr>
      </w:pPr>
    </w:p>
    <w:p w14:paraId="2567C750" w14:textId="7777777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lastRenderedPageBreak/>
        <w:t>ARO = total profit per year (average)/initial investment(percent). Based on this it is evident that Project C is the most attractive with an ARR of 6 as compared to the 2 and 1.6 of B and A. This implies that Project C returns the highest accounting value when considering its cost despite the fact that ARR does not value the time value of money and emphasizes on the profit but not the cash flow.</w:t>
      </w:r>
    </w:p>
    <w:p w14:paraId="4F59DE61" w14:textId="0D5C34F1" w:rsidR="007968D2" w:rsidRPr="00946425" w:rsidRDefault="007968D2" w:rsidP="00946425">
      <w:pPr>
        <w:pStyle w:val="Heading2"/>
        <w:spacing w:line="360" w:lineRule="auto"/>
        <w:jc w:val="both"/>
        <w:rPr>
          <w:rFonts w:ascii="Times New Roman" w:hAnsi="Times New Roman" w:cs="Times New Roman"/>
          <w:b/>
          <w:bCs/>
          <w:color w:val="auto"/>
          <w:sz w:val="24"/>
          <w:szCs w:val="24"/>
        </w:rPr>
      </w:pPr>
      <w:bookmarkStart w:id="29" w:name="_Toc227884466"/>
      <w:r w:rsidRPr="00946425">
        <w:rPr>
          <w:rFonts w:ascii="Times New Roman" w:hAnsi="Times New Roman" w:cs="Times New Roman"/>
          <w:b/>
          <w:bCs/>
          <w:color w:val="auto"/>
          <w:sz w:val="24"/>
          <w:szCs w:val="24"/>
        </w:rPr>
        <w:t>5.4 Net Present Value (NPV)</w:t>
      </w:r>
      <w:bookmarkEnd w:id="29"/>
    </w:p>
    <w:p w14:paraId="199AE133" w14:textId="77777777" w:rsidR="00946425" w:rsidRPr="00946425" w:rsidRDefault="00946425" w:rsidP="00946425">
      <w:pPr>
        <w:spacing w:line="360" w:lineRule="auto"/>
        <w:jc w:val="both"/>
        <w:rPr>
          <w:rFonts w:ascii="Times New Roman" w:hAnsi="Times New Roman" w:cs="Times New Roman"/>
          <w:sz w:val="24"/>
          <w:szCs w:val="24"/>
        </w:rPr>
      </w:pPr>
    </w:p>
    <w:tbl>
      <w:tblPr>
        <w:tblStyle w:val="TableGrid"/>
        <w:tblpPr w:leftFromText="180" w:rightFromText="180" w:tblpY="559"/>
        <w:tblW w:w="9099" w:type="dxa"/>
        <w:tblLook w:val="04A0" w:firstRow="1" w:lastRow="0" w:firstColumn="1" w:lastColumn="0" w:noHBand="0" w:noVBand="1"/>
      </w:tblPr>
      <w:tblGrid>
        <w:gridCol w:w="958"/>
        <w:gridCol w:w="2098"/>
        <w:gridCol w:w="1563"/>
        <w:gridCol w:w="4480"/>
      </w:tblGrid>
      <w:tr w:rsidR="00946425" w:rsidRPr="00946425" w14:paraId="33825D57" w14:textId="77777777" w:rsidTr="00946425">
        <w:trPr>
          <w:trHeight w:val="682"/>
        </w:trPr>
        <w:tc>
          <w:tcPr>
            <w:tcW w:w="0" w:type="auto"/>
            <w:hideMark/>
          </w:tcPr>
          <w:p w14:paraId="7E80B93D" w14:textId="77777777" w:rsidR="007968D2" w:rsidRPr="007968D2" w:rsidRDefault="007968D2" w:rsidP="00946425">
            <w:pPr>
              <w:spacing w:after="160" w:line="360" w:lineRule="auto"/>
              <w:jc w:val="both"/>
              <w:rPr>
                <w:rFonts w:ascii="Times New Roman" w:hAnsi="Times New Roman" w:cs="Times New Roman"/>
                <w:b/>
                <w:bCs/>
                <w:sz w:val="24"/>
                <w:szCs w:val="24"/>
              </w:rPr>
            </w:pPr>
            <w:r w:rsidRPr="007968D2">
              <w:rPr>
                <w:rFonts w:ascii="Times New Roman" w:hAnsi="Times New Roman" w:cs="Times New Roman"/>
                <w:b/>
                <w:bCs/>
                <w:sz w:val="24"/>
                <w:szCs w:val="24"/>
              </w:rPr>
              <w:t>Project</w:t>
            </w:r>
          </w:p>
        </w:tc>
        <w:tc>
          <w:tcPr>
            <w:tcW w:w="0" w:type="auto"/>
            <w:hideMark/>
          </w:tcPr>
          <w:p w14:paraId="2B4F5FA8" w14:textId="77777777" w:rsidR="007968D2" w:rsidRPr="007968D2" w:rsidRDefault="007968D2" w:rsidP="00946425">
            <w:pPr>
              <w:spacing w:after="160" w:line="360" w:lineRule="auto"/>
              <w:jc w:val="both"/>
              <w:rPr>
                <w:rFonts w:ascii="Times New Roman" w:hAnsi="Times New Roman" w:cs="Times New Roman"/>
                <w:b/>
                <w:bCs/>
                <w:sz w:val="24"/>
                <w:szCs w:val="24"/>
              </w:rPr>
            </w:pPr>
            <w:r w:rsidRPr="007968D2">
              <w:rPr>
                <w:rFonts w:ascii="Times New Roman" w:hAnsi="Times New Roman" w:cs="Times New Roman"/>
                <w:b/>
                <w:bCs/>
                <w:sz w:val="24"/>
                <w:szCs w:val="24"/>
              </w:rPr>
              <w:t>Initial investment (£m)</w:t>
            </w:r>
          </w:p>
        </w:tc>
        <w:tc>
          <w:tcPr>
            <w:tcW w:w="0" w:type="auto"/>
            <w:hideMark/>
          </w:tcPr>
          <w:p w14:paraId="1F158BAC" w14:textId="77777777" w:rsidR="007968D2" w:rsidRPr="007968D2" w:rsidRDefault="007968D2" w:rsidP="00946425">
            <w:pPr>
              <w:spacing w:after="160" w:line="360" w:lineRule="auto"/>
              <w:jc w:val="both"/>
              <w:rPr>
                <w:rFonts w:ascii="Times New Roman" w:hAnsi="Times New Roman" w:cs="Times New Roman"/>
                <w:b/>
                <w:bCs/>
                <w:sz w:val="24"/>
                <w:szCs w:val="24"/>
              </w:rPr>
            </w:pPr>
            <w:r w:rsidRPr="007968D2">
              <w:rPr>
                <w:rFonts w:ascii="Times New Roman" w:hAnsi="Times New Roman" w:cs="Times New Roman"/>
                <w:b/>
                <w:bCs/>
                <w:sz w:val="24"/>
                <w:szCs w:val="24"/>
              </w:rPr>
              <w:t>NPV at 10% (£m)</w:t>
            </w:r>
          </w:p>
        </w:tc>
        <w:tc>
          <w:tcPr>
            <w:tcW w:w="0" w:type="auto"/>
            <w:hideMark/>
          </w:tcPr>
          <w:p w14:paraId="189BFE95" w14:textId="77777777" w:rsidR="007968D2" w:rsidRPr="007968D2" w:rsidRDefault="007968D2" w:rsidP="00946425">
            <w:pPr>
              <w:spacing w:after="160" w:line="360" w:lineRule="auto"/>
              <w:jc w:val="both"/>
              <w:rPr>
                <w:rFonts w:ascii="Times New Roman" w:hAnsi="Times New Roman" w:cs="Times New Roman"/>
                <w:b/>
                <w:bCs/>
                <w:sz w:val="24"/>
                <w:szCs w:val="24"/>
              </w:rPr>
            </w:pPr>
            <w:r w:rsidRPr="007968D2">
              <w:rPr>
                <w:rFonts w:ascii="Times New Roman" w:hAnsi="Times New Roman" w:cs="Times New Roman"/>
                <w:b/>
                <w:bCs/>
                <w:sz w:val="24"/>
                <w:szCs w:val="24"/>
              </w:rPr>
              <w:t>Comment</w:t>
            </w:r>
          </w:p>
        </w:tc>
      </w:tr>
      <w:tr w:rsidR="00946425" w:rsidRPr="00946425" w14:paraId="3C3883DB" w14:textId="77777777" w:rsidTr="00946425">
        <w:trPr>
          <w:trHeight w:val="682"/>
        </w:trPr>
        <w:tc>
          <w:tcPr>
            <w:tcW w:w="0" w:type="auto"/>
            <w:hideMark/>
          </w:tcPr>
          <w:p w14:paraId="2B43A9D3"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A</w:t>
            </w:r>
          </w:p>
        </w:tc>
        <w:tc>
          <w:tcPr>
            <w:tcW w:w="0" w:type="auto"/>
            <w:hideMark/>
          </w:tcPr>
          <w:p w14:paraId="5DD6C79C"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50</w:t>
            </w:r>
          </w:p>
        </w:tc>
        <w:tc>
          <w:tcPr>
            <w:tcW w:w="0" w:type="auto"/>
            <w:hideMark/>
          </w:tcPr>
          <w:p w14:paraId="13B4A236"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−8.68</w:t>
            </w:r>
          </w:p>
        </w:tc>
        <w:tc>
          <w:tcPr>
            <w:tcW w:w="0" w:type="auto"/>
            <w:hideMark/>
          </w:tcPr>
          <w:p w14:paraId="13BFB2BC"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Lowest value creation; furthest from meeting 10% cost of capital</w:t>
            </w:r>
          </w:p>
        </w:tc>
      </w:tr>
      <w:tr w:rsidR="00946425" w:rsidRPr="00946425" w14:paraId="35E92393" w14:textId="77777777" w:rsidTr="00946425">
        <w:trPr>
          <w:trHeight w:val="402"/>
        </w:trPr>
        <w:tc>
          <w:tcPr>
            <w:tcW w:w="0" w:type="auto"/>
            <w:hideMark/>
          </w:tcPr>
          <w:p w14:paraId="5F272CD1"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B</w:t>
            </w:r>
          </w:p>
        </w:tc>
        <w:tc>
          <w:tcPr>
            <w:tcW w:w="0" w:type="auto"/>
            <w:hideMark/>
          </w:tcPr>
          <w:p w14:paraId="7CEF39F8"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50</w:t>
            </w:r>
          </w:p>
        </w:tc>
        <w:tc>
          <w:tcPr>
            <w:tcW w:w="0" w:type="auto"/>
            <w:hideMark/>
          </w:tcPr>
          <w:p w14:paraId="008FDC74"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−8.30</w:t>
            </w:r>
          </w:p>
        </w:tc>
        <w:tc>
          <w:tcPr>
            <w:tcW w:w="0" w:type="auto"/>
            <w:hideMark/>
          </w:tcPr>
          <w:p w14:paraId="2A08FD46"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Slightly better than A, but still clearly negative NPV</w:t>
            </w:r>
          </w:p>
        </w:tc>
      </w:tr>
      <w:tr w:rsidR="00946425" w:rsidRPr="00946425" w14:paraId="2F7E52F6" w14:textId="77777777" w:rsidTr="00946425">
        <w:trPr>
          <w:trHeight w:val="666"/>
        </w:trPr>
        <w:tc>
          <w:tcPr>
            <w:tcW w:w="0" w:type="auto"/>
            <w:hideMark/>
          </w:tcPr>
          <w:p w14:paraId="4C0685C5"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C</w:t>
            </w:r>
          </w:p>
        </w:tc>
        <w:tc>
          <w:tcPr>
            <w:tcW w:w="0" w:type="auto"/>
            <w:hideMark/>
          </w:tcPr>
          <w:p w14:paraId="3146C41D"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50</w:t>
            </w:r>
          </w:p>
        </w:tc>
        <w:tc>
          <w:tcPr>
            <w:tcW w:w="0" w:type="auto"/>
            <w:hideMark/>
          </w:tcPr>
          <w:p w14:paraId="02DE5572"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−1.98</w:t>
            </w:r>
          </w:p>
        </w:tc>
        <w:tc>
          <w:tcPr>
            <w:tcW w:w="0" w:type="auto"/>
            <w:hideMark/>
          </w:tcPr>
          <w:p w14:paraId="26809FC7"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Highest NPV (least negative); closest to covering required return</w:t>
            </w:r>
          </w:p>
        </w:tc>
      </w:tr>
    </w:tbl>
    <w:p w14:paraId="206B33D3" w14:textId="77777777" w:rsidR="007968D2" w:rsidRPr="00946425" w:rsidRDefault="007968D2" w:rsidP="00946425">
      <w:pPr>
        <w:spacing w:line="360" w:lineRule="auto"/>
        <w:jc w:val="both"/>
        <w:rPr>
          <w:rFonts w:ascii="Times New Roman" w:hAnsi="Times New Roman" w:cs="Times New Roman"/>
          <w:sz w:val="24"/>
          <w:szCs w:val="24"/>
        </w:rPr>
      </w:pPr>
    </w:p>
    <w:p w14:paraId="12EBE226" w14:textId="7777777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The Net Present Value approach discounts all cash flows of the project at the rate of return that is required at 10 percent and calculates the total gain or loss in present value terms. The negative NPVs of all three projects indicate that they do not provide an adequate payback and would in theory decrease the shareholder wealth. Nonetheless, given that there had to be a project selection, Project C would be the least unacceptable since it is the one with the largest (least negative) NPV and thus destroys the least amount of value in comparison to Projects A and B.</w:t>
      </w:r>
    </w:p>
    <w:p w14:paraId="7598DB5A" w14:textId="77B91873" w:rsidR="007968D2" w:rsidRPr="00946425" w:rsidRDefault="007968D2" w:rsidP="00946425">
      <w:pPr>
        <w:pStyle w:val="Heading2"/>
        <w:spacing w:line="360" w:lineRule="auto"/>
        <w:jc w:val="both"/>
        <w:rPr>
          <w:rFonts w:ascii="Times New Roman" w:hAnsi="Times New Roman" w:cs="Times New Roman"/>
          <w:b/>
          <w:bCs/>
          <w:color w:val="auto"/>
          <w:sz w:val="24"/>
          <w:szCs w:val="24"/>
        </w:rPr>
      </w:pPr>
      <w:bookmarkStart w:id="30" w:name="_Toc227884467"/>
      <w:r w:rsidRPr="00946425">
        <w:rPr>
          <w:rFonts w:ascii="Times New Roman" w:hAnsi="Times New Roman" w:cs="Times New Roman"/>
          <w:b/>
          <w:bCs/>
          <w:color w:val="auto"/>
          <w:sz w:val="24"/>
          <w:szCs w:val="24"/>
        </w:rPr>
        <w:t>5.5 Profitability Index (PI) and Internal Rate of Return (IRR)</w:t>
      </w:r>
      <w:bookmarkEnd w:id="30"/>
    </w:p>
    <w:p w14:paraId="1428AACD" w14:textId="7777777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 xml:space="preserve">The Profitability Index is used to compare the present value of future cash inflows and the initial investment and the Internal Rate of Return is used to determine the discount rate at which the NPV equals zero. Project A, Project B and Project C have PI of approximately 0.83, 0.83 and 0.96 respectively based on the project cash flows and hence Project C is the strongest since it is the one </w:t>
      </w:r>
      <w:r w:rsidRPr="00946425">
        <w:rPr>
          <w:rFonts w:ascii="Times New Roman" w:hAnsi="Times New Roman" w:cs="Times New Roman"/>
          <w:sz w:val="24"/>
          <w:szCs w:val="24"/>
        </w:rPr>
        <w:lastRenderedPageBreak/>
        <w:t>that is nearest to bring about 1 pound of present value to every pound spent. This conclusion can also be made based on the IRR results: both Project A and Project B yield a lower IRR than the required 10% rate, with Project C being the one with the highest IRR of the three projects. Thus, PI and IRR support the previous NPV finding that Project C is the most financially appealing one, although none of the projects can provide the company with the required return in full.</w:t>
      </w:r>
    </w:p>
    <w:p w14:paraId="71D2F760" w14:textId="213F4AE3" w:rsidR="007968D2" w:rsidRPr="00946425" w:rsidRDefault="007968D2" w:rsidP="00946425">
      <w:pPr>
        <w:pStyle w:val="Heading2"/>
        <w:spacing w:line="360" w:lineRule="auto"/>
        <w:jc w:val="both"/>
        <w:rPr>
          <w:rFonts w:ascii="Times New Roman" w:hAnsi="Times New Roman" w:cs="Times New Roman"/>
          <w:b/>
          <w:bCs/>
          <w:color w:val="auto"/>
          <w:sz w:val="24"/>
          <w:szCs w:val="24"/>
        </w:rPr>
      </w:pPr>
      <w:bookmarkStart w:id="31" w:name="_Toc227884468"/>
      <w:r w:rsidRPr="00946425">
        <w:rPr>
          <w:rFonts w:ascii="Times New Roman" w:hAnsi="Times New Roman" w:cs="Times New Roman"/>
          <w:b/>
          <w:bCs/>
          <w:color w:val="auto"/>
          <w:sz w:val="24"/>
          <w:szCs w:val="24"/>
        </w:rPr>
        <w:t>5.6 Recommended Project</w:t>
      </w:r>
      <w:bookmarkEnd w:id="31"/>
    </w:p>
    <w:p w14:paraId="0BB26B52" w14:textId="5689610E" w:rsidR="0004476B" w:rsidRPr="00946425" w:rsidRDefault="0004476B" w:rsidP="00946425">
      <w:pPr>
        <w:spacing w:line="360" w:lineRule="auto"/>
        <w:jc w:val="both"/>
        <w:rPr>
          <w:rFonts w:ascii="Times New Roman" w:hAnsi="Times New Roman" w:cs="Times New Roman"/>
          <w:b/>
          <w:bCs/>
          <w:sz w:val="24"/>
          <w:szCs w:val="24"/>
        </w:rPr>
      </w:pPr>
      <w:r w:rsidRPr="00946425">
        <w:rPr>
          <w:rFonts w:ascii="Times New Roman" w:hAnsi="Times New Roman" w:cs="Times New Roman"/>
          <w:sz w:val="24"/>
          <w:szCs w:val="24"/>
        </w:rPr>
        <w:t xml:space="preserve">BYD should be advised to select project C in case they need to select a project. It has the shortest payback period, maximum ARR, maximum PI and minimum negative NPV, which implies that it is the most effective in both liquidity and profitability indicators. This has rendered it the most sound across the board compared to the other two projects. In the case of BYD, the recommendation is also applicable in the financial profile of the company as good operating cash flow and low gearing provide the company with some ability to afford an investment which has better accounting returns and faster recovery. Nevertheless, the decision has to be taken carefully as the NPV of Project C is still not </w:t>
      </w:r>
      <w:proofErr w:type="spellStart"/>
      <w:r w:rsidRPr="00946425">
        <w:rPr>
          <w:rFonts w:ascii="Times New Roman" w:hAnsi="Times New Roman" w:cs="Times New Roman"/>
          <w:sz w:val="24"/>
          <w:szCs w:val="24"/>
        </w:rPr>
        <w:t>favorable</w:t>
      </w:r>
      <w:proofErr w:type="spellEnd"/>
      <w:r w:rsidRPr="00946425">
        <w:rPr>
          <w:rFonts w:ascii="Times New Roman" w:hAnsi="Times New Roman" w:cs="Times New Roman"/>
          <w:sz w:val="24"/>
          <w:szCs w:val="24"/>
        </w:rPr>
        <w:t xml:space="preserve"> at the 10% discount rate. Making a strictly shareholder wealth decision, none of the three projects can be approved, but assuming a strategic investment must be undertaken, Project C can be best justified.</w:t>
      </w:r>
    </w:p>
    <w:p w14:paraId="68838753" w14:textId="204ED79D" w:rsidR="007968D2" w:rsidRPr="00946425" w:rsidRDefault="007968D2" w:rsidP="00946425">
      <w:pPr>
        <w:pStyle w:val="Heading2"/>
        <w:spacing w:line="360" w:lineRule="auto"/>
        <w:jc w:val="both"/>
        <w:rPr>
          <w:rFonts w:ascii="Times New Roman" w:hAnsi="Times New Roman" w:cs="Times New Roman"/>
          <w:b/>
          <w:bCs/>
          <w:color w:val="auto"/>
          <w:sz w:val="24"/>
          <w:szCs w:val="24"/>
        </w:rPr>
      </w:pPr>
      <w:bookmarkStart w:id="32" w:name="_Toc227884469"/>
      <w:r w:rsidRPr="00946425">
        <w:rPr>
          <w:rFonts w:ascii="Times New Roman" w:hAnsi="Times New Roman" w:cs="Times New Roman"/>
          <w:b/>
          <w:bCs/>
          <w:color w:val="auto"/>
          <w:sz w:val="24"/>
          <w:szCs w:val="24"/>
        </w:rPr>
        <w:t>5.7 Non-Financial Risk Considerations</w:t>
      </w:r>
      <w:bookmarkEnd w:id="32"/>
    </w:p>
    <w:p w14:paraId="1080197F" w14:textId="77777777" w:rsidR="0004476B"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There are other non-financial considerations to be made when selecting projects. BYD is a very competitive company in the EV market, and thus it may have impacts on future project returns due to political risk, trade restriction, change in regulations and uncertainty in customer demand. The risk of technology is also applicable, since the product or battery innovation can vary rapidly and the value of expected cash flows of a project can decrease. Moreover, the presence of customer loyalty, brand perception and acceptance in overseas markets can play a role in determining the realization of the perceived benefits in practice.</w:t>
      </w:r>
    </w:p>
    <w:p w14:paraId="19926A25" w14:textId="6194474C" w:rsidR="007968D2" w:rsidRPr="00946425" w:rsidRDefault="007968D2" w:rsidP="00946425">
      <w:pPr>
        <w:pStyle w:val="Heading2"/>
        <w:spacing w:line="360" w:lineRule="auto"/>
        <w:jc w:val="both"/>
        <w:rPr>
          <w:rFonts w:ascii="Times New Roman" w:hAnsi="Times New Roman" w:cs="Times New Roman"/>
          <w:b/>
          <w:bCs/>
          <w:color w:val="auto"/>
          <w:sz w:val="24"/>
          <w:szCs w:val="24"/>
        </w:rPr>
      </w:pPr>
      <w:bookmarkStart w:id="33" w:name="_Toc227884470"/>
      <w:r w:rsidRPr="00946425">
        <w:rPr>
          <w:rFonts w:ascii="Times New Roman" w:hAnsi="Times New Roman" w:cs="Times New Roman"/>
          <w:b/>
          <w:bCs/>
          <w:color w:val="auto"/>
          <w:sz w:val="24"/>
          <w:szCs w:val="24"/>
        </w:rPr>
        <w:t>5.8 Capital Rationing Decision</w:t>
      </w:r>
      <w:bookmarkEnd w:id="33"/>
    </w:p>
    <w:p w14:paraId="467BAA70" w14:textId="77777777" w:rsidR="007968D2" w:rsidRPr="007968D2" w:rsidRDefault="007968D2" w:rsidP="00946425">
      <w:pPr>
        <w:spacing w:line="360" w:lineRule="auto"/>
        <w:jc w:val="both"/>
        <w:rPr>
          <w:rFonts w:ascii="Times New Roman" w:hAnsi="Times New Roman" w:cs="Times New Roman"/>
          <w:sz w:val="24"/>
          <w:szCs w:val="24"/>
        </w:rPr>
      </w:pPr>
      <w:r w:rsidRPr="007968D2">
        <w:rPr>
          <w:rFonts w:ascii="Times New Roman" w:hAnsi="Times New Roman" w:cs="Times New Roman"/>
          <w:sz w:val="24"/>
          <w:szCs w:val="24"/>
        </w:rPr>
        <w:t>Assuming a maximum budget of £100 million and each project costing £50 million, BYD can choose at most </w:t>
      </w:r>
      <w:r w:rsidRPr="007968D2">
        <w:rPr>
          <w:rFonts w:ascii="Times New Roman" w:hAnsi="Times New Roman" w:cs="Times New Roman"/>
          <w:b/>
          <w:bCs/>
          <w:sz w:val="24"/>
          <w:szCs w:val="24"/>
        </w:rPr>
        <w:t>two</w:t>
      </w:r>
      <w:r w:rsidRPr="007968D2">
        <w:rPr>
          <w:rFonts w:ascii="Times New Roman" w:hAnsi="Times New Roman" w:cs="Times New Roman"/>
          <w:sz w:val="24"/>
          <w:szCs w:val="24"/>
        </w:rPr>
        <w:t> projects.</w:t>
      </w:r>
    </w:p>
    <w:tbl>
      <w:tblPr>
        <w:tblStyle w:val="TableGrid"/>
        <w:tblW w:w="9118" w:type="dxa"/>
        <w:tblLook w:val="04A0" w:firstRow="1" w:lastRow="0" w:firstColumn="1" w:lastColumn="0" w:noHBand="0" w:noVBand="1"/>
      </w:tblPr>
      <w:tblGrid>
        <w:gridCol w:w="1563"/>
        <w:gridCol w:w="2418"/>
        <w:gridCol w:w="1946"/>
        <w:gridCol w:w="3191"/>
      </w:tblGrid>
      <w:tr w:rsidR="00946425" w:rsidRPr="007968D2" w14:paraId="40689A79" w14:textId="77777777" w:rsidTr="007968D2">
        <w:trPr>
          <w:trHeight w:val="675"/>
        </w:trPr>
        <w:tc>
          <w:tcPr>
            <w:tcW w:w="0" w:type="auto"/>
            <w:hideMark/>
          </w:tcPr>
          <w:p w14:paraId="11467683" w14:textId="77777777" w:rsidR="007968D2" w:rsidRPr="007968D2" w:rsidRDefault="007968D2" w:rsidP="00946425">
            <w:pPr>
              <w:spacing w:after="160" w:line="360" w:lineRule="auto"/>
              <w:jc w:val="both"/>
              <w:rPr>
                <w:rFonts w:ascii="Times New Roman" w:hAnsi="Times New Roman" w:cs="Times New Roman"/>
                <w:b/>
                <w:bCs/>
                <w:sz w:val="24"/>
                <w:szCs w:val="24"/>
              </w:rPr>
            </w:pPr>
            <w:r w:rsidRPr="007968D2">
              <w:rPr>
                <w:rFonts w:ascii="Times New Roman" w:hAnsi="Times New Roman" w:cs="Times New Roman"/>
                <w:b/>
                <w:bCs/>
                <w:sz w:val="24"/>
                <w:szCs w:val="24"/>
              </w:rPr>
              <w:lastRenderedPageBreak/>
              <w:t>Combination</w:t>
            </w:r>
          </w:p>
        </w:tc>
        <w:tc>
          <w:tcPr>
            <w:tcW w:w="0" w:type="auto"/>
            <w:hideMark/>
          </w:tcPr>
          <w:p w14:paraId="573D41AD" w14:textId="77777777" w:rsidR="007968D2" w:rsidRPr="007968D2" w:rsidRDefault="007968D2" w:rsidP="00946425">
            <w:pPr>
              <w:spacing w:after="160" w:line="360" w:lineRule="auto"/>
              <w:jc w:val="both"/>
              <w:rPr>
                <w:rFonts w:ascii="Times New Roman" w:hAnsi="Times New Roman" w:cs="Times New Roman"/>
                <w:b/>
                <w:bCs/>
                <w:sz w:val="24"/>
                <w:szCs w:val="24"/>
              </w:rPr>
            </w:pPr>
            <w:r w:rsidRPr="007968D2">
              <w:rPr>
                <w:rFonts w:ascii="Times New Roman" w:hAnsi="Times New Roman" w:cs="Times New Roman"/>
                <w:b/>
                <w:bCs/>
                <w:sz w:val="24"/>
                <w:szCs w:val="24"/>
              </w:rPr>
              <w:t>Total initial investment (£m)</w:t>
            </w:r>
          </w:p>
        </w:tc>
        <w:tc>
          <w:tcPr>
            <w:tcW w:w="0" w:type="auto"/>
            <w:hideMark/>
          </w:tcPr>
          <w:p w14:paraId="640D6BA1" w14:textId="77777777" w:rsidR="007968D2" w:rsidRPr="007968D2" w:rsidRDefault="007968D2" w:rsidP="00946425">
            <w:pPr>
              <w:spacing w:after="160" w:line="360" w:lineRule="auto"/>
              <w:jc w:val="both"/>
              <w:rPr>
                <w:rFonts w:ascii="Times New Roman" w:hAnsi="Times New Roman" w:cs="Times New Roman"/>
                <w:b/>
                <w:bCs/>
                <w:sz w:val="24"/>
                <w:szCs w:val="24"/>
              </w:rPr>
            </w:pPr>
            <w:r w:rsidRPr="007968D2">
              <w:rPr>
                <w:rFonts w:ascii="Times New Roman" w:hAnsi="Times New Roman" w:cs="Times New Roman"/>
                <w:b/>
                <w:bCs/>
                <w:sz w:val="24"/>
                <w:szCs w:val="24"/>
              </w:rPr>
              <w:t>Total NPV at 10% (£m)</w:t>
            </w:r>
          </w:p>
        </w:tc>
        <w:tc>
          <w:tcPr>
            <w:tcW w:w="0" w:type="auto"/>
            <w:hideMark/>
          </w:tcPr>
          <w:p w14:paraId="71E6DAE6" w14:textId="77777777" w:rsidR="007968D2" w:rsidRPr="007968D2" w:rsidRDefault="007968D2" w:rsidP="00946425">
            <w:pPr>
              <w:spacing w:after="160" w:line="360" w:lineRule="auto"/>
              <w:jc w:val="both"/>
              <w:rPr>
                <w:rFonts w:ascii="Times New Roman" w:hAnsi="Times New Roman" w:cs="Times New Roman"/>
                <w:b/>
                <w:bCs/>
                <w:sz w:val="24"/>
                <w:szCs w:val="24"/>
              </w:rPr>
            </w:pPr>
            <w:r w:rsidRPr="007968D2">
              <w:rPr>
                <w:rFonts w:ascii="Times New Roman" w:hAnsi="Times New Roman" w:cs="Times New Roman"/>
                <w:b/>
                <w:bCs/>
                <w:sz w:val="24"/>
                <w:szCs w:val="24"/>
              </w:rPr>
              <w:t>Comment</w:t>
            </w:r>
          </w:p>
        </w:tc>
      </w:tr>
      <w:tr w:rsidR="00946425" w:rsidRPr="007968D2" w14:paraId="53EB1C0F" w14:textId="77777777" w:rsidTr="007968D2">
        <w:trPr>
          <w:trHeight w:val="398"/>
        </w:trPr>
        <w:tc>
          <w:tcPr>
            <w:tcW w:w="0" w:type="auto"/>
            <w:hideMark/>
          </w:tcPr>
          <w:p w14:paraId="07FAE39C"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A + B</w:t>
            </w:r>
          </w:p>
        </w:tc>
        <w:tc>
          <w:tcPr>
            <w:tcW w:w="0" w:type="auto"/>
            <w:hideMark/>
          </w:tcPr>
          <w:p w14:paraId="3EFA8E5F"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100</w:t>
            </w:r>
          </w:p>
        </w:tc>
        <w:tc>
          <w:tcPr>
            <w:tcW w:w="0" w:type="auto"/>
            <w:hideMark/>
          </w:tcPr>
          <w:p w14:paraId="2D349CEB"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−16.98</w:t>
            </w:r>
          </w:p>
        </w:tc>
        <w:tc>
          <w:tcPr>
            <w:tcW w:w="0" w:type="auto"/>
            <w:hideMark/>
          </w:tcPr>
          <w:p w14:paraId="5674A502"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Two weakest projects; lowest total value</w:t>
            </w:r>
          </w:p>
        </w:tc>
      </w:tr>
      <w:tr w:rsidR="00946425" w:rsidRPr="007968D2" w14:paraId="6F1B5A84" w14:textId="77777777" w:rsidTr="007968D2">
        <w:trPr>
          <w:trHeight w:val="414"/>
        </w:trPr>
        <w:tc>
          <w:tcPr>
            <w:tcW w:w="0" w:type="auto"/>
            <w:hideMark/>
          </w:tcPr>
          <w:p w14:paraId="7DA05F96"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A + C</w:t>
            </w:r>
          </w:p>
        </w:tc>
        <w:tc>
          <w:tcPr>
            <w:tcW w:w="0" w:type="auto"/>
            <w:hideMark/>
          </w:tcPr>
          <w:p w14:paraId="0C7FEC2A"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100</w:t>
            </w:r>
          </w:p>
        </w:tc>
        <w:tc>
          <w:tcPr>
            <w:tcW w:w="0" w:type="auto"/>
            <w:hideMark/>
          </w:tcPr>
          <w:p w14:paraId="2293C5AD"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−10.66</w:t>
            </w:r>
          </w:p>
        </w:tc>
        <w:tc>
          <w:tcPr>
            <w:tcW w:w="0" w:type="auto"/>
            <w:hideMark/>
          </w:tcPr>
          <w:p w14:paraId="1A133D17"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Better because C improves overall NPV</w:t>
            </w:r>
          </w:p>
        </w:tc>
      </w:tr>
      <w:tr w:rsidR="00946425" w:rsidRPr="007968D2" w14:paraId="1637C202" w14:textId="77777777" w:rsidTr="007968D2">
        <w:trPr>
          <w:trHeight w:val="660"/>
        </w:trPr>
        <w:tc>
          <w:tcPr>
            <w:tcW w:w="0" w:type="auto"/>
            <w:hideMark/>
          </w:tcPr>
          <w:p w14:paraId="076C7EE1"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B + C</w:t>
            </w:r>
          </w:p>
        </w:tc>
        <w:tc>
          <w:tcPr>
            <w:tcW w:w="0" w:type="auto"/>
            <w:hideMark/>
          </w:tcPr>
          <w:p w14:paraId="684C3A34"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100</w:t>
            </w:r>
          </w:p>
        </w:tc>
        <w:tc>
          <w:tcPr>
            <w:tcW w:w="0" w:type="auto"/>
            <w:hideMark/>
          </w:tcPr>
          <w:p w14:paraId="4F61CD22"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−10.28</w:t>
            </w:r>
          </w:p>
        </w:tc>
        <w:tc>
          <w:tcPr>
            <w:tcW w:w="0" w:type="auto"/>
            <w:hideMark/>
          </w:tcPr>
          <w:p w14:paraId="76076EEF" w14:textId="77777777" w:rsidR="007968D2" w:rsidRPr="007968D2" w:rsidRDefault="007968D2" w:rsidP="00946425">
            <w:pPr>
              <w:spacing w:after="160" w:line="360" w:lineRule="auto"/>
              <w:jc w:val="both"/>
              <w:rPr>
                <w:rFonts w:ascii="Times New Roman" w:hAnsi="Times New Roman" w:cs="Times New Roman"/>
                <w:sz w:val="24"/>
                <w:szCs w:val="24"/>
              </w:rPr>
            </w:pPr>
            <w:r w:rsidRPr="007968D2">
              <w:rPr>
                <w:rFonts w:ascii="Times New Roman" w:hAnsi="Times New Roman" w:cs="Times New Roman"/>
                <w:sz w:val="24"/>
                <w:szCs w:val="24"/>
              </w:rPr>
              <w:t>Highest total NPV (least negative); best pair</w:t>
            </w:r>
          </w:p>
        </w:tc>
      </w:tr>
    </w:tbl>
    <w:p w14:paraId="6C872599" w14:textId="77777777" w:rsidR="007968D2" w:rsidRPr="00946425" w:rsidRDefault="007968D2" w:rsidP="00946425">
      <w:pPr>
        <w:spacing w:line="360" w:lineRule="auto"/>
        <w:jc w:val="both"/>
        <w:rPr>
          <w:rFonts w:ascii="Times New Roman" w:hAnsi="Times New Roman" w:cs="Times New Roman"/>
          <w:sz w:val="24"/>
          <w:szCs w:val="24"/>
        </w:rPr>
      </w:pPr>
    </w:p>
    <w:p w14:paraId="7F705A17" w14:textId="5C170FF0" w:rsidR="007968D2" w:rsidRPr="00946425" w:rsidRDefault="0004476B"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The combination that has the highest total NPV is the rational choice under capital rationing. Although individual projects have negative NPVs, the combination of B and C has the lowest negative NPV, making it the combination of choice should BYD be compelled to invest up to £100 million in two projects.</w:t>
      </w:r>
      <w:r w:rsidR="007968D2" w:rsidRPr="00946425">
        <w:rPr>
          <w:rFonts w:ascii="Times New Roman" w:hAnsi="Times New Roman" w:cs="Times New Roman"/>
          <w:sz w:val="24"/>
          <w:szCs w:val="24"/>
        </w:rPr>
        <w:br w:type="page"/>
      </w:r>
    </w:p>
    <w:p w14:paraId="7AE3938A" w14:textId="77777777" w:rsidR="0004476B" w:rsidRPr="00946425" w:rsidRDefault="0004476B" w:rsidP="00946425">
      <w:pPr>
        <w:pStyle w:val="Heading1"/>
        <w:spacing w:line="360" w:lineRule="auto"/>
        <w:jc w:val="both"/>
        <w:rPr>
          <w:rFonts w:ascii="Times New Roman" w:hAnsi="Times New Roman" w:cs="Times New Roman"/>
          <w:b/>
          <w:bCs/>
          <w:color w:val="auto"/>
          <w:sz w:val="24"/>
          <w:szCs w:val="24"/>
        </w:rPr>
      </w:pPr>
      <w:bookmarkStart w:id="34" w:name="_Toc227884471"/>
      <w:r w:rsidRPr="00946425">
        <w:rPr>
          <w:rFonts w:ascii="Times New Roman" w:hAnsi="Times New Roman" w:cs="Times New Roman"/>
          <w:b/>
          <w:bCs/>
          <w:color w:val="auto"/>
          <w:sz w:val="24"/>
          <w:szCs w:val="24"/>
        </w:rPr>
        <w:lastRenderedPageBreak/>
        <w:t>6. Conclusion</w:t>
      </w:r>
      <w:bookmarkEnd w:id="34"/>
    </w:p>
    <w:p w14:paraId="07A00EAC" w14:textId="77777777" w:rsidR="0004476B" w:rsidRPr="00946425" w:rsidRDefault="0004476B" w:rsidP="00946425">
      <w:pPr>
        <w:pStyle w:val="Heading2"/>
        <w:spacing w:line="360" w:lineRule="auto"/>
        <w:jc w:val="both"/>
        <w:rPr>
          <w:rFonts w:ascii="Times New Roman" w:hAnsi="Times New Roman" w:cs="Times New Roman"/>
          <w:b/>
          <w:bCs/>
          <w:color w:val="auto"/>
          <w:sz w:val="24"/>
          <w:szCs w:val="24"/>
        </w:rPr>
      </w:pPr>
      <w:bookmarkStart w:id="35" w:name="_Toc227884472"/>
      <w:r w:rsidRPr="00946425">
        <w:rPr>
          <w:rFonts w:ascii="Times New Roman" w:hAnsi="Times New Roman" w:cs="Times New Roman"/>
          <w:b/>
          <w:bCs/>
          <w:color w:val="auto"/>
          <w:sz w:val="24"/>
          <w:szCs w:val="24"/>
        </w:rPr>
        <w:t>6.1 Summary of Financial Findings</w:t>
      </w:r>
      <w:bookmarkEnd w:id="35"/>
    </w:p>
    <w:p w14:paraId="2796B299" w14:textId="77777777" w:rsidR="007D6B88" w:rsidRPr="00946425" w:rsidRDefault="007D6B88"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The analysis demonstrates that BYD is in a good overall financial position, which is evidenced by the fast increase in revenue, profitability and operating cash flow. In 2024, total revenue was RMB 777.1 billion, net profit attributable to shareholders was RMB 40.25 billion, operating cash flow was RMB 133.5 billion and cash reserves were RMB 154.9 billion. The five years period has seen increased profitability and efficiency, and solvency and financial strength have been reflected in low gearing. Nonetheless, the liquidity is not very loose since the current ratio of BYD is still lower than 1 which means that the further growth will be based on the effective working capital management and the effective supplier, receivables and stock management.</w:t>
      </w:r>
    </w:p>
    <w:p w14:paraId="44FABADF" w14:textId="42C55690" w:rsidR="0004476B" w:rsidRPr="00946425" w:rsidRDefault="0004476B" w:rsidP="00946425">
      <w:pPr>
        <w:pStyle w:val="Heading2"/>
        <w:spacing w:line="360" w:lineRule="auto"/>
        <w:jc w:val="both"/>
        <w:rPr>
          <w:rFonts w:ascii="Times New Roman" w:hAnsi="Times New Roman" w:cs="Times New Roman"/>
          <w:b/>
          <w:bCs/>
          <w:color w:val="auto"/>
          <w:sz w:val="24"/>
          <w:szCs w:val="24"/>
        </w:rPr>
      </w:pPr>
      <w:bookmarkStart w:id="36" w:name="_Toc227884473"/>
      <w:r w:rsidRPr="00946425">
        <w:rPr>
          <w:rFonts w:ascii="Times New Roman" w:hAnsi="Times New Roman" w:cs="Times New Roman"/>
          <w:b/>
          <w:bCs/>
          <w:color w:val="auto"/>
          <w:sz w:val="24"/>
          <w:szCs w:val="24"/>
        </w:rPr>
        <w:t>6.2 Final Strategic Recommendations</w:t>
      </w:r>
      <w:bookmarkEnd w:id="36"/>
    </w:p>
    <w:p w14:paraId="1BF36E36" w14:textId="6BD2FB45" w:rsidR="007D6B88" w:rsidRPr="00946425" w:rsidRDefault="007D6B88"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t>BYD ought to proceed with its expansion, but with a rigorous financial control and selective restructuring. First, the company needs to enhance working capital management through expediting receivables turnover, enhancing inventory management and ensuring equal supplier payment policies to secure liquidity. Second, BYD needs to pursue a balanced financing approach that focuses on internal cash flow, selective financing of major global expansion and limited refinancing in which it enhances funding stability without excessively raising the financial risk. Third, portfolio rationalisation should be taken into account with the focus to concentrate capital on high-paying core areas such as EVs, batteries and intelligent mobility. In conclusion, Project C is the best of the three suggested investments as it has the least payback, highest ARR and lowest negative NPV, whereas the combination of Projects B and C is the most preferable due to the capital-rationed choice.</w:t>
      </w:r>
    </w:p>
    <w:p w14:paraId="17FE7CD5" w14:textId="77777777" w:rsidR="007D6B88" w:rsidRPr="00946425" w:rsidRDefault="007D6B88" w:rsidP="00946425">
      <w:pPr>
        <w:spacing w:line="360" w:lineRule="auto"/>
        <w:jc w:val="both"/>
        <w:rPr>
          <w:rFonts w:ascii="Times New Roman" w:hAnsi="Times New Roman" w:cs="Times New Roman"/>
          <w:sz w:val="24"/>
          <w:szCs w:val="24"/>
        </w:rPr>
      </w:pPr>
      <w:r w:rsidRPr="00946425">
        <w:rPr>
          <w:rFonts w:ascii="Times New Roman" w:hAnsi="Times New Roman" w:cs="Times New Roman"/>
          <w:sz w:val="24"/>
          <w:szCs w:val="24"/>
        </w:rPr>
        <w:br w:type="page"/>
      </w:r>
    </w:p>
    <w:p w14:paraId="6CDF6BE8" w14:textId="77777777" w:rsidR="00946425" w:rsidRPr="00946425" w:rsidRDefault="00946425" w:rsidP="00946425">
      <w:pPr>
        <w:pStyle w:val="Heading1"/>
        <w:spacing w:line="360" w:lineRule="auto"/>
        <w:jc w:val="both"/>
        <w:rPr>
          <w:rFonts w:ascii="Times New Roman" w:hAnsi="Times New Roman" w:cs="Times New Roman"/>
          <w:b/>
          <w:bCs/>
          <w:color w:val="auto"/>
          <w:sz w:val="24"/>
          <w:szCs w:val="24"/>
          <w:lang w:val="en-US"/>
        </w:rPr>
      </w:pPr>
      <w:bookmarkStart w:id="37" w:name="_Toc227884474"/>
      <w:r w:rsidRPr="00946425">
        <w:rPr>
          <w:rFonts w:ascii="Times New Roman" w:hAnsi="Times New Roman" w:cs="Times New Roman"/>
          <w:b/>
          <w:bCs/>
          <w:color w:val="auto"/>
          <w:sz w:val="24"/>
          <w:szCs w:val="24"/>
          <w:lang w:val="en-US"/>
        </w:rPr>
        <w:lastRenderedPageBreak/>
        <w:t>Reference list</w:t>
      </w:r>
      <w:bookmarkEnd w:id="37"/>
    </w:p>
    <w:p w14:paraId="523B958C" w14:textId="77777777" w:rsidR="00946425" w:rsidRPr="00946425" w:rsidRDefault="00946425" w:rsidP="00946425">
      <w:pPr>
        <w:spacing w:line="360" w:lineRule="auto"/>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 xml:space="preserve">Ashok Panigrahi (2024). Working capital management strategies and financial performance: A cause-and-effect analysis. </w:t>
      </w:r>
      <w:r w:rsidRPr="00946425">
        <w:rPr>
          <w:rFonts w:ascii="Times New Roman" w:hAnsi="Times New Roman" w:cs="Times New Roman"/>
          <w:i/>
          <w:iCs/>
          <w:sz w:val="24"/>
          <w:szCs w:val="24"/>
          <w:lang w:val="en-US"/>
        </w:rPr>
        <w:t>Journal of management research and analysis</w:t>
      </w:r>
      <w:r w:rsidRPr="00946425">
        <w:rPr>
          <w:rFonts w:ascii="Times New Roman" w:hAnsi="Times New Roman" w:cs="Times New Roman"/>
          <w:sz w:val="24"/>
          <w:szCs w:val="24"/>
          <w:lang w:val="en-US"/>
        </w:rPr>
        <w:t xml:space="preserve">, 11(1), pp.3–11. </w:t>
      </w:r>
      <w:proofErr w:type="spellStart"/>
      <w:r w:rsidRPr="00946425">
        <w:rPr>
          <w:rFonts w:ascii="Times New Roman" w:hAnsi="Times New Roman" w:cs="Times New Roman"/>
          <w:sz w:val="24"/>
          <w:szCs w:val="24"/>
          <w:lang w:val="en-US"/>
        </w:rPr>
        <w:t>doi:https</w:t>
      </w:r>
      <w:proofErr w:type="spellEnd"/>
      <w:r w:rsidRPr="00946425">
        <w:rPr>
          <w:rFonts w:ascii="Times New Roman" w:hAnsi="Times New Roman" w:cs="Times New Roman"/>
          <w:sz w:val="24"/>
          <w:szCs w:val="24"/>
          <w:lang w:val="en-US"/>
        </w:rPr>
        <w:t>://doi.org/10.18231/j.jmra.2024.002.</w:t>
      </w:r>
    </w:p>
    <w:p w14:paraId="52E4F5D9" w14:textId="77777777" w:rsidR="00946425" w:rsidRPr="00946425" w:rsidRDefault="00946425" w:rsidP="00946425">
      <w:pPr>
        <w:spacing w:line="360" w:lineRule="auto"/>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 xml:space="preserve">Filbeck, G. and Barkley, T. (2023). WORKING CAPITAL MANAGEMENT: Concepts And Strategies. </w:t>
      </w:r>
      <w:r w:rsidRPr="00946425">
        <w:rPr>
          <w:rFonts w:ascii="Times New Roman" w:hAnsi="Times New Roman" w:cs="Times New Roman"/>
          <w:i/>
          <w:iCs/>
          <w:sz w:val="24"/>
          <w:szCs w:val="24"/>
          <w:lang w:val="en-US"/>
        </w:rPr>
        <w:t xml:space="preserve">Penn State </w:t>
      </w:r>
      <w:r w:rsidRPr="00946425">
        <w:rPr>
          <w:rFonts w:ascii="Times New Roman" w:hAnsi="Times New Roman" w:cs="Times New Roman"/>
          <w:sz w:val="24"/>
          <w:szCs w:val="24"/>
          <w:lang w:val="en-US"/>
        </w:rPr>
        <w:t xml:space="preserve">. [online] </w:t>
      </w:r>
      <w:proofErr w:type="spellStart"/>
      <w:r w:rsidRPr="00946425">
        <w:rPr>
          <w:rFonts w:ascii="Times New Roman" w:hAnsi="Times New Roman" w:cs="Times New Roman"/>
          <w:sz w:val="24"/>
          <w:szCs w:val="24"/>
          <w:lang w:val="en-US"/>
        </w:rPr>
        <w:t>doi:https</w:t>
      </w:r>
      <w:proofErr w:type="spellEnd"/>
      <w:r w:rsidRPr="00946425">
        <w:rPr>
          <w:rFonts w:ascii="Times New Roman" w:hAnsi="Times New Roman" w:cs="Times New Roman"/>
          <w:sz w:val="24"/>
          <w:szCs w:val="24"/>
          <w:lang w:val="en-US"/>
        </w:rPr>
        <w:t>://doi.org/10.1142/9789811259661.</w:t>
      </w:r>
    </w:p>
    <w:p w14:paraId="34B86571" w14:textId="77777777" w:rsidR="00946425" w:rsidRPr="00946425" w:rsidRDefault="00946425" w:rsidP="00946425">
      <w:pPr>
        <w:spacing w:line="360" w:lineRule="auto"/>
        <w:jc w:val="both"/>
        <w:rPr>
          <w:rFonts w:ascii="Times New Roman" w:hAnsi="Times New Roman" w:cs="Times New Roman"/>
          <w:sz w:val="24"/>
          <w:szCs w:val="24"/>
          <w:lang w:val="en-US"/>
        </w:rPr>
      </w:pPr>
      <w:proofErr w:type="spellStart"/>
      <w:r w:rsidRPr="00946425">
        <w:rPr>
          <w:rFonts w:ascii="Times New Roman" w:hAnsi="Times New Roman" w:cs="Times New Roman"/>
          <w:sz w:val="24"/>
          <w:szCs w:val="24"/>
          <w:lang w:val="en-US"/>
        </w:rPr>
        <w:t>Gasgoo</w:t>
      </w:r>
      <w:proofErr w:type="spellEnd"/>
      <w:r w:rsidRPr="00946425">
        <w:rPr>
          <w:rFonts w:ascii="Times New Roman" w:hAnsi="Times New Roman" w:cs="Times New Roman"/>
          <w:sz w:val="24"/>
          <w:szCs w:val="24"/>
          <w:lang w:val="en-US"/>
        </w:rPr>
        <w:t xml:space="preserve">. (2020). </w:t>
      </w:r>
      <w:r w:rsidRPr="00946425">
        <w:rPr>
          <w:rFonts w:ascii="Times New Roman" w:hAnsi="Times New Roman" w:cs="Times New Roman"/>
          <w:i/>
          <w:iCs/>
          <w:sz w:val="24"/>
          <w:szCs w:val="24"/>
          <w:lang w:val="en-US"/>
        </w:rPr>
        <w:t>Top stories of BYD in 2024</w:t>
      </w:r>
      <w:r w:rsidRPr="00946425">
        <w:rPr>
          <w:rFonts w:ascii="Times New Roman" w:hAnsi="Times New Roman" w:cs="Times New Roman"/>
          <w:sz w:val="24"/>
          <w:szCs w:val="24"/>
          <w:lang w:val="en-US"/>
        </w:rPr>
        <w:t>. [online] Available at: https://autonews.gasgoo.com/china_news/70035802.html.</w:t>
      </w:r>
    </w:p>
    <w:p w14:paraId="21187133" w14:textId="77777777" w:rsidR="00946425" w:rsidRPr="00946425" w:rsidRDefault="00946425" w:rsidP="00946425">
      <w:pPr>
        <w:spacing w:line="360" w:lineRule="auto"/>
        <w:jc w:val="both"/>
        <w:rPr>
          <w:rFonts w:ascii="Times New Roman" w:hAnsi="Times New Roman" w:cs="Times New Roman"/>
          <w:sz w:val="24"/>
          <w:szCs w:val="24"/>
          <w:lang w:val="en-US"/>
        </w:rPr>
      </w:pPr>
      <w:proofErr w:type="spellStart"/>
      <w:r w:rsidRPr="00946425">
        <w:rPr>
          <w:rFonts w:ascii="Times New Roman" w:hAnsi="Times New Roman" w:cs="Times New Roman"/>
          <w:sz w:val="24"/>
          <w:szCs w:val="24"/>
          <w:lang w:val="en-US"/>
        </w:rPr>
        <w:t>GuruFocus</w:t>
      </w:r>
      <w:proofErr w:type="spellEnd"/>
      <w:r w:rsidRPr="00946425">
        <w:rPr>
          <w:rFonts w:ascii="Times New Roman" w:hAnsi="Times New Roman" w:cs="Times New Roman"/>
          <w:sz w:val="24"/>
          <w:szCs w:val="24"/>
          <w:lang w:val="en-US"/>
        </w:rPr>
        <w:t xml:space="preserve"> (2025). </w:t>
      </w:r>
      <w:r w:rsidRPr="00946425">
        <w:rPr>
          <w:rFonts w:ascii="Times New Roman" w:hAnsi="Times New Roman" w:cs="Times New Roman"/>
          <w:i/>
          <w:iCs/>
          <w:sz w:val="24"/>
          <w:szCs w:val="24"/>
          <w:lang w:val="en-US"/>
        </w:rPr>
        <w:t>BYD Co Ltd (BYDDY) — Historical Annual &amp; Quarterly Data</w:t>
      </w:r>
      <w:r w:rsidRPr="00946425">
        <w:rPr>
          <w:rFonts w:ascii="Times New Roman" w:hAnsi="Times New Roman" w:cs="Times New Roman"/>
          <w:sz w:val="24"/>
          <w:szCs w:val="24"/>
          <w:lang w:val="en-US"/>
        </w:rPr>
        <w:t>. [online] Gurufocus.com. Available at: https://www.gurufocus.com/term/cash-conversion-cycle/BYDDY.</w:t>
      </w:r>
    </w:p>
    <w:p w14:paraId="41BB8081" w14:textId="77777777" w:rsidR="00946425" w:rsidRPr="00946425" w:rsidRDefault="00946425" w:rsidP="00946425">
      <w:pPr>
        <w:spacing w:line="360" w:lineRule="auto"/>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 xml:space="preserve">IG Analyst (2025). </w:t>
      </w:r>
      <w:r w:rsidRPr="00946425">
        <w:rPr>
          <w:rFonts w:ascii="Times New Roman" w:hAnsi="Times New Roman" w:cs="Times New Roman"/>
          <w:i/>
          <w:iCs/>
          <w:sz w:val="24"/>
          <w:szCs w:val="24"/>
          <w:lang w:val="en-US"/>
        </w:rPr>
        <w:t>BYD’s 2024 financial results show strong growth despite market challenges</w:t>
      </w:r>
      <w:r w:rsidRPr="00946425">
        <w:rPr>
          <w:rFonts w:ascii="Times New Roman" w:hAnsi="Times New Roman" w:cs="Times New Roman"/>
          <w:sz w:val="24"/>
          <w:szCs w:val="24"/>
          <w:lang w:val="en-US"/>
        </w:rPr>
        <w:t>. [online] IG. Available at: https://www.ig.com/en/news-and-trade-ideas/byd_2024_earnings-250326.</w:t>
      </w:r>
    </w:p>
    <w:p w14:paraId="513D9992" w14:textId="77777777" w:rsidR="00946425" w:rsidRPr="00946425" w:rsidRDefault="00946425" w:rsidP="00946425">
      <w:pPr>
        <w:spacing w:line="360" w:lineRule="auto"/>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 xml:space="preserve">Liang, H. (2024). Financial Early Warning Analysis of BYD. </w:t>
      </w:r>
      <w:r w:rsidRPr="00946425">
        <w:rPr>
          <w:rFonts w:ascii="Times New Roman" w:hAnsi="Times New Roman" w:cs="Times New Roman"/>
          <w:i/>
          <w:iCs/>
          <w:sz w:val="24"/>
          <w:szCs w:val="24"/>
          <w:lang w:val="en-US"/>
        </w:rPr>
        <w:t>Accounting and Corporate Management</w:t>
      </w:r>
      <w:r w:rsidRPr="00946425">
        <w:rPr>
          <w:rFonts w:ascii="Times New Roman" w:hAnsi="Times New Roman" w:cs="Times New Roman"/>
          <w:sz w:val="24"/>
          <w:szCs w:val="24"/>
          <w:lang w:val="en-US"/>
        </w:rPr>
        <w:t xml:space="preserve">, 6(5). </w:t>
      </w:r>
      <w:proofErr w:type="spellStart"/>
      <w:r w:rsidRPr="00946425">
        <w:rPr>
          <w:rFonts w:ascii="Times New Roman" w:hAnsi="Times New Roman" w:cs="Times New Roman"/>
          <w:sz w:val="24"/>
          <w:szCs w:val="24"/>
          <w:lang w:val="en-US"/>
        </w:rPr>
        <w:t>doi:https</w:t>
      </w:r>
      <w:proofErr w:type="spellEnd"/>
      <w:r w:rsidRPr="00946425">
        <w:rPr>
          <w:rFonts w:ascii="Times New Roman" w:hAnsi="Times New Roman" w:cs="Times New Roman"/>
          <w:sz w:val="24"/>
          <w:szCs w:val="24"/>
          <w:lang w:val="en-US"/>
        </w:rPr>
        <w:t>://doi.org/10.23977/acccm.2024.060501.</w:t>
      </w:r>
    </w:p>
    <w:p w14:paraId="43396588" w14:textId="77777777" w:rsidR="00946425" w:rsidRPr="00946425" w:rsidRDefault="00946425" w:rsidP="00946425">
      <w:pPr>
        <w:spacing w:line="360" w:lineRule="auto"/>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 xml:space="preserve">Lin, S. (2023). Financial Report Analysis of BYD Corporation. </w:t>
      </w:r>
      <w:r w:rsidRPr="00946425">
        <w:rPr>
          <w:rFonts w:ascii="Times New Roman" w:hAnsi="Times New Roman" w:cs="Times New Roman"/>
          <w:i/>
          <w:iCs/>
          <w:sz w:val="24"/>
          <w:szCs w:val="24"/>
          <w:lang w:val="en-US"/>
        </w:rPr>
        <w:t>Frontiers in Business, Economics and Management</w:t>
      </w:r>
      <w:r w:rsidRPr="00946425">
        <w:rPr>
          <w:rFonts w:ascii="Times New Roman" w:hAnsi="Times New Roman" w:cs="Times New Roman"/>
          <w:sz w:val="24"/>
          <w:szCs w:val="24"/>
          <w:lang w:val="en-US"/>
        </w:rPr>
        <w:t xml:space="preserve">, 9(2), pp.148–152. </w:t>
      </w:r>
      <w:proofErr w:type="spellStart"/>
      <w:r w:rsidRPr="00946425">
        <w:rPr>
          <w:rFonts w:ascii="Times New Roman" w:hAnsi="Times New Roman" w:cs="Times New Roman"/>
          <w:sz w:val="24"/>
          <w:szCs w:val="24"/>
          <w:lang w:val="en-US"/>
        </w:rPr>
        <w:t>doi:https</w:t>
      </w:r>
      <w:proofErr w:type="spellEnd"/>
      <w:r w:rsidRPr="00946425">
        <w:rPr>
          <w:rFonts w:ascii="Times New Roman" w:hAnsi="Times New Roman" w:cs="Times New Roman"/>
          <w:sz w:val="24"/>
          <w:szCs w:val="24"/>
          <w:lang w:val="en-US"/>
        </w:rPr>
        <w:t>://doi.org/10.54097/fbem.v9i2.9187.</w:t>
      </w:r>
    </w:p>
    <w:p w14:paraId="0BF8F70A" w14:textId="77777777" w:rsidR="00946425" w:rsidRPr="00946425" w:rsidRDefault="00946425" w:rsidP="00946425">
      <w:pPr>
        <w:spacing w:line="360" w:lineRule="auto"/>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 xml:space="preserve">Reuters (2025). </w:t>
      </w:r>
      <w:r w:rsidRPr="00946425">
        <w:rPr>
          <w:rFonts w:ascii="Times New Roman" w:hAnsi="Times New Roman" w:cs="Times New Roman"/>
          <w:i/>
          <w:iCs/>
          <w:sz w:val="24"/>
          <w:szCs w:val="24"/>
          <w:lang w:val="en-US"/>
        </w:rPr>
        <w:t>BYD aims to double overseas sales to 800,000 in 2025, chairman tells analysts</w:t>
      </w:r>
      <w:r w:rsidRPr="00946425">
        <w:rPr>
          <w:rFonts w:ascii="Times New Roman" w:hAnsi="Times New Roman" w:cs="Times New Roman"/>
          <w:sz w:val="24"/>
          <w:szCs w:val="24"/>
          <w:lang w:val="en-US"/>
        </w:rPr>
        <w:t>. [online] Reuters. Available at: https://www.reuters.com/business/autos-transportation/byd-aims-double-overseas-sales-800000-2025-chairman-tells-analysts-2025-03-26/.</w:t>
      </w:r>
    </w:p>
    <w:p w14:paraId="6929EBEF" w14:textId="77777777" w:rsidR="00946425" w:rsidRPr="00946425" w:rsidRDefault="00946425" w:rsidP="00946425">
      <w:pPr>
        <w:spacing w:line="360" w:lineRule="auto"/>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 xml:space="preserve">Rickman, J. (2023). </w:t>
      </w:r>
      <w:r w:rsidRPr="00946425">
        <w:rPr>
          <w:rFonts w:ascii="Times New Roman" w:hAnsi="Times New Roman" w:cs="Times New Roman"/>
          <w:i/>
          <w:iCs/>
          <w:sz w:val="24"/>
          <w:szCs w:val="24"/>
          <w:lang w:val="en-US"/>
        </w:rPr>
        <w:t>Short-Term vs Long-Term Financing</w:t>
      </w:r>
      <w:r w:rsidRPr="00946425">
        <w:rPr>
          <w:rFonts w:ascii="Times New Roman" w:hAnsi="Times New Roman" w:cs="Times New Roman"/>
          <w:sz w:val="24"/>
          <w:szCs w:val="24"/>
          <w:lang w:val="en-US"/>
        </w:rPr>
        <w:t>. [online] legalvision.co.uk. Available at: https://legalvision.co.uk/corporations/term-financing/.</w:t>
      </w:r>
    </w:p>
    <w:p w14:paraId="084D1D99" w14:textId="77777777" w:rsidR="00946425" w:rsidRPr="00946425" w:rsidRDefault="00946425" w:rsidP="00946425">
      <w:pPr>
        <w:spacing w:line="360" w:lineRule="auto"/>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 xml:space="preserve">Sinha, S. (2025). </w:t>
      </w:r>
      <w:r w:rsidRPr="00946425">
        <w:rPr>
          <w:rFonts w:ascii="Times New Roman" w:hAnsi="Times New Roman" w:cs="Times New Roman"/>
          <w:i/>
          <w:iCs/>
          <w:sz w:val="24"/>
          <w:szCs w:val="24"/>
          <w:lang w:val="en-US"/>
        </w:rPr>
        <w:t>BYD releases 2024 ESG report</w:t>
      </w:r>
      <w:r w:rsidRPr="00946425">
        <w:rPr>
          <w:rFonts w:ascii="Times New Roman" w:hAnsi="Times New Roman" w:cs="Times New Roman"/>
          <w:sz w:val="24"/>
          <w:szCs w:val="24"/>
          <w:lang w:val="en-US"/>
        </w:rPr>
        <w:t>. [online] Telematicswire.net. Available at: https://telematicswire.net/byd-releases-2024-esg-report/.</w:t>
      </w:r>
    </w:p>
    <w:p w14:paraId="11752E08" w14:textId="77777777" w:rsidR="00946425" w:rsidRPr="00946425" w:rsidRDefault="00946425" w:rsidP="00946425">
      <w:pPr>
        <w:spacing w:line="360" w:lineRule="auto"/>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 xml:space="preserve">Twelve Data. (2025). </w:t>
      </w:r>
      <w:r w:rsidRPr="00946425">
        <w:rPr>
          <w:rFonts w:ascii="Times New Roman" w:hAnsi="Times New Roman" w:cs="Times New Roman"/>
          <w:i/>
          <w:iCs/>
          <w:sz w:val="24"/>
          <w:szCs w:val="24"/>
          <w:lang w:val="en-US"/>
        </w:rPr>
        <w:t>BYD Company Limited (002594) - Financials, balance sheet (annual)</w:t>
      </w:r>
      <w:r w:rsidRPr="00946425">
        <w:rPr>
          <w:rFonts w:ascii="Times New Roman" w:hAnsi="Times New Roman" w:cs="Times New Roman"/>
          <w:sz w:val="24"/>
          <w:szCs w:val="24"/>
          <w:lang w:val="en-US"/>
        </w:rPr>
        <w:t xml:space="preserve">. [online] Available at: </w:t>
      </w:r>
      <w:r w:rsidRPr="00946425">
        <w:rPr>
          <w:rFonts w:ascii="Times New Roman" w:hAnsi="Times New Roman" w:cs="Times New Roman"/>
          <w:sz w:val="24"/>
          <w:szCs w:val="24"/>
          <w:lang w:val="en-US"/>
        </w:rPr>
        <w:lastRenderedPageBreak/>
        <w:t>https://twelvedata.com/markets/419587/stock/szse/002594/financials/balance-sheet?period=annual [Accessed 23 Apr. 2026].</w:t>
      </w:r>
    </w:p>
    <w:p w14:paraId="5773AC44" w14:textId="77777777" w:rsidR="00946425" w:rsidRPr="00946425" w:rsidRDefault="00946425" w:rsidP="00946425">
      <w:pPr>
        <w:spacing w:line="360" w:lineRule="auto"/>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 xml:space="preserve">Yang, G. (2024). A Financial Analysis and Valuation of Electric Vehicle Companies. </w:t>
      </w:r>
      <w:r w:rsidRPr="00946425">
        <w:rPr>
          <w:rFonts w:ascii="Times New Roman" w:hAnsi="Times New Roman" w:cs="Times New Roman"/>
          <w:i/>
          <w:iCs/>
          <w:sz w:val="24"/>
          <w:szCs w:val="24"/>
          <w:lang w:val="en-US"/>
        </w:rPr>
        <w:t>Advances in Economics Management and Political Sciences</w:t>
      </w:r>
      <w:r w:rsidRPr="00946425">
        <w:rPr>
          <w:rFonts w:ascii="Times New Roman" w:hAnsi="Times New Roman" w:cs="Times New Roman"/>
          <w:sz w:val="24"/>
          <w:szCs w:val="24"/>
          <w:lang w:val="en-US"/>
        </w:rPr>
        <w:t xml:space="preserve">, 102(1), pp.232–237. </w:t>
      </w:r>
      <w:proofErr w:type="spellStart"/>
      <w:r w:rsidRPr="00946425">
        <w:rPr>
          <w:rFonts w:ascii="Times New Roman" w:hAnsi="Times New Roman" w:cs="Times New Roman"/>
          <w:sz w:val="24"/>
          <w:szCs w:val="24"/>
          <w:lang w:val="en-US"/>
        </w:rPr>
        <w:t>doi:https</w:t>
      </w:r>
      <w:proofErr w:type="spellEnd"/>
      <w:r w:rsidRPr="00946425">
        <w:rPr>
          <w:rFonts w:ascii="Times New Roman" w:hAnsi="Times New Roman" w:cs="Times New Roman"/>
          <w:sz w:val="24"/>
          <w:szCs w:val="24"/>
          <w:lang w:val="en-US"/>
        </w:rPr>
        <w:t>://doi.org/10.54254/2754-1169/102/2024ed0089.</w:t>
      </w:r>
    </w:p>
    <w:p w14:paraId="0BA491DC" w14:textId="77777777" w:rsidR="00946425" w:rsidRPr="00946425" w:rsidRDefault="00946425" w:rsidP="00946425">
      <w:pPr>
        <w:spacing w:line="360" w:lineRule="auto"/>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 xml:space="preserve">Zeng, J. (2024). Financial Statement Analysis of BYD Company Limited. </w:t>
      </w:r>
      <w:r w:rsidRPr="00946425">
        <w:rPr>
          <w:rFonts w:ascii="Times New Roman" w:hAnsi="Times New Roman" w:cs="Times New Roman"/>
          <w:i/>
          <w:iCs/>
          <w:sz w:val="24"/>
          <w:szCs w:val="24"/>
          <w:lang w:val="en-US"/>
        </w:rPr>
        <w:t>Journal of Applied Economics and Policy Studies</w:t>
      </w:r>
      <w:r w:rsidRPr="00946425">
        <w:rPr>
          <w:rFonts w:ascii="Times New Roman" w:hAnsi="Times New Roman" w:cs="Times New Roman"/>
          <w:sz w:val="24"/>
          <w:szCs w:val="24"/>
          <w:lang w:val="en-US"/>
        </w:rPr>
        <w:t xml:space="preserve">, 12(1), pp.53–68. </w:t>
      </w:r>
      <w:proofErr w:type="spellStart"/>
      <w:r w:rsidRPr="00946425">
        <w:rPr>
          <w:rFonts w:ascii="Times New Roman" w:hAnsi="Times New Roman" w:cs="Times New Roman"/>
          <w:sz w:val="24"/>
          <w:szCs w:val="24"/>
          <w:lang w:val="en-US"/>
        </w:rPr>
        <w:t>doi:https</w:t>
      </w:r>
      <w:proofErr w:type="spellEnd"/>
      <w:r w:rsidRPr="00946425">
        <w:rPr>
          <w:rFonts w:ascii="Times New Roman" w:hAnsi="Times New Roman" w:cs="Times New Roman"/>
          <w:sz w:val="24"/>
          <w:szCs w:val="24"/>
          <w:lang w:val="en-US"/>
        </w:rPr>
        <w:t>://doi.org/10.54254/2977-5701/12/2024117.</w:t>
      </w:r>
    </w:p>
    <w:p w14:paraId="437C60A4" w14:textId="77777777" w:rsidR="00946425" w:rsidRPr="00946425" w:rsidRDefault="00946425" w:rsidP="00946425">
      <w:pPr>
        <w:spacing w:line="360" w:lineRule="auto"/>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 xml:space="preserve">Zhang, T. (2024a). BYD’s Strategic Planning Study for the Future New Energy Vehicle Market. </w:t>
      </w:r>
      <w:r w:rsidRPr="00946425">
        <w:rPr>
          <w:rFonts w:ascii="Times New Roman" w:hAnsi="Times New Roman" w:cs="Times New Roman"/>
          <w:i/>
          <w:iCs/>
          <w:sz w:val="24"/>
          <w:szCs w:val="24"/>
          <w:lang w:val="en-US"/>
        </w:rPr>
        <w:t>Advances in Economics Management and Political Sciences</w:t>
      </w:r>
      <w:r w:rsidRPr="00946425">
        <w:rPr>
          <w:rFonts w:ascii="Times New Roman" w:hAnsi="Times New Roman" w:cs="Times New Roman"/>
          <w:sz w:val="24"/>
          <w:szCs w:val="24"/>
          <w:lang w:val="en-US"/>
        </w:rPr>
        <w:t xml:space="preserve">, 102(1), pp.21–27. </w:t>
      </w:r>
      <w:proofErr w:type="spellStart"/>
      <w:r w:rsidRPr="00946425">
        <w:rPr>
          <w:rFonts w:ascii="Times New Roman" w:hAnsi="Times New Roman" w:cs="Times New Roman"/>
          <w:sz w:val="24"/>
          <w:szCs w:val="24"/>
          <w:lang w:val="en-US"/>
        </w:rPr>
        <w:t>doi:https</w:t>
      </w:r>
      <w:proofErr w:type="spellEnd"/>
      <w:r w:rsidRPr="00946425">
        <w:rPr>
          <w:rFonts w:ascii="Times New Roman" w:hAnsi="Times New Roman" w:cs="Times New Roman"/>
          <w:sz w:val="24"/>
          <w:szCs w:val="24"/>
          <w:lang w:val="en-US"/>
        </w:rPr>
        <w:t>://doi.org/10.54254/2754-1169/102/2024ed0090.</w:t>
      </w:r>
    </w:p>
    <w:p w14:paraId="15944481" w14:textId="77777777" w:rsidR="00946425" w:rsidRPr="00946425" w:rsidRDefault="00946425" w:rsidP="00946425">
      <w:pPr>
        <w:spacing w:line="360" w:lineRule="auto"/>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 xml:space="preserve">Zhang, Y. (2024b). Research on the investment value of BYD based on SWOT, financial and valuation methods. </w:t>
      </w:r>
      <w:r w:rsidRPr="00946425">
        <w:rPr>
          <w:rFonts w:ascii="Times New Roman" w:hAnsi="Times New Roman" w:cs="Times New Roman"/>
          <w:i/>
          <w:iCs/>
          <w:sz w:val="24"/>
          <w:szCs w:val="24"/>
          <w:lang w:val="en-US"/>
        </w:rPr>
        <w:t>Highlights in Business, Economics and Management</w:t>
      </w:r>
      <w:r w:rsidRPr="00946425">
        <w:rPr>
          <w:rFonts w:ascii="Times New Roman" w:hAnsi="Times New Roman" w:cs="Times New Roman"/>
          <w:sz w:val="24"/>
          <w:szCs w:val="24"/>
          <w:lang w:val="en-US"/>
        </w:rPr>
        <w:t xml:space="preserve">, [online] 40, pp.980–988. </w:t>
      </w:r>
      <w:proofErr w:type="spellStart"/>
      <w:r w:rsidRPr="00946425">
        <w:rPr>
          <w:rFonts w:ascii="Times New Roman" w:hAnsi="Times New Roman" w:cs="Times New Roman"/>
          <w:sz w:val="24"/>
          <w:szCs w:val="24"/>
          <w:lang w:val="en-US"/>
        </w:rPr>
        <w:t>doi:https</w:t>
      </w:r>
      <w:proofErr w:type="spellEnd"/>
      <w:r w:rsidRPr="00946425">
        <w:rPr>
          <w:rFonts w:ascii="Times New Roman" w:hAnsi="Times New Roman" w:cs="Times New Roman"/>
          <w:sz w:val="24"/>
          <w:szCs w:val="24"/>
          <w:lang w:val="en-US"/>
        </w:rPr>
        <w:t>://doi.org/10.54097/78jw8s51.</w:t>
      </w:r>
    </w:p>
    <w:p w14:paraId="7414C2EE" w14:textId="77777777" w:rsidR="00946425" w:rsidRPr="00946425" w:rsidRDefault="00946425" w:rsidP="00946425">
      <w:pPr>
        <w:spacing w:line="360" w:lineRule="auto"/>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 xml:space="preserve">Zhao, R. (2024). A Financial Analysis and Valuation of BYD. </w:t>
      </w:r>
      <w:r w:rsidRPr="00946425">
        <w:rPr>
          <w:rFonts w:ascii="Times New Roman" w:hAnsi="Times New Roman" w:cs="Times New Roman"/>
          <w:i/>
          <w:iCs/>
          <w:sz w:val="24"/>
          <w:szCs w:val="24"/>
          <w:lang w:val="en-US"/>
        </w:rPr>
        <w:t>Advances in Economics Management and Political Sciences</w:t>
      </w:r>
      <w:r w:rsidRPr="00946425">
        <w:rPr>
          <w:rFonts w:ascii="Times New Roman" w:hAnsi="Times New Roman" w:cs="Times New Roman"/>
          <w:sz w:val="24"/>
          <w:szCs w:val="24"/>
          <w:lang w:val="en-US"/>
        </w:rPr>
        <w:t xml:space="preserve">, [online] 102(1), pp.205–212. </w:t>
      </w:r>
      <w:proofErr w:type="spellStart"/>
      <w:r w:rsidRPr="00946425">
        <w:rPr>
          <w:rFonts w:ascii="Times New Roman" w:hAnsi="Times New Roman" w:cs="Times New Roman"/>
          <w:sz w:val="24"/>
          <w:szCs w:val="24"/>
          <w:lang w:val="en-US"/>
        </w:rPr>
        <w:t>doi:https</w:t>
      </w:r>
      <w:proofErr w:type="spellEnd"/>
      <w:r w:rsidRPr="00946425">
        <w:rPr>
          <w:rFonts w:ascii="Times New Roman" w:hAnsi="Times New Roman" w:cs="Times New Roman"/>
          <w:sz w:val="24"/>
          <w:szCs w:val="24"/>
          <w:lang w:val="en-US"/>
        </w:rPr>
        <w:t>://doi.org/10.54254/2754-1169/102/2024ed0091.</w:t>
      </w:r>
    </w:p>
    <w:p w14:paraId="5B871BE5" w14:textId="77777777" w:rsidR="00946425" w:rsidRPr="00946425" w:rsidRDefault="00946425" w:rsidP="00946425">
      <w:pPr>
        <w:spacing w:line="360" w:lineRule="auto"/>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 xml:space="preserve">Zhuo, T. (2024). Analysis of the Debt-paying Ability of Listed Companies: A Case Study Using BYD Company as a Sample. </w:t>
      </w:r>
      <w:r w:rsidRPr="00946425">
        <w:rPr>
          <w:rFonts w:ascii="Times New Roman" w:hAnsi="Times New Roman" w:cs="Times New Roman"/>
          <w:i/>
          <w:iCs/>
          <w:sz w:val="24"/>
          <w:szCs w:val="24"/>
          <w:lang w:val="en-US"/>
        </w:rPr>
        <w:t>SHS Web of Conferences</w:t>
      </w:r>
      <w:r w:rsidRPr="00946425">
        <w:rPr>
          <w:rFonts w:ascii="Times New Roman" w:hAnsi="Times New Roman" w:cs="Times New Roman"/>
          <w:sz w:val="24"/>
          <w:szCs w:val="24"/>
          <w:lang w:val="en-US"/>
        </w:rPr>
        <w:t xml:space="preserve">, 200, p.01023. </w:t>
      </w:r>
      <w:proofErr w:type="spellStart"/>
      <w:r w:rsidRPr="00946425">
        <w:rPr>
          <w:rFonts w:ascii="Times New Roman" w:hAnsi="Times New Roman" w:cs="Times New Roman"/>
          <w:sz w:val="24"/>
          <w:szCs w:val="24"/>
          <w:lang w:val="en-US"/>
        </w:rPr>
        <w:t>doi:https</w:t>
      </w:r>
      <w:proofErr w:type="spellEnd"/>
      <w:r w:rsidRPr="00946425">
        <w:rPr>
          <w:rFonts w:ascii="Times New Roman" w:hAnsi="Times New Roman" w:cs="Times New Roman"/>
          <w:sz w:val="24"/>
          <w:szCs w:val="24"/>
          <w:lang w:val="en-US"/>
        </w:rPr>
        <w:t>://doi.org/10.1051/</w:t>
      </w:r>
      <w:proofErr w:type="spellStart"/>
      <w:r w:rsidRPr="00946425">
        <w:rPr>
          <w:rFonts w:ascii="Times New Roman" w:hAnsi="Times New Roman" w:cs="Times New Roman"/>
          <w:sz w:val="24"/>
          <w:szCs w:val="24"/>
          <w:lang w:val="en-US"/>
        </w:rPr>
        <w:t>shsconf</w:t>
      </w:r>
      <w:proofErr w:type="spellEnd"/>
      <w:r w:rsidRPr="00946425">
        <w:rPr>
          <w:rFonts w:ascii="Times New Roman" w:hAnsi="Times New Roman" w:cs="Times New Roman"/>
          <w:sz w:val="24"/>
          <w:szCs w:val="24"/>
          <w:lang w:val="en-US"/>
        </w:rPr>
        <w:t>/202420001023.</w:t>
      </w:r>
    </w:p>
    <w:p w14:paraId="6240D25C" w14:textId="1907A71C" w:rsidR="007D6B88" w:rsidRPr="00946425" w:rsidRDefault="007D6B88" w:rsidP="00946425">
      <w:pPr>
        <w:jc w:val="both"/>
        <w:rPr>
          <w:rFonts w:ascii="Times New Roman" w:hAnsi="Times New Roman" w:cs="Times New Roman"/>
          <w:sz w:val="24"/>
          <w:szCs w:val="24"/>
        </w:rPr>
      </w:pPr>
      <w:r w:rsidRPr="00946425">
        <w:rPr>
          <w:rFonts w:ascii="Times New Roman" w:hAnsi="Times New Roman" w:cs="Times New Roman"/>
          <w:sz w:val="24"/>
          <w:szCs w:val="24"/>
        </w:rPr>
        <w:br w:type="page"/>
      </w:r>
    </w:p>
    <w:p w14:paraId="55A2ABB2" w14:textId="20F876D9" w:rsidR="007968D2" w:rsidRPr="00946425" w:rsidRDefault="007D6B88" w:rsidP="00946425">
      <w:pPr>
        <w:pStyle w:val="Heading1"/>
        <w:jc w:val="both"/>
        <w:rPr>
          <w:rFonts w:ascii="Times New Roman" w:hAnsi="Times New Roman" w:cs="Times New Roman"/>
          <w:b/>
          <w:bCs/>
          <w:color w:val="auto"/>
          <w:sz w:val="24"/>
          <w:szCs w:val="24"/>
        </w:rPr>
      </w:pPr>
      <w:bookmarkStart w:id="38" w:name="_Toc227884475"/>
      <w:r w:rsidRPr="00946425">
        <w:rPr>
          <w:rFonts w:ascii="Times New Roman" w:hAnsi="Times New Roman" w:cs="Times New Roman"/>
          <w:b/>
          <w:bCs/>
          <w:color w:val="auto"/>
          <w:sz w:val="24"/>
          <w:szCs w:val="24"/>
        </w:rPr>
        <w:lastRenderedPageBreak/>
        <w:t>Appendices</w:t>
      </w:r>
      <w:bookmarkEnd w:id="38"/>
    </w:p>
    <w:p w14:paraId="19D39C5F" w14:textId="77777777" w:rsidR="007D6B88" w:rsidRPr="00946425" w:rsidRDefault="007D6B88" w:rsidP="00946425">
      <w:pPr>
        <w:pStyle w:val="Heading2"/>
        <w:jc w:val="both"/>
        <w:rPr>
          <w:rFonts w:ascii="Times New Roman" w:hAnsi="Times New Roman" w:cs="Times New Roman"/>
          <w:b/>
          <w:bCs/>
          <w:color w:val="auto"/>
          <w:sz w:val="24"/>
          <w:szCs w:val="24"/>
          <w:lang w:val="en-US"/>
        </w:rPr>
      </w:pPr>
      <w:bookmarkStart w:id="39" w:name="_Toc227884476"/>
      <w:r w:rsidRPr="00946425">
        <w:rPr>
          <w:rFonts w:ascii="Times New Roman" w:hAnsi="Times New Roman" w:cs="Times New Roman"/>
          <w:b/>
          <w:bCs/>
          <w:color w:val="auto"/>
          <w:sz w:val="24"/>
          <w:szCs w:val="24"/>
          <w:lang w:val="en-US"/>
        </w:rPr>
        <w:t>Appendix A: Five-Year Financial Statements</w:t>
      </w:r>
      <w:bookmarkEnd w:id="39"/>
    </w:p>
    <w:p w14:paraId="551125CF" w14:textId="77777777" w:rsidR="0001294A" w:rsidRPr="00946425" w:rsidRDefault="0001294A" w:rsidP="00946425">
      <w:pPr>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This appendix presents the key financial statement data of BYD over the 5-year period between 2020 and 2024, based on the information provided in the annual report, and the official company disclosures. This appendix is included to supplement the ratio analysis and the discussion of the trend as it is provided in the main body of the report. The figures are in RMB million unless otherwise mentioned.</w:t>
      </w:r>
    </w:p>
    <w:p w14:paraId="5C36A302" w14:textId="40CB5F3B" w:rsidR="007D6B88" w:rsidRPr="007D6B88" w:rsidRDefault="007D6B88" w:rsidP="00946425">
      <w:pPr>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Appendix A1. Income Statement Extract</w:t>
      </w:r>
    </w:p>
    <w:tbl>
      <w:tblPr>
        <w:tblStyle w:val="TableGrid"/>
        <w:tblW w:w="9390" w:type="dxa"/>
        <w:tblLook w:val="04A0" w:firstRow="1" w:lastRow="0" w:firstColumn="1" w:lastColumn="0" w:noHBand="0" w:noVBand="1"/>
      </w:tblPr>
      <w:tblGrid>
        <w:gridCol w:w="3835"/>
        <w:gridCol w:w="1111"/>
        <w:gridCol w:w="1111"/>
        <w:gridCol w:w="1111"/>
        <w:gridCol w:w="1111"/>
        <w:gridCol w:w="1111"/>
      </w:tblGrid>
      <w:tr w:rsidR="00946425" w:rsidRPr="007D6B88" w14:paraId="5A6C04AC" w14:textId="77777777" w:rsidTr="007D6B88">
        <w:trPr>
          <w:trHeight w:val="463"/>
        </w:trPr>
        <w:tc>
          <w:tcPr>
            <w:tcW w:w="0" w:type="auto"/>
            <w:hideMark/>
          </w:tcPr>
          <w:p w14:paraId="37186210"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Item (RMB million)</w:t>
            </w:r>
          </w:p>
        </w:tc>
        <w:tc>
          <w:tcPr>
            <w:tcW w:w="0" w:type="auto"/>
            <w:hideMark/>
          </w:tcPr>
          <w:p w14:paraId="3D76CD97"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2020</w:t>
            </w:r>
          </w:p>
        </w:tc>
        <w:tc>
          <w:tcPr>
            <w:tcW w:w="0" w:type="auto"/>
            <w:hideMark/>
          </w:tcPr>
          <w:p w14:paraId="11B9E22A"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2021</w:t>
            </w:r>
          </w:p>
        </w:tc>
        <w:tc>
          <w:tcPr>
            <w:tcW w:w="0" w:type="auto"/>
            <w:hideMark/>
          </w:tcPr>
          <w:p w14:paraId="2326239A"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2022</w:t>
            </w:r>
          </w:p>
        </w:tc>
        <w:tc>
          <w:tcPr>
            <w:tcW w:w="0" w:type="auto"/>
            <w:hideMark/>
          </w:tcPr>
          <w:p w14:paraId="09308338"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2023</w:t>
            </w:r>
          </w:p>
        </w:tc>
        <w:tc>
          <w:tcPr>
            <w:tcW w:w="0" w:type="auto"/>
            <w:hideMark/>
          </w:tcPr>
          <w:p w14:paraId="2526BEA2"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2024</w:t>
            </w:r>
          </w:p>
        </w:tc>
      </w:tr>
      <w:tr w:rsidR="00946425" w:rsidRPr="007D6B88" w14:paraId="30A9BF2C" w14:textId="77777777" w:rsidTr="007D6B88">
        <w:trPr>
          <w:trHeight w:val="463"/>
        </w:trPr>
        <w:tc>
          <w:tcPr>
            <w:tcW w:w="0" w:type="auto"/>
            <w:hideMark/>
          </w:tcPr>
          <w:p w14:paraId="7CFC20AF"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Revenue</w:t>
            </w:r>
          </w:p>
        </w:tc>
        <w:tc>
          <w:tcPr>
            <w:tcW w:w="0" w:type="auto"/>
            <w:hideMark/>
          </w:tcPr>
          <w:p w14:paraId="6F7ED07C"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156,598</w:t>
            </w:r>
          </w:p>
        </w:tc>
        <w:tc>
          <w:tcPr>
            <w:tcW w:w="0" w:type="auto"/>
            <w:hideMark/>
          </w:tcPr>
          <w:p w14:paraId="6F110913"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216,142</w:t>
            </w:r>
          </w:p>
        </w:tc>
        <w:tc>
          <w:tcPr>
            <w:tcW w:w="0" w:type="auto"/>
            <w:hideMark/>
          </w:tcPr>
          <w:p w14:paraId="7B960A9F"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424,061</w:t>
            </w:r>
          </w:p>
        </w:tc>
        <w:tc>
          <w:tcPr>
            <w:tcW w:w="0" w:type="auto"/>
            <w:hideMark/>
          </w:tcPr>
          <w:p w14:paraId="4622652E"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602,315</w:t>
            </w:r>
          </w:p>
        </w:tc>
        <w:tc>
          <w:tcPr>
            <w:tcW w:w="0" w:type="auto"/>
            <w:hideMark/>
          </w:tcPr>
          <w:p w14:paraId="30907373"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777,102</w:t>
            </w:r>
          </w:p>
        </w:tc>
      </w:tr>
      <w:tr w:rsidR="00946425" w:rsidRPr="007D6B88" w14:paraId="24E39197" w14:textId="77777777" w:rsidTr="007D6B88">
        <w:trPr>
          <w:trHeight w:val="463"/>
        </w:trPr>
        <w:tc>
          <w:tcPr>
            <w:tcW w:w="0" w:type="auto"/>
            <w:hideMark/>
          </w:tcPr>
          <w:p w14:paraId="7B17BDE4"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Profit attributable to shareholders</w:t>
            </w:r>
          </w:p>
        </w:tc>
        <w:tc>
          <w:tcPr>
            <w:tcW w:w="0" w:type="auto"/>
            <w:hideMark/>
          </w:tcPr>
          <w:p w14:paraId="58DCDBE6"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4,234</w:t>
            </w:r>
          </w:p>
        </w:tc>
        <w:tc>
          <w:tcPr>
            <w:tcW w:w="0" w:type="auto"/>
            <w:hideMark/>
          </w:tcPr>
          <w:p w14:paraId="2BECDB00"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3,045</w:t>
            </w:r>
          </w:p>
        </w:tc>
        <w:tc>
          <w:tcPr>
            <w:tcW w:w="0" w:type="auto"/>
            <w:hideMark/>
          </w:tcPr>
          <w:p w14:paraId="389A5DAD"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16,622</w:t>
            </w:r>
          </w:p>
        </w:tc>
        <w:tc>
          <w:tcPr>
            <w:tcW w:w="0" w:type="auto"/>
            <w:hideMark/>
          </w:tcPr>
          <w:p w14:paraId="1508850D"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30,041</w:t>
            </w:r>
          </w:p>
        </w:tc>
        <w:tc>
          <w:tcPr>
            <w:tcW w:w="0" w:type="auto"/>
            <w:hideMark/>
          </w:tcPr>
          <w:p w14:paraId="02E4F6FA"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40,254</w:t>
            </w:r>
          </w:p>
        </w:tc>
      </w:tr>
      <w:tr w:rsidR="00946425" w:rsidRPr="007D6B88" w14:paraId="17E3CE63" w14:textId="77777777" w:rsidTr="007D6B88">
        <w:trPr>
          <w:trHeight w:val="463"/>
        </w:trPr>
        <w:tc>
          <w:tcPr>
            <w:tcW w:w="0" w:type="auto"/>
            <w:hideMark/>
          </w:tcPr>
          <w:p w14:paraId="49550D3F"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Gross profit margin (%)</w:t>
            </w:r>
          </w:p>
        </w:tc>
        <w:tc>
          <w:tcPr>
            <w:tcW w:w="0" w:type="auto"/>
            <w:hideMark/>
          </w:tcPr>
          <w:p w14:paraId="5EEA0DFD"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54279686"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12.0</w:t>
            </w:r>
          </w:p>
        </w:tc>
        <w:tc>
          <w:tcPr>
            <w:tcW w:w="0" w:type="auto"/>
            <w:hideMark/>
          </w:tcPr>
          <w:p w14:paraId="0DC676F0"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16.0</w:t>
            </w:r>
          </w:p>
        </w:tc>
        <w:tc>
          <w:tcPr>
            <w:tcW w:w="0" w:type="auto"/>
            <w:hideMark/>
          </w:tcPr>
          <w:p w14:paraId="11CD8A04"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19.0</w:t>
            </w:r>
          </w:p>
        </w:tc>
        <w:tc>
          <w:tcPr>
            <w:tcW w:w="0" w:type="auto"/>
            <w:hideMark/>
          </w:tcPr>
          <w:p w14:paraId="1534711B"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19.0</w:t>
            </w:r>
          </w:p>
        </w:tc>
      </w:tr>
      <w:tr w:rsidR="00946425" w:rsidRPr="007D6B88" w14:paraId="1527CA22" w14:textId="77777777" w:rsidTr="007D6B88">
        <w:trPr>
          <w:trHeight w:val="463"/>
        </w:trPr>
        <w:tc>
          <w:tcPr>
            <w:tcW w:w="0" w:type="auto"/>
            <w:hideMark/>
          </w:tcPr>
          <w:p w14:paraId="19715A93"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Net profit margin (%)</w:t>
            </w:r>
          </w:p>
        </w:tc>
        <w:tc>
          <w:tcPr>
            <w:tcW w:w="0" w:type="auto"/>
            <w:hideMark/>
          </w:tcPr>
          <w:p w14:paraId="2CAC6C21"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6DBD06B3"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1.4</w:t>
            </w:r>
          </w:p>
        </w:tc>
        <w:tc>
          <w:tcPr>
            <w:tcW w:w="0" w:type="auto"/>
            <w:hideMark/>
          </w:tcPr>
          <w:p w14:paraId="07B703A2"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3.9</w:t>
            </w:r>
          </w:p>
        </w:tc>
        <w:tc>
          <w:tcPr>
            <w:tcW w:w="0" w:type="auto"/>
            <w:hideMark/>
          </w:tcPr>
          <w:p w14:paraId="1313020C"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5.0</w:t>
            </w:r>
          </w:p>
        </w:tc>
        <w:tc>
          <w:tcPr>
            <w:tcW w:w="0" w:type="auto"/>
            <w:hideMark/>
          </w:tcPr>
          <w:p w14:paraId="5B422F92"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5.2</w:t>
            </w:r>
          </w:p>
        </w:tc>
      </w:tr>
      <w:tr w:rsidR="00946425" w:rsidRPr="007D6B88" w14:paraId="1D73239A" w14:textId="77777777" w:rsidTr="007D6B88">
        <w:trPr>
          <w:trHeight w:val="463"/>
        </w:trPr>
        <w:tc>
          <w:tcPr>
            <w:tcW w:w="0" w:type="auto"/>
            <w:hideMark/>
          </w:tcPr>
          <w:p w14:paraId="328248E1"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Earnings per share (RMB)</w:t>
            </w:r>
          </w:p>
        </w:tc>
        <w:tc>
          <w:tcPr>
            <w:tcW w:w="0" w:type="auto"/>
            <w:hideMark/>
          </w:tcPr>
          <w:p w14:paraId="4B32A100"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70575EDB"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62DED9F0"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1A5BB910"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4BD74B5E"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13.84</w:t>
            </w:r>
          </w:p>
        </w:tc>
      </w:tr>
    </w:tbl>
    <w:p w14:paraId="729313E1" w14:textId="77777777" w:rsidR="007D6B88" w:rsidRPr="00946425" w:rsidRDefault="007D6B88" w:rsidP="00946425">
      <w:pPr>
        <w:jc w:val="both"/>
        <w:rPr>
          <w:rFonts w:ascii="Times New Roman" w:hAnsi="Times New Roman" w:cs="Times New Roman"/>
          <w:sz w:val="24"/>
          <w:szCs w:val="24"/>
          <w:lang w:val="en-US"/>
        </w:rPr>
      </w:pPr>
    </w:p>
    <w:p w14:paraId="3A447578" w14:textId="77777777" w:rsidR="0001294A" w:rsidRPr="00946425" w:rsidRDefault="0001294A" w:rsidP="00946425">
      <w:pPr>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Revenue growth at BYD has nearly tripled in 2020-2024, demonstrating a quick scale growth in the new energy vehicle market. The value of the profits attributed to shareholders also increased significantly within the same period, which signifies the quality of earnings and commercial maturity. The margin performance of the company also continues to improve since 2021, and gross profit margin and margin of net profit were on a distinct upward trend.</w:t>
      </w:r>
    </w:p>
    <w:p w14:paraId="04E95B24" w14:textId="65A9B2FD" w:rsidR="007D6B88" w:rsidRPr="007D6B88" w:rsidRDefault="007D6B88" w:rsidP="00946425">
      <w:pPr>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Appendix A2. Statement of Financial Position Extract</w:t>
      </w:r>
    </w:p>
    <w:tbl>
      <w:tblPr>
        <w:tblStyle w:val="TableGrid"/>
        <w:tblW w:w="9389" w:type="dxa"/>
        <w:tblLook w:val="04A0" w:firstRow="1" w:lastRow="0" w:firstColumn="1" w:lastColumn="0" w:noHBand="0" w:noVBand="1"/>
      </w:tblPr>
      <w:tblGrid>
        <w:gridCol w:w="2928"/>
        <w:gridCol w:w="1293"/>
        <w:gridCol w:w="1292"/>
        <w:gridCol w:w="1292"/>
        <w:gridCol w:w="1292"/>
        <w:gridCol w:w="1292"/>
      </w:tblGrid>
      <w:tr w:rsidR="00946425" w:rsidRPr="007D6B88" w14:paraId="406015F3" w14:textId="77777777" w:rsidTr="007D6B88">
        <w:trPr>
          <w:trHeight w:val="464"/>
        </w:trPr>
        <w:tc>
          <w:tcPr>
            <w:tcW w:w="0" w:type="auto"/>
            <w:hideMark/>
          </w:tcPr>
          <w:p w14:paraId="075A2FBA"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Item (RMB million)</w:t>
            </w:r>
          </w:p>
        </w:tc>
        <w:tc>
          <w:tcPr>
            <w:tcW w:w="0" w:type="auto"/>
            <w:hideMark/>
          </w:tcPr>
          <w:p w14:paraId="29E5962A"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2020</w:t>
            </w:r>
          </w:p>
        </w:tc>
        <w:tc>
          <w:tcPr>
            <w:tcW w:w="0" w:type="auto"/>
            <w:hideMark/>
          </w:tcPr>
          <w:p w14:paraId="67BE8772"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2021</w:t>
            </w:r>
          </w:p>
        </w:tc>
        <w:tc>
          <w:tcPr>
            <w:tcW w:w="0" w:type="auto"/>
            <w:hideMark/>
          </w:tcPr>
          <w:p w14:paraId="135F177A"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2022</w:t>
            </w:r>
          </w:p>
        </w:tc>
        <w:tc>
          <w:tcPr>
            <w:tcW w:w="0" w:type="auto"/>
            <w:hideMark/>
          </w:tcPr>
          <w:p w14:paraId="42146ED9"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2023</w:t>
            </w:r>
          </w:p>
        </w:tc>
        <w:tc>
          <w:tcPr>
            <w:tcW w:w="0" w:type="auto"/>
            <w:hideMark/>
          </w:tcPr>
          <w:p w14:paraId="24ED5845"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2024</w:t>
            </w:r>
          </w:p>
        </w:tc>
      </w:tr>
      <w:tr w:rsidR="00946425" w:rsidRPr="007D6B88" w14:paraId="3F418B18" w14:textId="77777777" w:rsidTr="007D6B88">
        <w:trPr>
          <w:trHeight w:val="464"/>
        </w:trPr>
        <w:tc>
          <w:tcPr>
            <w:tcW w:w="0" w:type="auto"/>
            <w:hideMark/>
          </w:tcPr>
          <w:p w14:paraId="4136DEAC"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Total assets</w:t>
            </w:r>
          </w:p>
        </w:tc>
        <w:tc>
          <w:tcPr>
            <w:tcW w:w="0" w:type="auto"/>
            <w:hideMark/>
          </w:tcPr>
          <w:p w14:paraId="71094CB1"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201,017</w:t>
            </w:r>
          </w:p>
        </w:tc>
        <w:tc>
          <w:tcPr>
            <w:tcW w:w="0" w:type="auto"/>
            <w:hideMark/>
          </w:tcPr>
          <w:p w14:paraId="0CD004D6"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235633D3"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3D0EF454"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01C009B8"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783,393</w:t>
            </w:r>
          </w:p>
        </w:tc>
      </w:tr>
      <w:tr w:rsidR="00946425" w:rsidRPr="007D6B88" w14:paraId="6F088887" w14:textId="77777777" w:rsidTr="007D6B88">
        <w:trPr>
          <w:trHeight w:val="464"/>
        </w:trPr>
        <w:tc>
          <w:tcPr>
            <w:tcW w:w="0" w:type="auto"/>
            <w:hideMark/>
          </w:tcPr>
          <w:p w14:paraId="5081FADA"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Total liabilities</w:t>
            </w:r>
          </w:p>
        </w:tc>
        <w:tc>
          <w:tcPr>
            <w:tcW w:w="0" w:type="auto"/>
            <w:hideMark/>
          </w:tcPr>
          <w:p w14:paraId="25815397"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6D708BE3"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191,518</w:t>
            </w:r>
          </w:p>
        </w:tc>
        <w:tc>
          <w:tcPr>
            <w:tcW w:w="0" w:type="auto"/>
            <w:hideMark/>
          </w:tcPr>
          <w:p w14:paraId="11B380F9"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372,548</w:t>
            </w:r>
          </w:p>
        </w:tc>
        <w:tc>
          <w:tcPr>
            <w:tcW w:w="0" w:type="auto"/>
            <w:hideMark/>
          </w:tcPr>
          <w:p w14:paraId="2E678D86"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529,134</w:t>
            </w:r>
          </w:p>
        </w:tc>
        <w:tc>
          <w:tcPr>
            <w:tcW w:w="0" w:type="auto"/>
            <w:hideMark/>
          </w:tcPr>
          <w:p w14:paraId="55AD28F1"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584,700</w:t>
            </w:r>
          </w:p>
        </w:tc>
      </w:tr>
      <w:tr w:rsidR="00946425" w:rsidRPr="007D6B88" w14:paraId="106AE53B" w14:textId="77777777" w:rsidTr="007D6B88">
        <w:trPr>
          <w:trHeight w:val="464"/>
        </w:trPr>
        <w:tc>
          <w:tcPr>
            <w:tcW w:w="0" w:type="auto"/>
            <w:hideMark/>
          </w:tcPr>
          <w:p w14:paraId="356AA139"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Current liabilities</w:t>
            </w:r>
          </w:p>
        </w:tc>
        <w:tc>
          <w:tcPr>
            <w:tcW w:w="0" w:type="auto"/>
            <w:hideMark/>
          </w:tcPr>
          <w:p w14:paraId="56B7DD0D"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66A8114A"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171,304</w:t>
            </w:r>
          </w:p>
        </w:tc>
        <w:tc>
          <w:tcPr>
            <w:tcW w:w="0" w:type="auto"/>
            <w:hideMark/>
          </w:tcPr>
          <w:p w14:paraId="58AC2E5B"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333,345</w:t>
            </w:r>
          </w:p>
        </w:tc>
        <w:tc>
          <w:tcPr>
            <w:tcW w:w="0" w:type="auto"/>
            <w:hideMark/>
          </w:tcPr>
          <w:p w14:paraId="607B372B"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453,734</w:t>
            </w:r>
          </w:p>
        </w:tc>
        <w:tc>
          <w:tcPr>
            <w:tcW w:w="0" w:type="auto"/>
            <w:hideMark/>
          </w:tcPr>
          <w:p w14:paraId="72004BDA"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496,021</w:t>
            </w:r>
          </w:p>
        </w:tc>
      </w:tr>
      <w:tr w:rsidR="00946425" w:rsidRPr="007D6B88" w14:paraId="023C7521" w14:textId="77777777" w:rsidTr="007D6B88">
        <w:trPr>
          <w:trHeight w:val="464"/>
        </w:trPr>
        <w:tc>
          <w:tcPr>
            <w:tcW w:w="0" w:type="auto"/>
            <w:hideMark/>
          </w:tcPr>
          <w:p w14:paraId="6FE8C5CC"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Equity</w:t>
            </w:r>
          </w:p>
        </w:tc>
        <w:tc>
          <w:tcPr>
            <w:tcW w:w="0" w:type="auto"/>
            <w:hideMark/>
          </w:tcPr>
          <w:p w14:paraId="4FF91A3F"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64,457</w:t>
            </w:r>
          </w:p>
        </w:tc>
        <w:tc>
          <w:tcPr>
            <w:tcW w:w="0" w:type="auto"/>
            <w:hideMark/>
          </w:tcPr>
          <w:p w14:paraId="2270B589"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58F109A8"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320C5769"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1E8227C5"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198,693</w:t>
            </w:r>
          </w:p>
        </w:tc>
      </w:tr>
      <w:tr w:rsidR="00946425" w:rsidRPr="007D6B88" w14:paraId="1DA8E3D7" w14:textId="77777777" w:rsidTr="007D6B88">
        <w:trPr>
          <w:trHeight w:val="464"/>
        </w:trPr>
        <w:tc>
          <w:tcPr>
            <w:tcW w:w="0" w:type="auto"/>
            <w:hideMark/>
          </w:tcPr>
          <w:p w14:paraId="64662E2E"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Accounts payable</w:t>
            </w:r>
          </w:p>
        </w:tc>
        <w:tc>
          <w:tcPr>
            <w:tcW w:w="0" w:type="auto"/>
            <w:hideMark/>
          </w:tcPr>
          <w:p w14:paraId="3F068796"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788C4D0C"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80,519</w:t>
            </w:r>
          </w:p>
        </w:tc>
        <w:tc>
          <w:tcPr>
            <w:tcW w:w="0" w:type="auto"/>
            <w:hideMark/>
          </w:tcPr>
          <w:p w14:paraId="3974B11B"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143,766</w:t>
            </w:r>
          </w:p>
        </w:tc>
        <w:tc>
          <w:tcPr>
            <w:tcW w:w="0" w:type="auto"/>
            <w:hideMark/>
          </w:tcPr>
          <w:p w14:paraId="4CBB3A71"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198,483</w:t>
            </w:r>
          </w:p>
        </w:tc>
        <w:tc>
          <w:tcPr>
            <w:tcW w:w="0" w:type="auto"/>
            <w:hideMark/>
          </w:tcPr>
          <w:p w14:paraId="45BDCE87"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243,956</w:t>
            </w:r>
          </w:p>
        </w:tc>
      </w:tr>
      <w:tr w:rsidR="00946425" w:rsidRPr="007D6B88" w14:paraId="0672D8C0" w14:textId="77777777" w:rsidTr="007D6B88">
        <w:trPr>
          <w:trHeight w:val="464"/>
        </w:trPr>
        <w:tc>
          <w:tcPr>
            <w:tcW w:w="0" w:type="auto"/>
            <w:hideMark/>
          </w:tcPr>
          <w:p w14:paraId="73397DED"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Short-term debt</w:t>
            </w:r>
          </w:p>
        </w:tc>
        <w:tc>
          <w:tcPr>
            <w:tcW w:w="0" w:type="auto"/>
            <w:hideMark/>
          </w:tcPr>
          <w:p w14:paraId="7FA0F098"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5C3AEF07"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23,235</w:t>
            </w:r>
          </w:p>
        </w:tc>
        <w:tc>
          <w:tcPr>
            <w:tcW w:w="0" w:type="auto"/>
            <w:hideMark/>
          </w:tcPr>
          <w:p w14:paraId="5BF0CA77"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11,551</w:t>
            </w:r>
          </w:p>
        </w:tc>
        <w:tc>
          <w:tcPr>
            <w:tcW w:w="0" w:type="auto"/>
            <w:hideMark/>
          </w:tcPr>
          <w:p w14:paraId="3F9418CA"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26,136</w:t>
            </w:r>
          </w:p>
        </w:tc>
        <w:tc>
          <w:tcPr>
            <w:tcW w:w="0" w:type="auto"/>
            <w:hideMark/>
          </w:tcPr>
          <w:p w14:paraId="2F87C3E4"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22,335</w:t>
            </w:r>
          </w:p>
        </w:tc>
      </w:tr>
    </w:tbl>
    <w:p w14:paraId="1FA98E56" w14:textId="77777777" w:rsidR="007D6B88" w:rsidRPr="00946425" w:rsidRDefault="007D6B88" w:rsidP="00946425">
      <w:pPr>
        <w:jc w:val="both"/>
        <w:rPr>
          <w:rFonts w:ascii="Times New Roman" w:hAnsi="Times New Roman" w:cs="Times New Roman"/>
          <w:sz w:val="24"/>
          <w:szCs w:val="24"/>
          <w:lang w:val="en-US"/>
        </w:rPr>
      </w:pPr>
    </w:p>
    <w:p w14:paraId="7AAD8098" w14:textId="77777777" w:rsidR="0001294A" w:rsidRPr="00946425" w:rsidRDefault="0001294A" w:rsidP="00946425">
      <w:pPr>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 xml:space="preserve">The data in the balance sheet indicates that BYD increased its size of assets at a high rate over the five-year time period, which means that it invested in manufacturing capacity, technology, batteries </w:t>
      </w:r>
      <w:r w:rsidRPr="00946425">
        <w:rPr>
          <w:rFonts w:ascii="Times New Roman" w:hAnsi="Times New Roman" w:cs="Times New Roman"/>
          <w:sz w:val="24"/>
          <w:szCs w:val="24"/>
          <w:lang w:val="en-US"/>
        </w:rPr>
        <w:lastRenderedPageBreak/>
        <w:t>and international operation. Liabilities were also growing significantly and in particular current liabilities, and this may indeed be the reason why the company has had a relatively tight current ratio over the past few years. Equity, however, increased sharply over the years, which also implies that both internal value creation and financing activity boosted growth.</w:t>
      </w:r>
    </w:p>
    <w:p w14:paraId="210B2367" w14:textId="7314A93D" w:rsidR="007D6B88" w:rsidRPr="007D6B88" w:rsidRDefault="007D6B88" w:rsidP="00946425">
      <w:pPr>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Appendix A3. Cash Flow and Financial Stability Extract</w:t>
      </w:r>
    </w:p>
    <w:tbl>
      <w:tblPr>
        <w:tblStyle w:val="TableGrid"/>
        <w:tblW w:w="9389" w:type="dxa"/>
        <w:tblLook w:val="04A0" w:firstRow="1" w:lastRow="0" w:firstColumn="1" w:lastColumn="0" w:noHBand="0" w:noVBand="1"/>
      </w:tblPr>
      <w:tblGrid>
        <w:gridCol w:w="4701"/>
        <w:gridCol w:w="824"/>
        <w:gridCol w:w="824"/>
        <w:gridCol w:w="824"/>
        <w:gridCol w:w="1037"/>
        <w:gridCol w:w="1179"/>
      </w:tblGrid>
      <w:tr w:rsidR="00946425" w:rsidRPr="007D6B88" w14:paraId="4D33C924" w14:textId="77777777" w:rsidTr="007D6B88">
        <w:trPr>
          <w:trHeight w:val="424"/>
        </w:trPr>
        <w:tc>
          <w:tcPr>
            <w:tcW w:w="0" w:type="auto"/>
            <w:hideMark/>
          </w:tcPr>
          <w:p w14:paraId="4359E62F"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Item (RMB million)</w:t>
            </w:r>
          </w:p>
        </w:tc>
        <w:tc>
          <w:tcPr>
            <w:tcW w:w="0" w:type="auto"/>
            <w:hideMark/>
          </w:tcPr>
          <w:p w14:paraId="6AE062A7"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2020</w:t>
            </w:r>
          </w:p>
        </w:tc>
        <w:tc>
          <w:tcPr>
            <w:tcW w:w="0" w:type="auto"/>
            <w:hideMark/>
          </w:tcPr>
          <w:p w14:paraId="3D3588BE"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2021</w:t>
            </w:r>
          </w:p>
        </w:tc>
        <w:tc>
          <w:tcPr>
            <w:tcW w:w="0" w:type="auto"/>
            <w:hideMark/>
          </w:tcPr>
          <w:p w14:paraId="49CBC667"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2022</w:t>
            </w:r>
          </w:p>
        </w:tc>
        <w:tc>
          <w:tcPr>
            <w:tcW w:w="0" w:type="auto"/>
            <w:hideMark/>
          </w:tcPr>
          <w:p w14:paraId="29872E0B"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2023</w:t>
            </w:r>
          </w:p>
        </w:tc>
        <w:tc>
          <w:tcPr>
            <w:tcW w:w="0" w:type="auto"/>
            <w:hideMark/>
          </w:tcPr>
          <w:p w14:paraId="41FE208E"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2024</w:t>
            </w:r>
          </w:p>
        </w:tc>
      </w:tr>
      <w:tr w:rsidR="00946425" w:rsidRPr="007D6B88" w14:paraId="09FA91A2" w14:textId="77777777" w:rsidTr="007D6B88">
        <w:trPr>
          <w:trHeight w:val="424"/>
        </w:trPr>
        <w:tc>
          <w:tcPr>
            <w:tcW w:w="0" w:type="auto"/>
            <w:hideMark/>
          </w:tcPr>
          <w:p w14:paraId="56B856F3"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Net cash flow from operating activities</w:t>
            </w:r>
          </w:p>
        </w:tc>
        <w:tc>
          <w:tcPr>
            <w:tcW w:w="0" w:type="auto"/>
            <w:hideMark/>
          </w:tcPr>
          <w:p w14:paraId="78EC7F31"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23D86F9E"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413EBAC5"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1E8FDE27"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104A35B1"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133,454</w:t>
            </w:r>
          </w:p>
        </w:tc>
      </w:tr>
      <w:tr w:rsidR="00946425" w:rsidRPr="007D6B88" w14:paraId="381AAD38" w14:textId="77777777" w:rsidTr="007D6B88">
        <w:trPr>
          <w:trHeight w:val="424"/>
        </w:trPr>
        <w:tc>
          <w:tcPr>
            <w:tcW w:w="0" w:type="auto"/>
            <w:hideMark/>
          </w:tcPr>
          <w:p w14:paraId="6CB1AE85"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Cash reserves</w:t>
            </w:r>
          </w:p>
        </w:tc>
        <w:tc>
          <w:tcPr>
            <w:tcW w:w="0" w:type="auto"/>
            <w:hideMark/>
          </w:tcPr>
          <w:p w14:paraId="778106C5"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2BEDA77B"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573EF386"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25112D5A"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1F05AF16"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154,900</w:t>
            </w:r>
          </w:p>
        </w:tc>
      </w:tr>
      <w:tr w:rsidR="00946425" w:rsidRPr="007D6B88" w14:paraId="556F0D89" w14:textId="77777777" w:rsidTr="007D6B88">
        <w:trPr>
          <w:trHeight w:val="424"/>
        </w:trPr>
        <w:tc>
          <w:tcPr>
            <w:tcW w:w="0" w:type="auto"/>
            <w:hideMark/>
          </w:tcPr>
          <w:p w14:paraId="72740918"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Interest-bearing debt</w:t>
            </w:r>
          </w:p>
        </w:tc>
        <w:tc>
          <w:tcPr>
            <w:tcW w:w="0" w:type="auto"/>
            <w:hideMark/>
          </w:tcPr>
          <w:p w14:paraId="688DD00F"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2373B07C"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28464124"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2A3DCF7B"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36,550</w:t>
            </w:r>
          </w:p>
        </w:tc>
        <w:tc>
          <w:tcPr>
            <w:tcW w:w="0" w:type="auto"/>
            <w:hideMark/>
          </w:tcPr>
          <w:p w14:paraId="204D6D83"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28,580</w:t>
            </w:r>
          </w:p>
        </w:tc>
      </w:tr>
      <w:tr w:rsidR="00946425" w:rsidRPr="007D6B88" w14:paraId="7EB8A780" w14:textId="77777777" w:rsidTr="007D6B88">
        <w:trPr>
          <w:trHeight w:val="424"/>
        </w:trPr>
        <w:tc>
          <w:tcPr>
            <w:tcW w:w="0" w:type="auto"/>
            <w:hideMark/>
          </w:tcPr>
          <w:p w14:paraId="20671D88"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Gearing ratio (%)</w:t>
            </w:r>
          </w:p>
        </w:tc>
        <w:tc>
          <w:tcPr>
            <w:tcW w:w="0" w:type="auto"/>
            <w:hideMark/>
          </w:tcPr>
          <w:p w14:paraId="2EE4BF4D"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23</w:t>
            </w:r>
          </w:p>
        </w:tc>
        <w:tc>
          <w:tcPr>
            <w:tcW w:w="0" w:type="auto"/>
            <w:hideMark/>
          </w:tcPr>
          <w:p w14:paraId="188BBF19"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7</w:t>
            </w:r>
          </w:p>
        </w:tc>
        <w:tc>
          <w:tcPr>
            <w:tcW w:w="0" w:type="auto"/>
            <w:hideMark/>
          </w:tcPr>
          <w:p w14:paraId="442ED88E"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4</w:t>
            </w:r>
          </w:p>
        </w:tc>
        <w:tc>
          <w:tcPr>
            <w:tcW w:w="0" w:type="auto"/>
            <w:hideMark/>
          </w:tcPr>
          <w:p w14:paraId="54369B72"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w:t>
            </w:r>
          </w:p>
        </w:tc>
        <w:tc>
          <w:tcPr>
            <w:tcW w:w="0" w:type="auto"/>
            <w:hideMark/>
          </w:tcPr>
          <w:p w14:paraId="4DF658C7"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2</w:t>
            </w:r>
          </w:p>
        </w:tc>
      </w:tr>
    </w:tbl>
    <w:p w14:paraId="3C29FAF5" w14:textId="77777777" w:rsidR="007D6B88" w:rsidRPr="00946425" w:rsidRDefault="007D6B88" w:rsidP="00946425">
      <w:pPr>
        <w:jc w:val="both"/>
        <w:rPr>
          <w:rFonts w:ascii="Times New Roman" w:hAnsi="Times New Roman" w:cs="Times New Roman"/>
          <w:sz w:val="24"/>
          <w:szCs w:val="24"/>
          <w:lang w:val="en-US"/>
        </w:rPr>
      </w:pPr>
    </w:p>
    <w:p w14:paraId="53954402" w14:textId="77777777" w:rsidR="0001294A" w:rsidRPr="00946425" w:rsidRDefault="0001294A" w:rsidP="00946425">
      <w:pPr>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The cash flow position of BYD was quite solid in 2024, with net operating cash flow amounting to RMB 133.5 billion and cash reserves to RMB 154.9 billion. This gives a significant counter to the tight liquidity ratios of the company in the short term and justifies further investment in innovation and international growth. The interest bearing debt dropped to RMB 28.58 billion in 2024 as compared to RMB 36.55 billion in 2023, and the gearing ratio was very low, which is testimony to high solvency and financial flexibility.</w:t>
      </w:r>
    </w:p>
    <w:p w14:paraId="27B922BA" w14:textId="3C8EF68D" w:rsidR="007D6B88" w:rsidRPr="007D6B88" w:rsidRDefault="007D6B88" w:rsidP="00946425">
      <w:pPr>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Appendix A4. Working Capital and Efficiency Indicators</w:t>
      </w:r>
    </w:p>
    <w:tbl>
      <w:tblPr>
        <w:tblStyle w:val="TableGrid"/>
        <w:tblW w:w="9369" w:type="dxa"/>
        <w:tblLook w:val="04A0" w:firstRow="1" w:lastRow="0" w:firstColumn="1" w:lastColumn="0" w:noHBand="0" w:noVBand="1"/>
      </w:tblPr>
      <w:tblGrid>
        <w:gridCol w:w="3538"/>
        <w:gridCol w:w="896"/>
        <w:gridCol w:w="895"/>
        <w:gridCol w:w="895"/>
        <w:gridCol w:w="895"/>
        <w:gridCol w:w="2250"/>
      </w:tblGrid>
      <w:tr w:rsidR="00946425" w:rsidRPr="007D6B88" w14:paraId="01634799" w14:textId="77777777" w:rsidTr="007D6B88">
        <w:trPr>
          <w:trHeight w:val="449"/>
        </w:trPr>
        <w:tc>
          <w:tcPr>
            <w:tcW w:w="0" w:type="auto"/>
            <w:hideMark/>
          </w:tcPr>
          <w:p w14:paraId="0475F943"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Indicator</w:t>
            </w:r>
          </w:p>
        </w:tc>
        <w:tc>
          <w:tcPr>
            <w:tcW w:w="0" w:type="auto"/>
            <w:hideMark/>
          </w:tcPr>
          <w:p w14:paraId="3CE841F4"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2020</w:t>
            </w:r>
          </w:p>
        </w:tc>
        <w:tc>
          <w:tcPr>
            <w:tcW w:w="0" w:type="auto"/>
            <w:hideMark/>
          </w:tcPr>
          <w:p w14:paraId="3536F37A"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2021</w:t>
            </w:r>
          </w:p>
        </w:tc>
        <w:tc>
          <w:tcPr>
            <w:tcW w:w="0" w:type="auto"/>
            <w:hideMark/>
          </w:tcPr>
          <w:p w14:paraId="18274DE3"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2022</w:t>
            </w:r>
          </w:p>
        </w:tc>
        <w:tc>
          <w:tcPr>
            <w:tcW w:w="0" w:type="auto"/>
            <w:hideMark/>
          </w:tcPr>
          <w:p w14:paraId="36E3CAA4"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2023</w:t>
            </w:r>
          </w:p>
        </w:tc>
        <w:tc>
          <w:tcPr>
            <w:tcW w:w="0" w:type="auto"/>
            <w:hideMark/>
          </w:tcPr>
          <w:p w14:paraId="5BE1D2DD"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2024</w:t>
            </w:r>
          </w:p>
        </w:tc>
      </w:tr>
      <w:tr w:rsidR="00946425" w:rsidRPr="007D6B88" w14:paraId="261580E0" w14:textId="77777777" w:rsidTr="007D6B88">
        <w:trPr>
          <w:trHeight w:val="449"/>
        </w:trPr>
        <w:tc>
          <w:tcPr>
            <w:tcW w:w="0" w:type="auto"/>
            <w:hideMark/>
          </w:tcPr>
          <w:p w14:paraId="58BE6DDB"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Current ratio</w:t>
            </w:r>
          </w:p>
        </w:tc>
        <w:tc>
          <w:tcPr>
            <w:tcW w:w="0" w:type="auto"/>
            <w:hideMark/>
          </w:tcPr>
          <w:p w14:paraId="1C894A05"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1.05</w:t>
            </w:r>
          </w:p>
        </w:tc>
        <w:tc>
          <w:tcPr>
            <w:tcW w:w="0" w:type="auto"/>
            <w:hideMark/>
          </w:tcPr>
          <w:p w14:paraId="59E9707D"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0.97</w:t>
            </w:r>
          </w:p>
        </w:tc>
        <w:tc>
          <w:tcPr>
            <w:tcW w:w="0" w:type="auto"/>
            <w:hideMark/>
          </w:tcPr>
          <w:p w14:paraId="6B8D60F8"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0.72</w:t>
            </w:r>
          </w:p>
        </w:tc>
        <w:tc>
          <w:tcPr>
            <w:tcW w:w="0" w:type="auto"/>
            <w:hideMark/>
          </w:tcPr>
          <w:p w14:paraId="29CE0A13"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0.67</w:t>
            </w:r>
          </w:p>
        </w:tc>
        <w:tc>
          <w:tcPr>
            <w:tcW w:w="0" w:type="auto"/>
            <w:hideMark/>
          </w:tcPr>
          <w:p w14:paraId="606537AB"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0.75</w:t>
            </w:r>
          </w:p>
        </w:tc>
      </w:tr>
      <w:tr w:rsidR="00946425" w:rsidRPr="007D6B88" w14:paraId="1887165D" w14:textId="77777777" w:rsidTr="007D6B88">
        <w:trPr>
          <w:trHeight w:val="449"/>
        </w:trPr>
        <w:tc>
          <w:tcPr>
            <w:tcW w:w="0" w:type="auto"/>
            <w:hideMark/>
          </w:tcPr>
          <w:p w14:paraId="21FDDE7A"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Receivables turnover days</w:t>
            </w:r>
          </w:p>
        </w:tc>
        <w:tc>
          <w:tcPr>
            <w:tcW w:w="0" w:type="auto"/>
            <w:hideMark/>
          </w:tcPr>
          <w:p w14:paraId="234CC4A4"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135</w:t>
            </w:r>
          </w:p>
        </w:tc>
        <w:tc>
          <w:tcPr>
            <w:tcW w:w="0" w:type="auto"/>
            <w:hideMark/>
          </w:tcPr>
          <w:p w14:paraId="532084A5"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95</w:t>
            </w:r>
          </w:p>
        </w:tc>
        <w:tc>
          <w:tcPr>
            <w:tcW w:w="0" w:type="auto"/>
            <w:hideMark/>
          </w:tcPr>
          <w:p w14:paraId="218D8935"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53</w:t>
            </w:r>
          </w:p>
        </w:tc>
        <w:tc>
          <w:tcPr>
            <w:tcW w:w="0" w:type="auto"/>
            <w:hideMark/>
          </w:tcPr>
          <w:p w14:paraId="4DD572DF"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43</w:t>
            </w:r>
          </w:p>
        </w:tc>
        <w:tc>
          <w:tcPr>
            <w:tcW w:w="0" w:type="auto"/>
            <w:hideMark/>
          </w:tcPr>
          <w:p w14:paraId="10A4ACD5"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35</w:t>
            </w:r>
          </w:p>
        </w:tc>
      </w:tr>
      <w:tr w:rsidR="00946425" w:rsidRPr="007D6B88" w14:paraId="6568D8E0" w14:textId="77777777" w:rsidTr="007D6B88">
        <w:trPr>
          <w:trHeight w:val="449"/>
        </w:trPr>
        <w:tc>
          <w:tcPr>
            <w:tcW w:w="0" w:type="auto"/>
            <w:hideMark/>
          </w:tcPr>
          <w:p w14:paraId="11719CFE"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Inventory turnover days</w:t>
            </w:r>
          </w:p>
        </w:tc>
        <w:tc>
          <w:tcPr>
            <w:tcW w:w="0" w:type="auto"/>
            <w:hideMark/>
          </w:tcPr>
          <w:p w14:paraId="4EA08062"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82</w:t>
            </w:r>
          </w:p>
        </w:tc>
        <w:tc>
          <w:tcPr>
            <w:tcW w:w="0" w:type="auto"/>
            <w:hideMark/>
          </w:tcPr>
          <w:p w14:paraId="7E6A0DB5"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73</w:t>
            </w:r>
          </w:p>
        </w:tc>
        <w:tc>
          <w:tcPr>
            <w:tcW w:w="0" w:type="auto"/>
            <w:hideMark/>
          </w:tcPr>
          <w:p w14:paraId="459CDE5A"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63</w:t>
            </w:r>
          </w:p>
        </w:tc>
        <w:tc>
          <w:tcPr>
            <w:tcW w:w="0" w:type="auto"/>
            <w:hideMark/>
          </w:tcPr>
          <w:p w14:paraId="2E0AF771"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63</w:t>
            </w:r>
          </w:p>
        </w:tc>
        <w:tc>
          <w:tcPr>
            <w:tcW w:w="0" w:type="auto"/>
            <w:hideMark/>
          </w:tcPr>
          <w:p w14:paraId="75C36E3C"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61</w:t>
            </w:r>
          </w:p>
        </w:tc>
      </w:tr>
      <w:tr w:rsidR="00946425" w:rsidRPr="007D6B88" w14:paraId="5A4699A5" w14:textId="77777777" w:rsidTr="007D6B88">
        <w:trPr>
          <w:trHeight w:val="449"/>
        </w:trPr>
        <w:tc>
          <w:tcPr>
            <w:tcW w:w="0" w:type="auto"/>
            <w:hideMark/>
          </w:tcPr>
          <w:p w14:paraId="0254E491"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Payables turnover days</w:t>
            </w:r>
          </w:p>
        </w:tc>
        <w:tc>
          <w:tcPr>
            <w:tcW w:w="0" w:type="auto"/>
            <w:hideMark/>
          </w:tcPr>
          <w:p w14:paraId="0DD14454"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30370018"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490B5E54"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542E8C8A"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18D263AD"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High / extended</w:t>
            </w:r>
          </w:p>
        </w:tc>
      </w:tr>
      <w:tr w:rsidR="00946425" w:rsidRPr="007D6B88" w14:paraId="15D324D5" w14:textId="77777777" w:rsidTr="007D6B88">
        <w:trPr>
          <w:trHeight w:val="449"/>
        </w:trPr>
        <w:tc>
          <w:tcPr>
            <w:tcW w:w="0" w:type="auto"/>
            <w:hideMark/>
          </w:tcPr>
          <w:p w14:paraId="618138D0"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Cash operating cycle</w:t>
            </w:r>
          </w:p>
        </w:tc>
        <w:tc>
          <w:tcPr>
            <w:tcW w:w="0" w:type="auto"/>
            <w:hideMark/>
          </w:tcPr>
          <w:p w14:paraId="356D76A7"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436DBE82"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643252E6"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79A31AF1"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014D8425"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Negative</w:t>
            </w:r>
          </w:p>
        </w:tc>
      </w:tr>
    </w:tbl>
    <w:p w14:paraId="147553EA" w14:textId="77777777" w:rsidR="007D6B88" w:rsidRPr="00946425" w:rsidRDefault="007D6B88" w:rsidP="00946425">
      <w:pPr>
        <w:jc w:val="both"/>
        <w:rPr>
          <w:rFonts w:ascii="Times New Roman" w:hAnsi="Times New Roman" w:cs="Times New Roman"/>
          <w:sz w:val="24"/>
          <w:szCs w:val="24"/>
          <w:lang w:val="en-US"/>
        </w:rPr>
      </w:pPr>
    </w:p>
    <w:p w14:paraId="29BAA4CC" w14:textId="77777777" w:rsidR="0001294A" w:rsidRPr="00946425" w:rsidRDefault="0001294A" w:rsidP="00946425">
      <w:pPr>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The working capital ratios indicate that BYD has become more efficient in its operations in the period. Both receivables turnover days and inventory turnover days decreased significantly, indicating that the company was more able to control its cash collection and inventory management as it grew. The negative cash operating cycle of the company in 2024 shows that the supplier credit is crucial in funding the company activities. On the one hand, this helps in the liquidity, but, on the other hand, it implies that the business is reliant on the further effective performance and relationships with the suppliers.</w:t>
      </w:r>
    </w:p>
    <w:p w14:paraId="7DDE4E70" w14:textId="3F15285F" w:rsidR="007D6B88" w:rsidRPr="007D6B88" w:rsidRDefault="007D6B88" w:rsidP="00946425">
      <w:pPr>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Appendix A5. Interpretation of the Five-Year Statements</w:t>
      </w:r>
    </w:p>
    <w:p w14:paraId="0E3CB809" w14:textId="3201DF8C" w:rsidR="007D6B88" w:rsidRPr="00946425" w:rsidRDefault="0001294A" w:rsidP="00946425">
      <w:pPr>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lastRenderedPageBreak/>
        <w:t>Combined, the five-year financial report reveals a company that has enjoyed remarkable growth in size, improved profitability, enhanced efficiency and extremely high operating cash generation. The financial picture of BYD indicates a company with a growing international presence and a strengthening internal position, but with a relatively limited short-term liquidity, as the company uses rather aggressive working capital policy. The numbers presented herein thus justify the conclusion that BYD is financially robust as a whole, but must move forward with its emphasis on liquidity discipline, selective financing decisions and effective use of capital.</w:t>
      </w:r>
    </w:p>
    <w:p w14:paraId="7E8C87A8" w14:textId="77777777" w:rsidR="0001294A" w:rsidRPr="00946425" w:rsidRDefault="0001294A" w:rsidP="00946425">
      <w:pPr>
        <w:jc w:val="both"/>
        <w:rPr>
          <w:rFonts w:ascii="Times New Roman" w:hAnsi="Times New Roman" w:cs="Times New Roman"/>
          <w:sz w:val="24"/>
          <w:szCs w:val="24"/>
        </w:rPr>
      </w:pPr>
    </w:p>
    <w:p w14:paraId="544CB792" w14:textId="77777777" w:rsidR="007D6B88" w:rsidRPr="00946425" w:rsidRDefault="007D6B88" w:rsidP="00946425">
      <w:pPr>
        <w:pStyle w:val="Heading2"/>
        <w:jc w:val="both"/>
        <w:rPr>
          <w:rFonts w:ascii="Times New Roman" w:hAnsi="Times New Roman" w:cs="Times New Roman"/>
          <w:b/>
          <w:bCs/>
          <w:color w:val="auto"/>
          <w:sz w:val="24"/>
          <w:szCs w:val="24"/>
          <w:lang w:val="en-US"/>
        </w:rPr>
      </w:pPr>
      <w:bookmarkStart w:id="40" w:name="_Toc227884477"/>
      <w:r w:rsidRPr="00946425">
        <w:rPr>
          <w:rFonts w:ascii="Times New Roman" w:hAnsi="Times New Roman" w:cs="Times New Roman"/>
          <w:b/>
          <w:bCs/>
          <w:color w:val="auto"/>
          <w:sz w:val="24"/>
          <w:szCs w:val="24"/>
          <w:lang w:val="en-US"/>
        </w:rPr>
        <w:t>Appendix B: Ratio Calculations</w:t>
      </w:r>
      <w:bookmarkEnd w:id="40"/>
    </w:p>
    <w:p w14:paraId="1C3C2797" w14:textId="77777777" w:rsidR="0001294A" w:rsidRPr="00946425" w:rsidRDefault="0001294A" w:rsidP="00946425">
      <w:pPr>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This appendix shows the key financial ratios to be applied in the review of the financial health of BYD in the five years between 2020 and 2024. The appendix is dedicated to profitability, liquidity, efficiency, gearing and the choice of investment and cash flow indicators, as the assignment demanded the utilization of the information provided in the income statement, balance sheet, cash flow statement, and ratio analysis. The figures are, unless otherwise indicated, the indicators of the published annual report of BYD and the disclosures of results in 2024.</w:t>
      </w:r>
    </w:p>
    <w:p w14:paraId="79CA7566" w14:textId="410948D7" w:rsidR="007D6B88" w:rsidRPr="007D6B88" w:rsidRDefault="007D6B88" w:rsidP="00946425">
      <w:pPr>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Appendix B1. Ratio Formula Guide</w:t>
      </w:r>
    </w:p>
    <w:tbl>
      <w:tblPr>
        <w:tblStyle w:val="TableGrid"/>
        <w:tblW w:w="9521" w:type="dxa"/>
        <w:tblLook w:val="04A0" w:firstRow="1" w:lastRow="0" w:firstColumn="1" w:lastColumn="0" w:noHBand="0" w:noVBand="1"/>
      </w:tblPr>
      <w:tblGrid>
        <w:gridCol w:w="2491"/>
        <w:gridCol w:w="7030"/>
      </w:tblGrid>
      <w:tr w:rsidR="00946425" w:rsidRPr="007D6B88" w14:paraId="35815007" w14:textId="77777777" w:rsidTr="007D6B88">
        <w:trPr>
          <w:trHeight w:val="458"/>
        </w:trPr>
        <w:tc>
          <w:tcPr>
            <w:tcW w:w="0" w:type="auto"/>
            <w:hideMark/>
          </w:tcPr>
          <w:p w14:paraId="6706CED3"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Ratio</w:t>
            </w:r>
          </w:p>
        </w:tc>
        <w:tc>
          <w:tcPr>
            <w:tcW w:w="0" w:type="auto"/>
            <w:hideMark/>
          </w:tcPr>
          <w:p w14:paraId="0B396FC3"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Formula</w:t>
            </w:r>
          </w:p>
        </w:tc>
      </w:tr>
      <w:tr w:rsidR="00946425" w:rsidRPr="007D6B88" w14:paraId="36679D66" w14:textId="77777777" w:rsidTr="007D6B88">
        <w:trPr>
          <w:trHeight w:val="458"/>
        </w:trPr>
        <w:tc>
          <w:tcPr>
            <w:tcW w:w="0" w:type="auto"/>
            <w:hideMark/>
          </w:tcPr>
          <w:p w14:paraId="3CE7DB42"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Gross profit margin</w:t>
            </w:r>
          </w:p>
        </w:tc>
        <w:tc>
          <w:tcPr>
            <w:tcW w:w="0" w:type="auto"/>
            <w:hideMark/>
          </w:tcPr>
          <w:p w14:paraId="25D34E17"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Gross profit / Revenue × 100</w:t>
            </w:r>
          </w:p>
        </w:tc>
      </w:tr>
      <w:tr w:rsidR="00946425" w:rsidRPr="007D6B88" w14:paraId="110C699A" w14:textId="77777777" w:rsidTr="007D6B88">
        <w:trPr>
          <w:trHeight w:val="458"/>
        </w:trPr>
        <w:tc>
          <w:tcPr>
            <w:tcW w:w="0" w:type="auto"/>
            <w:hideMark/>
          </w:tcPr>
          <w:p w14:paraId="400E321D"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Net profit margin</w:t>
            </w:r>
          </w:p>
        </w:tc>
        <w:tc>
          <w:tcPr>
            <w:tcW w:w="0" w:type="auto"/>
            <w:hideMark/>
          </w:tcPr>
          <w:p w14:paraId="7BA55720"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Profit attributable to shareholders / Revenue × 100</w:t>
            </w:r>
          </w:p>
        </w:tc>
      </w:tr>
      <w:tr w:rsidR="00946425" w:rsidRPr="007D6B88" w14:paraId="0684753F" w14:textId="77777777" w:rsidTr="007D6B88">
        <w:trPr>
          <w:trHeight w:val="458"/>
        </w:trPr>
        <w:tc>
          <w:tcPr>
            <w:tcW w:w="0" w:type="auto"/>
            <w:hideMark/>
          </w:tcPr>
          <w:p w14:paraId="243BFFE8"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Current ratio</w:t>
            </w:r>
          </w:p>
        </w:tc>
        <w:tc>
          <w:tcPr>
            <w:tcW w:w="0" w:type="auto"/>
            <w:hideMark/>
          </w:tcPr>
          <w:p w14:paraId="2CD51B48"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Current assets / Current liabilities</w:t>
            </w:r>
          </w:p>
        </w:tc>
      </w:tr>
      <w:tr w:rsidR="00946425" w:rsidRPr="007D6B88" w14:paraId="0FB918AB" w14:textId="77777777" w:rsidTr="007D6B88">
        <w:trPr>
          <w:trHeight w:val="765"/>
        </w:trPr>
        <w:tc>
          <w:tcPr>
            <w:tcW w:w="0" w:type="auto"/>
            <w:hideMark/>
          </w:tcPr>
          <w:p w14:paraId="2292AE6E"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Gearing ratio</w:t>
            </w:r>
          </w:p>
        </w:tc>
        <w:tc>
          <w:tcPr>
            <w:tcW w:w="0" w:type="auto"/>
            <w:hideMark/>
          </w:tcPr>
          <w:p w14:paraId="703A82CE"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Total borrowings net of cash and cash equivalents / Net assets less minority interests</w:t>
            </w:r>
          </w:p>
        </w:tc>
      </w:tr>
      <w:tr w:rsidR="00946425" w:rsidRPr="007D6B88" w14:paraId="27A7CB91" w14:textId="77777777" w:rsidTr="007D6B88">
        <w:trPr>
          <w:trHeight w:val="765"/>
        </w:trPr>
        <w:tc>
          <w:tcPr>
            <w:tcW w:w="0" w:type="auto"/>
            <w:hideMark/>
          </w:tcPr>
          <w:p w14:paraId="4AF4071A"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Receivables turnover days</w:t>
            </w:r>
          </w:p>
        </w:tc>
        <w:tc>
          <w:tcPr>
            <w:tcW w:w="0" w:type="auto"/>
            <w:hideMark/>
          </w:tcPr>
          <w:p w14:paraId="0EC14604"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Average receivables / Revenue × 365</w:t>
            </w:r>
          </w:p>
        </w:tc>
      </w:tr>
      <w:tr w:rsidR="00946425" w:rsidRPr="007D6B88" w14:paraId="3CD55F57" w14:textId="77777777" w:rsidTr="007D6B88">
        <w:trPr>
          <w:trHeight w:val="458"/>
        </w:trPr>
        <w:tc>
          <w:tcPr>
            <w:tcW w:w="0" w:type="auto"/>
            <w:hideMark/>
          </w:tcPr>
          <w:p w14:paraId="6B39316C"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Inventory turnover days</w:t>
            </w:r>
          </w:p>
        </w:tc>
        <w:tc>
          <w:tcPr>
            <w:tcW w:w="0" w:type="auto"/>
            <w:hideMark/>
          </w:tcPr>
          <w:p w14:paraId="0C29DB79"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Average inventory / Cost of sales × 365</w:t>
            </w:r>
          </w:p>
        </w:tc>
      </w:tr>
      <w:tr w:rsidR="00946425" w:rsidRPr="007D6B88" w14:paraId="58069BFB" w14:textId="77777777" w:rsidTr="007D6B88">
        <w:trPr>
          <w:trHeight w:val="458"/>
        </w:trPr>
        <w:tc>
          <w:tcPr>
            <w:tcW w:w="0" w:type="auto"/>
            <w:hideMark/>
          </w:tcPr>
          <w:p w14:paraId="60B750CA"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Payback period</w:t>
            </w:r>
          </w:p>
        </w:tc>
        <w:tc>
          <w:tcPr>
            <w:tcW w:w="0" w:type="auto"/>
            <w:hideMark/>
          </w:tcPr>
          <w:p w14:paraId="73A33A75"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Years until initial investment is recovered from cash inflows</w:t>
            </w:r>
          </w:p>
        </w:tc>
      </w:tr>
      <w:tr w:rsidR="00946425" w:rsidRPr="007D6B88" w14:paraId="6E6BFC94" w14:textId="77777777" w:rsidTr="007D6B88">
        <w:trPr>
          <w:trHeight w:val="458"/>
        </w:trPr>
        <w:tc>
          <w:tcPr>
            <w:tcW w:w="0" w:type="auto"/>
            <w:hideMark/>
          </w:tcPr>
          <w:p w14:paraId="109AC13B"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ARR</w:t>
            </w:r>
          </w:p>
        </w:tc>
        <w:tc>
          <w:tcPr>
            <w:tcW w:w="0" w:type="auto"/>
            <w:hideMark/>
          </w:tcPr>
          <w:p w14:paraId="1BF3AE22"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Average annual accounting profit / Initial investment × 100</w:t>
            </w:r>
          </w:p>
        </w:tc>
      </w:tr>
      <w:tr w:rsidR="00946425" w:rsidRPr="007D6B88" w14:paraId="6A94F68B" w14:textId="77777777" w:rsidTr="007D6B88">
        <w:trPr>
          <w:trHeight w:val="458"/>
        </w:trPr>
        <w:tc>
          <w:tcPr>
            <w:tcW w:w="0" w:type="auto"/>
            <w:hideMark/>
          </w:tcPr>
          <w:p w14:paraId="3FC5BCBE"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NPV</w:t>
            </w:r>
          </w:p>
        </w:tc>
        <w:tc>
          <w:tcPr>
            <w:tcW w:w="0" w:type="auto"/>
            <w:hideMark/>
          </w:tcPr>
          <w:p w14:paraId="1FE68BFC"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Present value of inflows − Initial investment</w:t>
            </w:r>
          </w:p>
        </w:tc>
      </w:tr>
      <w:tr w:rsidR="00946425" w:rsidRPr="007D6B88" w14:paraId="7152EB22" w14:textId="77777777" w:rsidTr="007D6B88">
        <w:trPr>
          <w:trHeight w:val="458"/>
        </w:trPr>
        <w:tc>
          <w:tcPr>
            <w:tcW w:w="0" w:type="auto"/>
            <w:hideMark/>
          </w:tcPr>
          <w:p w14:paraId="6FC334F2"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PI</w:t>
            </w:r>
          </w:p>
        </w:tc>
        <w:tc>
          <w:tcPr>
            <w:tcW w:w="0" w:type="auto"/>
            <w:hideMark/>
          </w:tcPr>
          <w:p w14:paraId="2ED30AD2"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Present value of inflows / Initial investment</w:t>
            </w:r>
          </w:p>
        </w:tc>
      </w:tr>
      <w:tr w:rsidR="00946425" w:rsidRPr="007D6B88" w14:paraId="12F8EFA8" w14:textId="77777777" w:rsidTr="007D6B88">
        <w:trPr>
          <w:trHeight w:val="458"/>
        </w:trPr>
        <w:tc>
          <w:tcPr>
            <w:tcW w:w="0" w:type="auto"/>
            <w:hideMark/>
          </w:tcPr>
          <w:p w14:paraId="1513772F"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IRR</w:t>
            </w:r>
          </w:p>
        </w:tc>
        <w:tc>
          <w:tcPr>
            <w:tcW w:w="0" w:type="auto"/>
            <w:hideMark/>
          </w:tcPr>
          <w:p w14:paraId="26CFF50E"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Discount rate at which NPV = 0</w:t>
            </w:r>
          </w:p>
        </w:tc>
      </w:tr>
    </w:tbl>
    <w:p w14:paraId="730EC423" w14:textId="77777777" w:rsidR="007D6B88" w:rsidRPr="007D6B88" w:rsidRDefault="007D6B88" w:rsidP="00946425">
      <w:pPr>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These formulas reflect the standard ratio approach used in financial performance and investment appraisal analysis.</w:t>
      </w:r>
    </w:p>
    <w:p w14:paraId="18877731" w14:textId="77777777" w:rsidR="007D6B88" w:rsidRPr="007D6B88" w:rsidRDefault="007D6B88" w:rsidP="00946425">
      <w:pPr>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lastRenderedPageBreak/>
        <w:t>Appendix B2. Profitability Ratios</w:t>
      </w:r>
    </w:p>
    <w:tbl>
      <w:tblPr>
        <w:tblStyle w:val="TableGrid"/>
        <w:tblW w:w="9295" w:type="dxa"/>
        <w:tblLook w:val="04A0" w:firstRow="1" w:lastRow="0" w:firstColumn="1" w:lastColumn="0" w:noHBand="0" w:noVBand="1"/>
      </w:tblPr>
      <w:tblGrid>
        <w:gridCol w:w="4068"/>
        <w:gridCol w:w="1027"/>
        <w:gridCol w:w="1028"/>
        <w:gridCol w:w="1028"/>
        <w:gridCol w:w="1028"/>
        <w:gridCol w:w="1116"/>
      </w:tblGrid>
      <w:tr w:rsidR="00946425" w:rsidRPr="007D6B88" w14:paraId="7BCCF093" w14:textId="77777777" w:rsidTr="007D6B88">
        <w:trPr>
          <w:trHeight w:val="628"/>
        </w:trPr>
        <w:tc>
          <w:tcPr>
            <w:tcW w:w="0" w:type="auto"/>
            <w:hideMark/>
          </w:tcPr>
          <w:p w14:paraId="1FF44BAC"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Profitability ratio</w:t>
            </w:r>
          </w:p>
        </w:tc>
        <w:tc>
          <w:tcPr>
            <w:tcW w:w="0" w:type="auto"/>
            <w:hideMark/>
          </w:tcPr>
          <w:p w14:paraId="7A07DA26"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2020</w:t>
            </w:r>
          </w:p>
        </w:tc>
        <w:tc>
          <w:tcPr>
            <w:tcW w:w="0" w:type="auto"/>
            <w:hideMark/>
          </w:tcPr>
          <w:p w14:paraId="1A48EDC0"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2021</w:t>
            </w:r>
          </w:p>
        </w:tc>
        <w:tc>
          <w:tcPr>
            <w:tcW w:w="0" w:type="auto"/>
            <w:hideMark/>
          </w:tcPr>
          <w:p w14:paraId="7AD5A1A8"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2022</w:t>
            </w:r>
          </w:p>
        </w:tc>
        <w:tc>
          <w:tcPr>
            <w:tcW w:w="0" w:type="auto"/>
            <w:hideMark/>
          </w:tcPr>
          <w:p w14:paraId="70A7B219"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2023</w:t>
            </w:r>
          </w:p>
        </w:tc>
        <w:tc>
          <w:tcPr>
            <w:tcW w:w="0" w:type="auto"/>
            <w:hideMark/>
          </w:tcPr>
          <w:p w14:paraId="6C6863E3"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2024</w:t>
            </w:r>
          </w:p>
        </w:tc>
      </w:tr>
      <w:tr w:rsidR="00946425" w:rsidRPr="007D6B88" w14:paraId="5391C8CE" w14:textId="77777777" w:rsidTr="007D6B88">
        <w:trPr>
          <w:trHeight w:val="628"/>
        </w:trPr>
        <w:tc>
          <w:tcPr>
            <w:tcW w:w="0" w:type="auto"/>
            <w:hideMark/>
          </w:tcPr>
          <w:p w14:paraId="00363403"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Gross profit margin (%)</w:t>
            </w:r>
          </w:p>
        </w:tc>
        <w:tc>
          <w:tcPr>
            <w:tcW w:w="0" w:type="auto"/>
            <w:hideMark/>
          </w:tcPr>
          <w:p w14:paraId="3A760D43"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5DE7A9B1"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12.0</w:t>
            </w:r>
          </w:p>
        </w:tc>
        <w:tc>
          <w:tcPr>
            <w:tcW w:w="0" w:type="auto"/>
            <w:hideMark/>
          </w:tcPr>
          <w:p w14:paraId="1B65D82D"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16.0</w:t>
            </w:r>
          </w:p>
        </w:tc>
        <w:tc>
          <w:tcPr>
            <w:tcW w:w="0" w:type="auto"/>
            <w:hideMark/>
          </w:tcPr>
          <w:p w14:paraId="2D22E6E7"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19.0</w:t>
            </w:r>
          </w:p>
        </w:tc>
        <w:tc>
          <w:tcPr>
            <w:tcW w:w="0" w:type="auto"/>
            <w:hideMark/>
          </w:tcPr>
          <w:p w14:paraId="2F00FA5F"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19.0</w:t>
            </w:r>
          </w:p>
        </w:tc>
      </w:tr>
      <w:tr w:rsidR="00946425" w:rsidRPr="007D6B88" w14:paraId="6520F25D" w14:textId="77777777" w:rsidTr="007D6B88">
        <w:trPr>
          <w:trHeight w:val="628"/>
        </w:trPr>
        <w:tc>
          <w:tcPr>
            <w:tcW w:w="0" w:type="auto"/>
            <w:hideMark/>
          </w:tcPr>
          <w:p w14:paraId="1AD16CD1"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Net profit margin (%)</w:t>
            </w:r>
          </w:p>
        </w:tc>
        <w:tc>
          <w:tcPr>
            <w:tcW w:w="0" w:type="auto"/>
            <w:hideMark/>
          </w:tcPr>
          <w:p w14:paraId="6F484991"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433B2FFE"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1.4</w:t>
            </w:r>
          </w:p>
        </w:tc>
        <w:tc>
          <w:tcPr>
            <w:tcW w:w="0" w:type="auto"/>
            <w:hideMark/>
          </w:tcPr>
          <w:p w14:paraId="50AD07E7"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3.9</w:t>
            </w:r>
          </w:p>
        </w:tc>
        <w:tc>
          <w:tcPr>
            <w:tcW w:w="0" w:type="auto"/>
            <w:hideMark/>
          </w:tcPr>
          <w:p w14:paraId="19150096"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5.0</w:t>
            </w:r>
          </w:p>
        </w:tc>
        <w:tc>
          <w:tcPr>
            <w:tcW w:w="0" w:type="auto"/>
            <w:hideMark/>
          </w:tcPr>
          <w:p w14:paraId="55C441E6"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5.2</w:t>
            </w:r>
          </w:p>
        </w:tc>
      </w:tr>
      <w:tr w:rsidR="00946425" w:rsidRPr="007D6B88" w14:paraId="38F3B39E" w14:textId="77777777" w:rsidTr="007D6B88">
        <w:trPr>
          <w:trHeight w:val="628"/>
        </w:trPr>
        <w:tc>
          <w:tcPr>
            <w:tcW w:w="0" w:type="auto"/>
            <w:hideMark/>
          </w:tcPr>
          <w:p w14:paraId="3BFEC382"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Earnings per share (RMB)</w:t>
            </w:r>
          </w:p>
        </w:tc>
        <w:tc>
          <w:tcPr>
            <w:tcW w:w="0" w:type="auto"/>
            <w:hideMark/>
          </w:tcPr>
          <w:p w14:paraId="379F3761"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721C6651"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468E28B6"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56BCAE8D"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1F81284C"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13.84</w:t>
            </w:r>
          </w:p>
        </w:tc>
      </w:tr>
    </w:tbl>
    <w:p w14:paraId="77D6C360" w14:textId="77777777" w:rsidR="007D6B88" w:rsidRPr="00946425" w:rsidRDefault="007D6B88" w:rsidP="00946425">
      <w:pPr>
        <w:jc w:val="both"/>
        <w:rPr>
          <w:rFonts w:ascii="Times New Roman" w:hAnsi="Times New Roman" w:cs="Times New Roman"/>
          <w:sz w:val="24"/>
          <w:szCs w:val="24"/>
          <w:lang w:val="en-US"/>
        </w:rPr>
      </w:pPr>
    </w:p>
    <w:p w14:paraId="114FE30C" w14:textId="77777777" w:rsidR="0001294A" w:rsidRPr="00946425" w:rsidRDefault="0001294A" w:rsidP="00946425">
      <w:pPr>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The profitability data indicates that there is a clear upward trend in the profitability over the period especially since 2022. Gross margin significantly increased as BYD increased production and enhancing cost efficiency, and net profit margin increased with a very low level to over 5% by 2024. This implies that the company has become increasingly efficient in turning its revenues into shareholder returns as time went by.</w:t>
      </w:r>
    </w:p>
    <w:p w14:paraId="10570931" w14:textId="25C4FDF8" w:rsidR="007D6B88" w:rsidRPr="007D6B88" w:rsidRDefault="007D6B88" w:rsidP="00946425">
      <w:pPr>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Appendix B3. Liquidity Ratios</w:t>
      </w:r>
    </w:p>
    <w:tbl>
      <w:tblPr>
        <w:tblStyle w:val="TableGrid"/>
        <w:tblW w:w="9484" w:type="dxa"/>
        <w:tblLook w:val="04A0" w:firstRow="1" w:lastRow="0" w:firstColumn="1" w:lastColumn="0" w:noHBand="0" w:noVBand="1"/>
      </w:tblPr>
      <w:tblGrid>
        <w:gridCol w:w="4784"/>
        <w:gridCol w:w="924"/>
        <w:gridCol w:w="924"/>
        <w:gridCol w:w="924"/>
        <w:gridCol w:w="924"/>
        <w:gridCol w:w="1004"/>
      </w:tblGrid>
      <w:tr w:rsidR="00946425" w:rsidRPr="007D6B88" w14:paraId="19915B93" w14:textId="77777777" w:rsidTr="007D6B88">
        <w:trPr>
          <w:trHeight w:val="677"/>
        </w:trPr>
        <w:tc>
          <w:tcPr>
            <w:tcW w:w="0" w:type="auto"/>
            <w:hideMark/>
          </w:tcPr>
          <w:p w14:paraId="76085EA9"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Liquidity ratio</w:t>
            </w:r>
          </w:p>
        </w:tc>
        <w:tc>
          <w:tcPr>
            <w:tcW w:w="0" w:type="auto"/>
            <w:hideMark/>
          </w:tcPr>
          <w:p w14:paraId="3A246CA3"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2020</w:t>
            </w:r>
          </w:p>
        </w:tc>
        <w:tc>
          <w:tcPr>
            <w:tcW w:w="0" w:type="auto"/>
            <w:hideMark/>
          </w:tcPr>
          <w:p w14:paraId="22686AC7"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2021</w:t>
            </w:r>
          </w:p>
        </w:tc>
        <w:tc>
          <w:tcPr>
            <w:tcW w:w="0" w:type="auto"/>
            <w:hideMark/>
          </w:tcPr>
          <w:p w14:paraId="1AD52BA9"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2022</w:t>
            </w:r>
          </w:p>
        </w:tc>
        <w:tc>
          <w:tcPr>
            <w:tcW w:w="0" w:type="auto"/>
            <w:hideMark/>
          </w:tcPr>
          <w:p w14:paraId="7EF8C44A"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2023</w:t>
            </w:r>
          </w:p>
        </w:tc>
        <w:tc>
          <w:tcPr>
            <w:tcW w:w="0" w:type="auto"/>
            <w:hideMark/>
          </w:tcPr>
          <w:p w14:paraId="288F392E"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2024</w:t>
            </w:r>
          </w:p>
        </w:tc>
      </w:tr>
      <w:tr w:rsidR="00946425" w:rsidRPr="007D6B88" w14:paraId="640FDAF2" w14:textId="77777777" w:rsidTr="007D6B88">
        <w:trPr>
          <w:trHeight w:val="677"/>
        </w:trPr>
        <w:tc>
          <w:tcPr>
            <w:tcW w:w="0" w:type="auto"/>
            <w:hideMark/>
          </w:tcPr>
          <w:p w14:paraId="7872E347"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Current ratio</w:t>
            </w:r>
          </w:p>
        </w:tc>
        <w:tc>
          <w:tcPr>
            <w:tcW w:w="0" w:type="auto"/>
            <w:hideMark/>
          </w:tcPr>
          <w:p w14:paraId="6A860291"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1.05</w:t>
            </w:r>
          </w:p>
        </w:tc>
        <w:tc>
          <w:tcPr>
            <w:tcW w:w="0" w:type="auto"/>
            <w:hideMark/>
          </w:tcPr>
          <w:p w14:paraId="321D648B"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0.97</w:t>
            </w:r>
          </w:p>
        </w:tc>
        <w:tc>
          <w:tcPr>
            <w:tcW w:w="0" w:type="auto"/>
            <w:hideMark/>
          </w:tcPr>
          <w:p w14:paraId="2CA7099B"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0.72</w:t>
            </w:r>
          </w:p>
        </w:tc>
        <w:tc>
          <w:tcPr>
            <w:tcW w:w="0" w:type="auto"/>
            <w:hideMark/>
          </w:tcPr>
          <w:p w14:paraId="1F28425F"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0.67</w:t>
            </w:r>
          </w:p>
        </w:tc>
        <w:tc>
          <w:tcPr>
            <w:tcW w:w="0" w:type="auto"/>
            <w:hideMark/>
          </w:tcPr>
          <w:p w14:paraId="6686FFCA"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0.75</w:t>
            </w:r>
          </w:p>
        </w:tc>
      </w:tr>
      <w:tr w:rsidR="00946425" w:rsidRPr="007D6B88" w14:paraId="6BDF9BB4" w14:textId="77777777" w:rsidTr="007D6B88">
        <w:trPr>
          <w:trHeight w:val="677"/>
        </w:trPr>
        <w:tc>
          <w:tcPr>
            <w:tcW w:w="0" w:type="auto"/>
            <w:hideMark/>
          </w:tcPr>
          <w:p w14:paraId="4F4F6BB3"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Operating cash flow (RMB billion)</w:t>
            </w:r>
          </w:p>
        </w:tc>
        <w:tc>
          <w:tcPr>
            <w:tcW w:w="0" w:type="auto"/>
            <w:hideMark/>
          </w:tcPr>
          <w:p w14:paraId="34E3A08C"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1B92F1A1"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6F4C6E00"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6224DEE6"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3B8802C9"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133.5</w:t>
            </w:r>
          </w:p>
        </w:tc>
      </w:tr>
      <w:tr w:rsidR="00946425" w:rsidRPr="007D6B88" w14:paraId="1A971EA4" w14:textId="77777777" w:rsidTr="007D6B88">
        <w:trPr>
          <w:trHeight w:val="677"/>
        </w:trPr>
        <w:tc>
          <w:tcPr>
            <w:tcW w:w="0" w:type="auto"/>
            <w:hideMark/>
          </w:tcPr>
          <w:p w14:paraId="7C653B8D"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Cash reserves (RMB billion)</w:t>
            </w:r>
          </w:p>
        </w:tc>
        <w:tc>
          <w:tcPr>
            <w:tcW w:w="0" w:type="auto"/>
            <w:hideMark/>
          </w:tcPr>
          <w:p w14:paraId="52AA9778"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7581AB2F"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0A912D0D"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7E7A12AD"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2C2B7793"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154.9</w:t>
            </w:r>
          </w:p>
        </w:tc>
      </w:tr>
    </w:tbl>
    <w:p w14:paraId="24682453" w14:textId="77777777" w:rsidR="007D6B88" w:rsidRPr="00946425" w:rsidRDefault="007D6B88" w:rsidP="00946425">
      <w:pPr>
        <w:jc w:val="both"/>
        <w:rPr>
          <w:rFonts w:ascii="Times New Roman" w:hAnsi="Times New Roman" w:cs="Times New Roman"/>
          <w:sz w:val="24"/>
          <w:szCs w:val="24"/>
          <w:lang w:val="en-US"/>
        </w:rPr>
      </w:pPr>
    </w:p>
    <w:p w14:paraId="5DF8A512" w14:textId="77777777" w:rsidR="0001294A" w:rsidRPr="00946425" w:rsidRDefault="0001294A" w:rsidP="00946425">
      <w:pPr>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Since 2021, the current ratio decreased to less than 1, meaning that BYD has been experiencing a relatively constrained short-term liquidity situation over the past years. This, however, should be understood along with the strong operating cash flow and large cash reserves of the company in 2024 which mitigate short-term solvency issues. Liquidity model of BYD, thus, seems aggressive yet manageable.</w:t>
      </w:r>
    </w:p>
    <w:p w14:paraId="5762BC0E" w14:textId="7A0CF3FA" w:rsidR="007D6B88" w:rsidRPr="007D6B88" w:rsidRDefault="007D6B88" w:rsidP="00946425">
      <w:pPr>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Appendix B4. Efficiency Ratios</w:t>
      </w:r>
    </w:p>
    <w:tbl>
      <w:tblPr>
        <w:tblStyle w:val="TableGrid"/>
        <w:tblW w:w="9371" w:type="dxa"/>
        <w:tblLook w:val="04A0" w:firstRow="1" w:lastRow="0" w:firstColumn="1" w:lastColumn="0" w:noHBand="0" w:noVBand="1"/>
      </w:tblPr>
      <w:tblGrid>
        <w:gridCol w:w="3893"/>
        <w:gridCol w:w="986"/>
        <w:gridCol w:w="986"/>
        <w:gridCol w:w="986"/>
        <w:gridCol w:w="986"/>
        <w:gridCol w:w="1534"/>
      </w:tblGrid>
      <w:tr w:rsidR="00946425" w:rsidRPr="007D6B88" w14:paraId="77667D81" w14:textId="77777777" w:rsidTr="007D6B88">
        <w:trPr>
          <w:trHeight w:val="439"/>
        </w:trPr>
        <w:tc>
          <w:tcPr>
            <w:tcW w:w="0" w:type="auto"/>
            <w:hideMark/>
          </w:tcPr>
          <w:p w14:paraId="01D53F4E"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Efficiency ratio</w:t>
            </w:r>
          </w:p>
        </w:tc>
        <w:tc>
          <w:tcPr>
            <w:tcW w:w="0" w:type="auto"/>
            <w:hideMark/>
          </w:tcPr>
          <w:p w14:paraId="6CEA3B1F"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2020</w:t>
            </w:r>
          </w:p>
        </w:tc>
        <w:tc>
          <w:tcPr>
            <w:tcW w:w="0" w:type="auto"/>
            <w:hideMark/>
          </w:tcPr>
          <w:p w14:paraId="70EAFF69"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2021</w:t>
            </w:r>
          </w:p>
        </w:tc>
        <w:tc>
          <w:tcPr>
            <w:tcW w:w="0" w:type="auto"/>
            <w:hideMark/>
          </w:tcPr>
          <w:p w14:paraId="02554653"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2022</w:t>
            </w:r>
          </w:p>
        </w:tc>
        <w:tc>
          <w:tcPr>
            <w:tcW w:w="0" w:type="auto"/>
            <w:hideMark/>
          </w:tcPr>
          <w:p w14:paraId="1C779647"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2023</w:t>
            </w:r>
          </w:p>
        </w:tc>
        <w:tc>
          <w:tcPr>
            <w:tcW w:w="0" w:type="auto"/>
            <w:hideMark/>
          </w:tcPr>
          <w:p w14:paraId="32CCD725"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2024</w:t>
            </w:r>
          </w:p>
        </w:tc>
      </w:tr>
      <w:tr w:rsidR="00946425" w:rsidRPr="007D6B88" w14:paraId="62113010" w14:textId="77777777" w:rsidTr="007D6B88">
        <w:trPr>
          <w:trHeight w:val="439"/>
        </w:trPr>
        <w:tc>
          <w:tcPr>
            <w:tcW w:w="0" w:type="auto"/>
            <w:hideMark/>
          </w:tcPr>
          <w:p w14:paraId="31E9C09D"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Receivables turnover days</w:t>
            </w:r>
          </w:p>
        </w:tc>
        <w:tc>
          <w:tcPr>
            <w:tcW w:w="0" w:type="auto"/>
            <w:hideMark/>
          </w:tcPr>
          <w:p w14:paraId="6F8F1F86"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135</w:t>
            </w:r>
          </w:p>
        </w:tc>
        <w:tc>
          <w:tcPr>
            <w:tcW w:w="0" w:type="auto"/>
            <w:hideMark/>
          </w:tcPr>
          <w:p w14:paraId="60B9455F"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95</w:t>
            </w:r>
          </w:p>
        </w:tc>
        <w:tc>
          <w:tcPr>
            <w:tcW w:w="0" w:type="auto"/>
            <w:hideMark/>
          </w:tcPr>
          <w:p w14:paraId="3EA74AB8"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53</w:t>
            </w:r>
          </w:p>
        </w:tc>
        <w:tc>
          <w:tcPr>
            <w:tcW w:w="0" w:type="auto"/>
            <w:hideMark/>
          </w:tcPr>
          <w:p w14:paraId="32EA3C54"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43</w:t>
            </w:r>
          </w:p>
        </w:tc>
        <w:tc>
          <w:tcPr>
            <w:tcW w:w="0" w:type="auto"/>
            <w:hideMark/>
          </w:tcPr>
          <w:p w14:paraId="5F1920EE"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35</w:t>
            </w:r>
          </w:p>
        </w:tc>
      </w:tr>
      <w:tr w:rsidR="00946425" w:rsidRPr="007D6B88" w14:paraId="33A8F7A7" w14:textId="77777777" w:rsidTr="007D6B88">
        <w:trPr>
          <w:trHeight w:val="439"/>
        </w:trPr>
        <w:tc>
          <w:tcPr>
            <w:tcW w:w="0" w:type="auto"/>
            <w:hideMark/>
          </w:tcPr>
          <w:p w14:paraId="486DBB57"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Inventory turnover days</w:t>
            </w:r>
          </w:p>
        </w:tc>
        <w:tc>
          <w:tcPr>
            <w:tcW w:w="0" w:type="auto"/>
            <w:hideMark/>
          </w:tcPr>
          <w:p w14:paraId="34B8D72A"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82</w:t>
            </w:r>
          </w:p>
        </w:tc>
        <w:tc>
          <w:tcPr>
            <w:tcW w:w="0" w:type="auto"/>
            <w:hideMark/>
          </w:tcPr>
          <w:p w14:paraId="322348F1"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73</w:t>
            </w:r>
          </w:p>
        </w:tc>
        <w:tc>
          <w:tcPr>
            <w:tcW w:w="0" w:type="auto"/>
            <w:hideMark/>
          </w:tcPr>
          <w:p w14:paraId="0EB2017F"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63</w:t>
            </w:r>
          </w:p>
        </w:tc>
        <w:tc>
          <w:tcPr>
            <w:tcW w:w="0" w:type="auto"/>
            <w:hideMark/>
          </w:tcPr>
          <w:p w14:paraId="5DF02499"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63</w:t>
            </w:r>
          </w:p>
        </w:tc>
        <w:tc>
          <w:tcPr>
            <w:tcW w:w="0" w:type="auto"/>
            <w:hideMark/>
          </w:tcPr>
          <w:p w14:paraId="60B8FC03"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61</w:t>
            </w:r>
          </w:p>
        </w:tc>
      </w:tr>
      <w:tr w:rsidR="00946425" w:rsidRPr="007D6B88" w14:paraId="610408B3" w14:textId="77777777" w:rsidTr="007D6B88">
        <w:trPr>
          <w:trHeight w:val="439"/>
        </w:trPr>
        <w:tc>
          <w:tcPr>
            <w:tcW w:w="0" w:type="auto"/>
            <w:hideMark/>
          </w:tcPr>
          <w:p w14:paraId="74317F1B"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Cash operating cycle</w:t>
            </w:r>
          </w:p>
        </w:tc>
        <w:tc>
          <w:tcPr>
            <w:tcW w:w="0" w:type="auto"/>
            <w:hideMark/>
          </w:tcPr>
          <w:p w14:paraId="29E62CEA"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7E55DB74"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3ED0F829"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71CD2305"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65C566C2"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Negative</w:t>
            </w:r>
          </w:p>
        </w:tc>
      </w:tr>
    </w:tbl>
    <w:p w14:paraId="08544DAA" w14:textId="77777777" w:rsidR="007D6B88" w:rsidRPr="00946425" w:rsidRDefault="007D6B88" w:rsidP="00946425">
      <w:pPr>
        <w:jc w:val="both"/>
        <w:rPr>
          <w:rFonts w:ascii="Times New Roman" w:hAnsi="Times New Roman" w:cs="Times New Roman"/>
          <w:sz w:val="24"/>
          <w:szCs w:val="24"/>
          <w:lang w:val="en-US"/>
        </w:rPr>
      </w:pPr>
    </w:p>
    <w:p w14:paraId="5E12ED4D" w14:textId="77777777" w:rsidR="007D6B88" w:rsidRPr="00946425" w:rsidRDefault="007D6B88" w:rsidP="00946425">
      <w:pPr>
        <w:jc w:val="both"/>
        <w:rPr>
          <w:rFonts w:ascii="Times New Roman" w:hAnsi="Times New Roman" w:cs="Times New Roman"/>
          <w:sz w:val="24"/>
          <w:szCs w:val="24"/>
          <w:lang w:val="en-US"/>
        </w:rPr>
      </w:pPr>
    </w:p>
    <w:p w14:paraId="172DC572" w14:textId="77777777" w:rsidR="0001294A" w:rsidRPr="00946425" w:rsidRDefault="0001294A" w:rsidP="00946425">
      <w:pPr>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The efficiency ratios of BYD have been significantly enhancing in the course of the review period. Receivable days decreased to 35 in 2024 compared to 135 in 2020 and inventory days also decreased significantly. This indicates increased working capital discipline and efficient operation management with the increased growth of the company. The negative cash operating cycle shows that the supplier credit is a significant source of operations funding.</w:t>
      </w:r>
    </w:p>
    <w:p w14:paraId="7E004E7A" w14:textId="1DC12ED1" w:rsidR="007D6B88" w:rsidRPr="007D6B88" w:rsidRDefault="007D6B88" w:rsidP="00946425">
      <w:pPr>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Appendix B5. Gearing and Solvency Ratios</w:t>
      </w:r>
    </w:p>
    <w:tbl>
      <w:tblPr>
        <w:tblStyle w:val="TableGrid"/>
        <w:tblW w:w="9406" w:type="dxa"/>
        <w:tblLook w:val="04A0" w:firstRow="1" w:lastRow="0" w:firstColumn="1" w:lastColumn="0" w:noHBand="0" w:noVBand="1"/>
      </w:tblPr>
      <w:tblGrid>
        <w:gridCol w:w="4735"/>
        <w:gridCol w:w="903"/>
        <w:gridCol w:w="903"/>
        <w:gridCol w:w="903"/>
        <w:gridCol w:w="981"/>
        <w:gridCol w:w="981"/>
      </w:tblGrid>
      <w:tr w:rsidR="00946425" w:rsidRPr="007D6B88" w14:paraId="232C2C37" w14:textId="77777777" w:rsidTr="007D6B88">
        <w:trPr>
          <w:trHeight w:val="652"/>
        </w:trPr>
        <w:tc>
          <w:tcPr>
            <w:tcW w:w="0" w:type="auto"/>
            <w:hideMark/>
          </w:tcPr>
          <w:p w14:paraId="6CCF8E30"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Gearing / solvency ratio</w:t>
            </w:r>
          </w:p>
        </w:tc>
        <w:tc>
          <w:tcPr>
            <w:tcW w:w="0" w:type="auto"/>
            <w:hideMark/>
          </w:tcPr>
          <w:p w14:paraId="718EA89E"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2020</w:t>
            </w:r>
          </w:p>
        </w:tc>
        <w:tc>
          <w:tcPr>
            <w:tcW w:w="0" w:type="auto"/>
            <w:hideMark/>
          </w:tcPr>
          <w:p w14:paraId="08E7A5DF"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2021</w:t>
            </w:r>
          </w:p>
        </w:tc>
        <w:tc>
          <w:tcPr>
            <w:tcW w:w="0" w:type="auto"/>
            <w:hideMark/>
          </w:tcPr>
          <w:p w14:paraId="39D301DA"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2022</w:t>
            </w:r>
          </w:p>
        </w:tc>
        <w:tc>
          <w:tcPr>
            <w:tcW w:w="0" w:type="auto"/>
            <w:hideMark/>
          </w:tcPr>
          <w:p w14:paraId="6EFAD79E"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2023</w:t>
            </w:r>
          </w:p>
        </w:tc>
        <w:tc>
          <w:tcPr>
            <w:tcW w:w="0" w:type="auto"/>
            <w:hideMark/>
          </w:tcPr>
          <w:p w14:paraId="282EB6EB"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2024</w:t>
            </w:r>
          </w:p>
        </w:tc>
      </w:tr>
      <w:tr w:rsidR="00946425" w:rsidRPr="007D6B88" w14:paraId="6C4F8947" w14:textId="77777777" w:rsidTr="007D6B88">
        <w:trPr>
          <w:trHeight w:val="652"/>
        </w:trPr>
        <w:tc>
          <w:tcPr>
            <w:tcW w:w="0" w:type="auto"/>
            <w:hideMark/>
          </w:tcPr>
          <w:p w14:paraId="70A90176"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Gearing ratio (%)</w:t>
            </w:r>
          </w:p>
        </w:tc>
        <w:tc>
          <w:tcPr>
            <w:tcW w:w="0" w:type="auto"/>
            <w:hideMark/>
          </w:tcPr>
          <w:p w14:paraId="1EA9F0A6"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23</w:t>
            </w:r>
          </w:p>
        </w:tc>
        <w:tc>
          <w:tcPr>
            <w:tcW w:w="0" w:type="auto"/>
            <w:hideMark/>
          </w:tcPr>
          <w:p w14:paraId="7881CF9E"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7</w:t>
            </w:r>
          </w:p>
        </w:tc>
        <w:tc>
          <w:tcPr>
            <w:tcW w:w="0" w:type="auto"/>
            <w:hideMark/>
          </w:tcPr>
          <w:p w14:paraId="2706CCE5"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4</w:t>
            </w:r>
          </w:p>
        </w:tc>
        <w:tc>
          <w:tcPr>
            <w:tcW w:w="0" w:type="auto"/>
            <w:hideMark/>
          </w:tcPr>
          <w:p w14:paraId="4AEF47A1"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w:t>
            </w:r>
          </w:p>
        </w:tc>
        <w:tc>
          <w:tcPr>
            <w:tcW w:w="0" w:type="auto"/>
            <w:hideMark/>
          </w:tcPr>
          <w:p w14:paraId="589BCE8B"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2</w:t>
            </w:r>
          </w:p>
        </w:tc>
      </w:tr>
      <w:tr w:rsidR="00946425" w:rsidRPr="007D6B88" w14:paraId="17EFC7DE" w14:textId="77777777" w:rsidTr="007D6B88">
        <w:trPr>
          <w:trHeight w:val="652"/>
        </w:trPr>
        <w:tc>
          <w:tcPr>
            <w:tcW w:w="0" w:type="auto"/>
            <w:hideMark/>
          </w:tcPr>
          <w:p w14:paraId="42526061"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Interest-bearing debt (RMB billion)</w:t>
            </w:r>
          </w:p>
        </w:tc>
        <w:tc>
          <w:tcPr>
            <w:tcW w:w="0" w:type="auto"/>
            <w:hideMark/>
          </w:tcPr>
          <w:p w14:paraId="6D483F2E"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07ACAEAB"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06B5796B"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N/A</w:t>
            </w:r>
          </w:p>
        </w:tc>
        <w:tc>
          <w:tcPr>
            <w:tcW w:w="0" w:type="auto"/>
            <w:hideMark/>
          </w:tcPr>
          <w:p w14:paraId="7AFFA02F"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36.55</w:t>
            </w:r>
          </w:p>
        </w:tc>
        <w:tc>
          <w:tcPr>
            <w:tcW w:w="0" w:type="auto"/>
            <w:hideMark/>
          </w:tcPr>
          <w:p w14:paraId="3BB1329F"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28.58</w:t>
            </w:r>
          </w:p>
        </w:tc>
      </w:tr>
    </w:tbl>
    <w:p w14:paraId="3DC8041E" w14:textId="77777777" w:rsidR="007D6B88" w:rsidRPr="00946425" w:rsidRDefault="007D6B88" w:rsidP="00946425">
      <w:pPr>
        <w:jc w:val="both"/>
        <w:rPr>
          <w:rFonts w:ascii="Times New Roman" w:hAnsi="Times New Roman" w:cs="Times New Roman"/>
          <w:sz w:val="24"/>
          <w:szCs w:val="24"/>
          <w:lang w:val="en-US"/>
        </w:rPr>
      </w:pPr>
    </w:p>
    <w:p w14:paraId="785BD142" w14:textId="77777777" w:rsidR="0001294A" w:rsidRPr="00946425" w:rsidRDefault="0001294A" w:rsidP="00946425">
      <w:pPr>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The gearing ratio was low during the period and decreased strongly after 2020, indicating that BYD has not been depending on net borrowing extensively to finance its growth. The decline of the interest-bearing debt in 2024 also contributes to the perception that BYD is a highly solvent company in the long-run. This leaves the company with space to think of future financing possibilities should it be needed.</w:t>
      </w:r>
    </w:p>
    <w:p w14:paraId="1B74A9C0" w14:textId="5A39D98D" w:rsidR="007D6B88" w:rsidRPr="007D6B88" w:rsidRDefault="007D6B88" w:rsidP="00946425">
      <w:pPr>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Appendix B6. Investment Appraisal Calculations</w:t>
      </w:r>
    </w:p>
    <w:p w14:paraId="65A0F706" w14:textId="77777777" w:rsidR="007D6B88" w:rsidRPr="007D6B88" w:rsidRDefault="007D6B88" w:rsidP="00946425">
      <w:pPr>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Project inputs</w:t>
      </w:r>
    </w:p>
    <w:tbl>
      <w:tblPr>
        <w:tblStyle w:val="TableGrid"/>
        <w:tblW w:w="9538" w:type="dxa"/>
        <w:tblLook w:val="04A0" w:firstRow="1" w:lastRow="0" w:firstColumn="1" w:lastColumn="0" w:noHBand="0" w:noVBand="1"/>
      </w:tblPr>
      <w:tblGrid>
        <w:gridCol w:w="1160"/>
        <w:gridCol w:w="3103"/>
        <w:gridCol w:w="1055"/>
        <w:gridCol w:w="1055"/>
        <w:gridCol w:w="1055"/>
        <w:gridCol w:w="1055"/>
        <w:gridCol w:w="1055"/>
      </w:tblGrid>
      <w:tr w:rsidR="00946425" w:rsidRPr="007D6B88" w14:paraId="5BFE95FB" w14:textId="77777777" w:rsidTr="007D6B88">
        <w:trPr>
          <w:trHeight w:val="534"/>
        </w:trPr>
        <w:tc>
          <w:tcPr>
            <w:tcW w:w="0" w:type="auto"/>
            <w:hideMark/>
          </w:tcPr>
          <w:p w14:paraId="6B319DEF"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Project</w:t>
            </w:r>
          </w:p>
        </w:tc>
        <w:tc>
          <w:tcPr>
            <w:tcW w:w="0" w:type="auto"/>
            <w:hideMark/>
          </w:tcPr>
          <w:p w14:paraId="6984C438"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Initial investment (£m)</w:t>
            </w:r>
          </w:p>
        </w:tc>
        <w:tc>
          <w:tcPr>
            <w:tcW w:w="0" w:type="auto"/>
            <w:hideMark/>
          </w:tcPr>
          <w:p w14:paraId="256895DA"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Year 1</w:t>
            </w:r>
          </w:p>
        </w:tc>
        <w:tc>
          <w:tcPr>
            <w:tcW w:w="0" w:type="auto"/>
            <w:hideMark/>
          </w:tcPr>
          <w:p w14:paraId="38498930"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Year 2</w:t>
            </w:r>
          </w:p>
        </w:tc>
        <w:tc>
          <w:tcPr>
            <w:tcW w:w="0" w:type="auto"/>
            <w:hideMark/>
          </w:tcPr>
          <w:p w14:paraId="7820CABB"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Year 3</w:t>
            </w:r>
          </w:p>
        </w:tc>
        <w:tc>
          <w:tcPr>
            <w:tcW w:w="0" w:type="auto"/>
            <w:hideMark/>
          </w:tcPr>
          <w:p w14:paraId="1D0E4F0A"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Year 4</w:t>
            </w:r>
          </w:p>
        </w:tc>
        <w:tc>
          <w:tcPr>
            <w:tcW w:w="0" w:type="auto"/>
            <w:hideMark/>
          </w:tcPr>
          <w:p w14:paraId="48FAE3B6"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Year 5</w:t>
            </w:r>
          </w:p>
        </w:tc>
      </w:tr>
      <w:tr w:rsidR="00946425" w:rsidRPr="007D6B88" w14:paraId="01FBC137" w14:textId="77777777" w:rsidTr="007D6B88">
        <w:trPr>
          <w:trHeight w:val="534"/>
        </w:trPr>
        <w:tc>
          <w:tcPr>
            <w:tcW w:w="0" w:type="auto"/>
            <w:hideMark/>
          </w:tcPr>
          <w:p w14:paraId="50CCA85B"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A</w:t>
            </w:r>
          </w:p>
        </w:tc>
        <w:tc>
          <w:tcPr>
            <w:tcW w:w="0" w:type="auto"/>
            <w:hideMark/>
          </w:tcPr>
          <w:p w14:paraId="566393A8"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50</w:t>
            </w:r>
          </w:p>
        </w:tc>
        <w:tc>
          <w:tcPr>
            <w:tcW w:w="0" w:type="auto"/>
            <w:hideMark/>
          </w:tcPr>
          <w:p w14:paraId="452483C0"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10</w:t>
            </w:r>
          </w:p>
        </w:tc>
        <w:tc>
          <w:tcPr>
            <w:tcW w:w="0" w:type="auto"/>
            <w:hideMark/>
          </w:tcPr>
          <w:p w14:paraId="24DF2FEC"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12</w:t>
            </w:r>
          </w:p>
        </w:tc>
        <w:tc>
          <w:tcPr>
            <w:tcW w:w="0" w:type="auto"/>
            <w:hideMark/>
          </w:tcPr>
          <w:p w14:paraId="213E3C0A"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14</w:t>
            </w:r>
          </w:p>
        </w:tc>
        <w:tc>
          <w:tcPr>
            <w:tcW w:w="0" w:type="auto"/>
            <w:hideMark/>
          </w:tcPr>
          <w:p w14:paraId="6B921429"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10</w:t>
            </w:r>
          </w:p>
        </w:tc>
        <w:tc>
          <w:tcPr>
            <w:tcW w:w="0" w:type="auto"/>
            <w:hideMark/>
          </w:tcPr>
          <w:p w14:paraId="5E1C6280"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8</w:t>
            </w:r>
          </w:p>
        </w:tc>
      </w:tr>
      <w:tr w:rsidR="00946425" w:rsidRPr="007D6B88" w14:paraId="06492D7F" w14:textId="77777777" w:rsidTr="007D6B88">
        <w:trPr>
          <w:trHeight w:val="534"/>
        </w:trPr>
        <w:tc>
          <w:tcPr>
            <w:tcW w:w="0" w:type="auto"/>
            <w:hideMark/>
          </w:tcPr>
          <w:p w14:paraId="322FFFFF"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B</w:t>
            </w:r>
          </w:p>
        </w:tc>
        <w:tc>
          <w:tcPr>
            <w:tcW w:w="0" w:type="auto"/>
            <w:hideMark/>
          </w:tcPr>
          <w:p w14:paraId="767CA923"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50</w:t>
            </w:r>
          </w:p>
        </w:tc>
        <w:tc>
          <w:tcPr>
            <w:tcW w:w="0" w:type="auto"/>
            <w:hideMark/>
          </w:tcPr>
          <w:p w14:paraId="277189D8"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11</w:t>
            </w:r>
          </w:p>
        </w:tc>
        <w:tc>
          <w:tcPr>
            <w:tcW w:w="0" w:type="auto"/>
            <w:hideMark/>
          </w:tcPr>
          <w:p w14:paraId="49C1ED1F"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11</w:t>
            </w:r>
          </w:p>
        </w:tc>
        <w:tc>
          <w:tcPr>
            <w:tcW w:w="0" w:type="auto"/>
            <w:hideMark/>
          </w:tcPr>
          <w:p w14:paraId="2FB2AD4F"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11</w:t>
            </w:r>
          </w:p>
        </w:tc>
        <w:tc>
          <w:tcPr>
            <w:tcW w:w="0" w:type="auto"/>
            <w:hideMark/>
          </w:tcPr>
          <w:p w14:paraId="74AF6A84"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11</w:t>
            </w:r>
          </w:p>
        </w:tc>
        <w:tc>
          <w:tcPr>
            <w:tcW w:w="0" w:type="auto"/>
            <w:hideMark/>
          </w:tcPr>
          <w:p w14:paraId="08963A59"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11</w:t>
            </w:r>
          </w:p>
        </w:tc>
      </w:tr>
      <w:tr w:rsidR="00946425" w:rsidRPr="007D6B88" w14:paraId="4316C1E5" w14:textId="77777777" w:rsidTr="007D6B88">
        <w:trPr>
          <w:trHeight w:val="534"/>
        </w:trPr>
        <w:tc>
          <w:tcPr>
            <w:tcW w:w="0" w:type="auto"/>
            <w:hideMark/>
          </w:tcPr>
          <w:p w14:paraId="4063075A"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C</w:t>
            </w:r>
          </w:p>
        </w:tc>
        <w:tc>
          <w:tcPr>
            <w:tcW w:w="0" w:type="auto"/>
            <w:hideMark/>
          </w:tcPr>
          <w:p w14:paraId="321DD399"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50</w:t>
            </w:r>
          </w:p>
        </w:tc>
        <w:tc>
          <w:tcPr>
            <w:tcW w:w="0" w:type="auto"/>
            <w:hideMark/>
          </w:tcPr>
          <w:p w14:paraId="3D4B6E7F"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5</w:t>
            </w:r>
          </w:p>
        </w:tc>
        <w:tc>
          <w:tcPr>
            <w:tcW w:w="0" w:type="auto"/>
            <w:hideMark/>
          </w:tcPr>
          <w:p w14:paraId="11DAD6C8"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10</w:t>
            </w:r>
          </w:p>
        </w:tc>
        <w:tc>
          <w:tcPr>
            <w:tcW w:w="0" w:type="auto"/>
            <w:hideMark/>
          </w:tcPr>
          <w:p w14:paraId="136E6590"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20</w:t>
            </w:r>
          </w:p>
        </w:tc>
        <w:tc>
          <w:tcPr>
            <w:tcW w:w="0" w:type="auto"/>
            <w:hideMark/>
          </w:tcPr>
          <w:p w14:paraId="0D3B13EA"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25</w:t>
            </w:r>
          </w:p>
        </w:tc>
        <w:tc>
          <w:tcPr>
            <w:tcW w:w="0" w:type="auto"/>
            <w:hideMark/>
          </w:tcPr>
          <w:p w14:paraId="2E77C03D"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5</w:t>
            </w:r>
          </w:p>
        </w:tc>
      </w:tr>
    </w:tbl>
    <w:p w14:paraId="5B1950F2" w14:textId="77777777" w:rsidR="007D6B88" w:rsidRPr="007D6B88" w:rsidRDefault="007D6B88" w:rsidP="00946425">
      <w:pPr>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The assignment specifies a 10% discount rate and straight-line depreciation to zero over five years.</w:t>
      </w:r>
    </w:p>
    <w:p w14:paraId="75433D2F" w14:textId="77777777" w:rsidR="007D6B88" w:rsidRPr="007D6B88" w:rsidRDefault="007D6B88" w:rsidP="00946425">
      <w:pPr>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Investment results</w:t>
      </w:r>
    </w:p>
    <w:tbl>
      <w:tblPr>
        <w:tblStyle w:val="TableGrid"/>
        <w:tblW w:w="9559" w:type="dxa"/>
        <w:tblLook w:val="04A0" w:firstRow="1" w:lastRow="0" w:firstColumn="1" w:lastColumn="0" w:noHBand="0" w:noVBand="1"/>
      </w:tblPr>
      <w:tblGrid>
        <w:gridCol w:w="3886"/>
        <w:gridCol w:w="1884"/>
        <w:gridCol w:w="1884"/>
        <w:gridCol w:w="1905"/>
      </w:tblGrid>
      <w:tr w:rsidR="00946425" w:rsidRPr="007D6B88" w14:paraId="1E9EE369" w14:textId="77777777" w:rsidTr="007D6B88">
        <w:trPr>
          <w:trHeight w:val="466"/>
        </w:trPr>
        <w:tc>
          <w:tcPr>
            <w:tcW w:w="0" w:type="auto"/>
            <w:hideMark/>
          </w:tcPr>
          <w:p w14:paraId="2F8F3C25"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Measure</w:t>
            </w:r>
          </w:p>
        </w:tc>
        <w:tc>
          <w:tcPr>
            <w:tcW w:w="0" w:type="auto"/>
            <w:hideMark/>
          </w:tcPr>
          <w:p w14:paraId="25032BE3"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Project A</w:t>
            </w:r>
          </w:p>
        </w:tc>
        <w:tc>
          <w:tcPr>
            <w:tcW w:w="0" w:type="auto"/>
            <w:hideMark/>
          </w:tcPr>
          <w:p w14:paraId="05B77225"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Project B</w:t>
            </w:r>
          </w:p>
        </w:tc>
        <w:tc>
          <w:tcPr>
            <w:tcW w:w="0" w:type="auto"/>
            <w:hideMark/>
          </w:tcPr>
          <w:p w14:paraId="69A29E46"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Project C</w:t>
            </w:r>
          </w:p>
        </w:tc>
      </w:tr>
      <w:tr w:rsidR="00946425" w:rsidRPr="007D6B88" w14:paraId="6688E143" w14:textId="77777777" w:rsidTr="007D6B88">
        <w:trPr>
          <w:trHeight w:val="466"/>
        </w:trPr>
        <w:tc>
          <w:tcPr>
            <w:tcW w:w="0" w:type="auto"/>
            <w:hideMark/>
          </w:tcPr>
          <w:p w14:paraId="5086EFE9"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Payback period (years)</w:t>
            </w:r>
          </w:p>
        </w:tc>
        <w:tc>
          <w:tcPr>
            <w:tcW w:w="0" w:type="auto"/>
            <w:hideMark/>
          </w:tcPr>
          <w:p w14:paraId="63AEA365"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4.50</w:t>
            </w:r>
          </w:p>
        </w:tc>
        <w:tc>
          <w:tcPr>
            <w:tcW w:w="0" w:type="auto"/>
            <w:hideMark/>
          </w:tcPr>
          <w:p w14:paraId="3DBF4D28"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4.55</w:t>
            </w:r>
          </w:p>
        </w:tc>
        <w:tc>
          <w:tcPr>
            <w:tcW w:w="0" w:type="auto"/>
            <w:hideMark/>
          </w:tcPr>
          <w:p w14:paraId="6EFFCDD9"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3.60</w:t>
            </w:r>
          </w:p>
        </w:tc>
      </w:tr>
      <w:tr w:rsidR="00946425" w:rsidRPr="007D6B88" w14:paraId="45183AA2" w14:textId="77777777" w:rsidTr="007D6B88">
        <w:trPr>
          <w:trHeight w:val="466"/>
        </w:trPr>
        <w:tc>
          <w:tcPr>
            <w:tcW w:w="0" w:type="auto"/>
            <w:hideMark/>
          </w:tcPr>
          <w:p w14:paraId="2C36A2AE"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ARR (%)</w:t>
            </w:r>
          </w:p>
        </w:tc>
        <w:tc>
          <w:tcPr>
            <w:tcW w:w="0" w:type="auto"/>
            <w:hideMark/>
          </w:tcPr>
          <w:p w14:paraId="470BB0CC"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1.6</w:t>
            </w:r>
          </w:p>
        </w:tc>
        <w:tc>
          <w:tcPr>
            <w:tcW w:w="0" w:type="auto"/>
            <w:hideMark/>
          </w:tcPr>
          <w:p w14:paraId="268A55CE"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2.0</w:t>
            </w:r>
          </w:p>
        </w:tc>
        <w:tc>
          <w:tcPr>
            <w:tcW w:w="0" w:type="auto"/>
            <w:hideMark/>
          </w:tcPr>
          <w:p w14:paraId="240A958E"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6.0</w:t>
            </w:r>
          </w:p>
        </w:tc>
      </w:tr>
      <w:tr w:rsidR="00946425" w:rsidRPr="007D6B88" w14:paraId="0F2451A6" w14:textId="77777777" w:rsidTr="007D6B88">
        <w:trPr>
          <w:trHeight w:val="466"/>
        </w:trPr>
        <w:tc>
          <w:tcPr>
            <w:tcW w:w="0" w:type="auto"/>
            <w:hideMark/>
          </w:tcPr>
          <w:p w14:paraId="4D8E2EB8"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lastRenderedPageBreak/>
              <w:t>NPV at 10% (£m)</w:t>
            </w:r>
          </w:p>
        </w:tc>
        <w:tc>
          <w:tcPr>
            <w:tcW w:w="0" w:type="auto"/>
            <w:hideMark/>
          </w:tcPr>
          <w:p w14:paraId="62A328D3"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-8.68</w:t>
            </w:r>
          </w:p>
        </w:tc>
        <w:tc>
          <w:tcPr>
            <w:tcW w:w="0" w:type="auto"/>
            <w:hideMark/>
          </w:tcPr>
          <w:p w14:paraId="28621AA5"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-8.30</w:t>
            </w:r>
          </w:p>
        </w:tc>
        <w:tc>
          <w:tcPr>
            <w:tcW w:w="0" w:type="auto"/>
            <w:hideMark/>
          </w:tcPr>
          <w:p w14:paraId="56A4E64F"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-1.98</w:t>
            </w:r>
          </w:p>
        </w:tc>
      </w:tr>
      <w:tr w:rsidR="00946425" w:rsidRPr="007D6B88" w14:paraId="297FD7E8" w14:textId="77777777" w:rsidTr="007D6B88">
        <w:trPr>
          <w:trHeight w:val="466"/>
        </w:trPr>
        <w:tc>
          <w:tcPr>
            <w:tcW w:w="0" w:type="auto"/>
            <w:hideMark/>
          </w:tcPr>
          <w:p w14:paraId="7F5D04D3"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PI</w:t>
            </w:r>
          </w:p>
        </w:tc>
        <w:tc>
          <w:tcPr>
            <w:tcW w:w="0" w:type="auto"/>
            <w:hideMark/>
          </w:tcPr>
          <w:p w14:paraId="2E8F0359"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0.83</w:t>
            </w:r>
          </w:p>
        </w:tc>
        <w:tc>
          <w:tcPr>
            <w:tcW w:w="0" w:type="auto"/>
            <w:hideMark/>
          </w:tcPr>
          <w:p w14:paraId="3F802800"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0.83</w:t>
            </w:r>
          </w:p>
        </w:tc>
        <w:tc>
          <w:tcPr>
            <w:tcW w:w="0" w:type="auto"/>
            <w:hideMark/>
          </w:tcPr>
          <w:p w14:paraId="328B6A75"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0.96</w:t>
            </w:r>
          </w:p>
        </w:tc>
      </w:tr>
    </w:tbl>
    <w:p w14:paraId="0EDD57D7" w14:textId="77777777" w:rsidR="0001294A" w:rsidRPr="00946425" w:rsidRDefault="0001294A" w:rsidP="00946425">
      <w:pPr>
        <w:jc w:val="both"/>
        <w:rPr>
          <w:rFonts w:ascii="Times New Roman" w:hAnsi="Times New Roman" w:cs="Times New Roman"/>
          <w:sz w:val="24"/>
          <w:szCs w:val="24"/>
          <w:lang w:val="en-US"/>
        </w:rPr>
      </w:pPr>
    </w:p>
    <w:p w14:paraId="727703E8" w14:textId="77777777" w:rsidR="00EF3A84" w:rsidRPr="00946425" w:rsidRDefault="00EF3A84" w:rsidP="00946425">
      <w:pPr>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These analyses indicate that Project C works most effectively in all significant appraisal measures. It has quickest payback, maximum ARR, maximum PI and minimum negative NPV. Though there is no project with a positive NPV, Project C is the most viable in case one of the projects has to be chosen due to strategic reasons.</w:t>
      </w:r>
    </w:p>
    <w:p w14:paraId="6AD3241D" w14:textId="080CE9EE" w:rsidR="007D6B88" w:rsidRPr="007D6B88" w:rsidRDefault="007D6B88" w:rsidP="00946425">
      <w:pPr>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Appendix B7. Capital Rationing Calculation</w:t>
      </w:r>
    </w:p>
    <w:tbl>
      <w:tblPr>
        <w:tblStyle w:val="TableGrid"/>
        <w:tblW w:w="9242" w:type="dxa"/>
        <w:tblLook w:val="04A0" w:firstRow="1" w:lastRow="0" w:firstColumn="1" w:lastColumn="0" w:noHBand="0" w:noVBand="1"/>
      </w:tblPr>
      <w:tblGrid>
        <w:gridCol w:w="2259"/>
        <w:gridCol w:w="3556"/>
        <w:gridCol w:w="3427"/>
      </w:tblGrid>
      <w:tr w:rsidR="00946425" w:rsidRPr="007D6B88" w14:paraId="71A80EFA" w14:textId="77777777" w:rsidTr="007D6B88">
        <w:trPr>
          <w:trHeight w:val="435"/>
        </w:trPr>
        <w:tc>
          <w:tcPr>
            <w:tcW w:w="0" w:type="auto"/>
            <w:hideMark/>
          </w:tcPr>
          <w:p w14:paraId="411D6FA9"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Combination</w:t>
            </w:r>
          </w:p>
        </w:tc>
        <w:tc>
          <w:tcPr>
            <w:tcW w:w="0" w:type="auto"/>
            <w:hideMark/>
          </w:tcPr>
          <w:p w14:paraId="21517B71"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Total investment (£m)</w:t>
            </w:r>
          </w:p>
        </w:tc>
        <w:tc>
          <w:tcPr>
            <w:tcW w:w="0" w:type="auto"/>
            <w:hideMark/>
          </w:tcPr>
          <w:p w14:paraId="4DF957BF" w14:textId="77777777" w:rsidR="007D6B88" w:rsidRPr="007D6B88" w:rsidRDefault="007D6B88" w:rsidP="00946425">
            <w:pPr>
              <w:spacing w:after="160" w:line="259" w:lineRule="auto"/>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Combined NPV (£m)</w:t>
            </w:r>
          </w:p>
        </w:tc>
      </w:tr>
      <w:tr w:rsidR="00946425" w:rsidRPr="007D6B88" w14:paraId="4EF54438" w14:textId="77777777" w:rsidTr="007D6B88">
        <w:trPr>
          <w:trHeight w:val="435"/>
        </w:trPr>
        <w:tc>
          <w:tcPr>
            <w:tcW w:w="0" w:type="auto"/>
            <w:hideMark/>
          </w:tcPr>
          <w:p w14:paraId="57538FCB"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A + B</w:t>
            </w:r>
          </w:p>
        </w:tc>
        <w:tc>
          <w:tcPr>
            <w:tcW w:w="0" w:type="auto"/>
            <w:hideMark/>
          </w:tcPr>
          <w:p w14:paraId="3BC04C11"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100</w:t>
            </w:r>
          </w:p>
        </w:tc>
        <w:tc>
          <w:tcPr>
            <w:tcW w:w="0" w:type="auto"/>
            <w:hideMark/>
          </w:tcPr>
          <w:p w14:paraId="5B33028A"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-16.98</w:t>
            </w:r>
          </w:p>
        </w:tc>
      </w:tr>
      <w:tr w:rsidR="00946425" w:rsidRPr="007D6B88" w14:paraId="1E93970E" w14:textId="77777777" w:rsidTr="007D6B88">
        <w:trPr>
          <w:trHeight w:val="435"/>
        </w:trPr>
        <w:tc>
          <w:tcPr>
            <w:tcW w:w="0" w:type="auto"/>
            <w:hideMark/>
          </w:tcPr>
          <w:p w14:paraId="3246FB40"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A + C</w:t>
            </w:r>
          </w:p>
        </w:tc>
        <w:tc>
          <w:tcPr>
            <w:tcW w:w="0" w:type="auto"/>
            <w:hideMark/>
          </w:tcPr>
          <w:p w14:paraId="68219718"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100</w:t>
            </w:r>
          </w:p>
        </w:tc>
        <w:tc>
          <w:tcPr>
            <w:tcW w:w="0" w:type="auto"/>
            <w:hideMark/>
          </w:tcPr>
          <w:p w14:paraId="6BAE738B"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-10.66</w:t>
            </w:r>
          </w:p>
        </w:tc>
      </w:tr>
      <w:tr w:rsidR="00946425" w:rsidRPr="007D6B88" w14:paraId="7AB39828" w14:textId="77777777" w:rsidTr="007D6B88">
        <w:trPr>
          <w:trHeight w:val="435"/>
        </w:trPr>
        <w:tc>
          <w:tcPr>
            <w:tcW w:w="0" w:type="auto"/>
            <w:hideMark/>
          </w:tcPr>
          <w:p w14:paraId="1F16BBCB"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B + C</w:t>
            </w:r>
          </w:p>
        </w:tc>
        <w:tc>
          <w:tcPr>
            <w:tcW w:w="0" w:type="auto"/>
            <w:hideMark/>
          </w:tcPr>
          <w:p w14:paraId="462F2E11"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100</w:t>
            </w:r>
          </w:p>
        </w:tc>
        <w:tc>
          <w:tcPr>
            <w:tcW w:w="0" w:type="auto"/>
            <w:hideMark/>
          </w:tcPr>
          <w:p w14:paraId="1B071B6B" w14:textId="77777777" w:rsidR="007D6B88" w:rsidRPr="007D6B88" w:rsidRDefault="007D6B88" w:rsidP="00946425">
            <w:pPr>
              <w:spacing w:after="160" w:line="259" w:lineRule="auto"/>
              <w:jc w:val="both"/>
              <w:rPr>
                <w:rFonts w:ascii="Times New Roman" w:hAnsi="Times New Roman" w:cs="Times New Roman"/>
                <w:sz w:val="24"/>
                <w:szCs w:val="24"/>
                <w:lang w:val="en-US"/>
              </w:rPr>
            </w:pPr>
            <w:r w:rsidRPr="007D6B88">
              <w:rPr>
                <w:rFonts w:ascii="Times New Roman" w:hAnsi="Times New Roman" w:cs="Times New Roman"/>
                <w:sz w:val="24"/>
                <w:szCs w:val="24"/>
                <w:lang w:val="en-US"/>
              </w:rPr>
              <w:t>-10.28</w:t>
            </w:r>
          </w:p>
        </w:tc>
      </w:tr>
    </w:tbl>
    <w:p w14:paraId="5FAB43B7" w14:textId="77777777" w:rsidR="007D6B88" w:rsidRPr="00946425" w:rsidRDefault="007D6B88" w:rsidP="00946425">
      <w:pPr>
        <w:jc w:val="both"/>
        <w:rPr>
          <w:rFonts w:ascii="Times New Roman" w:hAnsi="Times New Roman" w:cs="Times New Roman"/>
          <w:sz w:val="24"/>
          <w:szCs w:val="24"/>
          <w:lang w:val="en-US"/>
        </w:rPr>
      </w:pPr>
    </w:p>
    <w:p w14:paraId="77CD85FF" w14:textId="77777777" w:rsidR="00EF3A84" w:rsidRPr="00946425" w:rsidRDefault="00EF3A84" w:rsidP="00946425">
      <w:pPr>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Projects B and C are the best mix to use under a total investment limit of 100 million pounds since this combination has the least negative aggregate NPV and hence the least loss of shareholder value as compared to the others.</w:t>
      </w:r>
    </w:p>
    <w:p w14:paraId="181D6622" w14:textId="1933EB10" w:rsidR="007D6B88" w:rsidRPr="007D6B88" w:rsidRDefault="007D6B88" w:rsidP="00946425">
      <w:pPr>
        <w:jc w:val="both"/>
        <w:rPr>
          <w:rFonts w:ascii="Times New Roman" w:hAnsi="Times New Roman" w:cs="Times New Roman"/>
          <w:b/>
          <w:bCs/>
          <w:sz w:val="24"/>
          <w:szCs w:val="24"/>
          <w:lang w:val="en-US"/>
        </w:rPr>
      </w:pPr>
      <w:r w:rsidRPr="007D6B88">
        <w:rPr>
          <w:rFonts w:ascii="Times New Roman" w:hAnsi="Times New Roman" w:cs="Times New Roman"/>
          <w:b/>
          <w:bCs/>
          <w:sz w:val="24"/>
          <w:szCs w:val="24"/>
          <w:lang w:val="en-US"/>
        </w:rPr>
        <w:t>Appendix B8. Overall Interpretation</w:t>
      </w:r>
    </w:p>
    <w:p w14:paraId="31E7B854" w14:textId="49881B1B" w:rsidR="007D6B88" w:rsidRPr="00946425" w:rsidRDefault="00EF3A84" w:rsidP="00946425">
      <w:pPr>
        <w:jc w:val="both"/>
        <w:rPr>
          <w:rFonts w:ascii="Times New Roman" w:hAnsi="Times New Roman" w:cs="Times New Roman"/>
          <w:sz w:val="24"/>
          <w:szCs w:val="24"/>
        </w:rPr>
      </w:pPr>
      <w:r w:rsidRPr="00946425">
        <w:rPr>
          <w:rFonts w:ascii="Times New Roman" w:hAnsi="Times New Roman" w:cs="Times New Roman"/>
          <w:sz w:val="24"/>
          <w:szCs w:val="24"/>
          <w:lang w:val="en-US"/>
        </w:rPr>
        <w:t xml:space="preserve">The calculations of the ratios prove that the financial position of BYD is the </w:t>
      </w:r>
      <w:proofErr w:type="gramStart"/>
      <w:r w:rsidRPr="00946425">
        <w:rPr>
          <w:rFonts w:ascii="Times New Roman" w:hAnsi="Times New Roman" w:cs="Times New Roman"/>
          <w:sz w:val="24"/>
          <w:szCs w:val="24"/>
          <w:lang w:val="en-US"/>
        </w:rPr>
        <w:t>most strong</w:t>
      </w:r>
      <w:proofErr w:type="gramEnd"/>
      <w:r w:rsidRPr="00946425">
        <w:rPr>
          <w:rFonts w:ascii="Times New Roman" w:hAnsi="Times New Roman" w:cs="Times New Roman"/>
          <w:sz w:val="24"/>
          <w:szCs w:val="24"/>
          <w:lang w:val="en-US"/>
        </w:rPr>
        <w:t xml:space="preserve"> in terms of profitability, efficiency, cash generation and solvency, and the situation with short-term liquidity is the most important aspect that should be managed. This is also reflected in the investment appraisal calculations that Project C is the most appealing single project and that the best capital-rationed combination is B+C. These calculations are thus in support of the recommendations of the main report.</w:t>
      </w:r>
    </w:p>
    <w:p w14:paraId="364AACCE" w14:textId="77777777" w:rsidR="00063A0E" w:rsidRPr="00946425" w:rsidRDefault="00063A0E" w:rsidP="00946425">
      <w:pPr>
        <w:jc w:val="both"/>
        <w:rPr>
          <w:rFonts w:ascii="Times New Roman" w:hAnsi="Times New Roman" w:cs="Times New Roman"/>
          <w:sz w:val="24"/>
          <w:szCs w:val="24"/>
        </w:rPr>
      </w:pPr>
    </w:p>
    <w:p w14:paraId="05806D08" w14:textId="77777777" w:rsidR="00063A0E" w:rsidRPr="00946425" w:rsidRDefault="00063A0E" w:rsidP="00946425">
      <w:pPr>
        <w:pStyle w:val="Heading2"/>
        <w:jc w:val="both"/>
        <w:rPr>
          <w:rFonts w:ascii="Times New Roman" w:hAnsi="Times New Roman" w:cs="Times New Roman"/>
          <w:b/>
          <w:bCs/>
          <w:color w:val="auto"/>
          <w:sz w:val="24"/>
          <w:szCs w:val="24"/>
          <w:lang w:val="en-US"/>
        </w:rPr>
      </w:pPr>
      <w:bookmarkStart w:id="41" w:name="_Toc227884478"/>
      <w:r w:rsidRPr="00946425">
        <w:rPr>
          <w:rFonts w:ascii="Times New Roman" w:hAnsi="Times New Roman" w:cs="Times New Roman"/>
          <w:b/>
          <w:bCs/>
          <w:color w:val="auto"/>
          <w:sz w:val="24"/>
          <w:szCs w:val="24"/>
          <w:lang w:val="en-US"/>
        </w:rPr>
        <w:t>Appendix C: Graphs and Charts</w:t>
      </w:r>
      <w:bookmarkEnd w:id="41"/>
    </w:p>
    <w:p w14:paraId="714177D7" w14:textId="77777777" w:rsidR="00EF3A84" w:rsidRPr="00946425" w:rsidRDefault="00EF3A84" w:rsidP="00946425">
      <w:pPr>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In this appendix, the main graphs and charts that will be used to demonstrate the trends in the financial performance of BYD in the past five years and the results of the investment appraisal results, as will be discussed in the main report, will be provided. The figures ought to be created in the Excel and put in the final Word document with clear titles, labels and source references. The following charts have a brief interpretation to show how each chart fits in the financial analysis.</w:t>
      </w:r>
    </w:p>
    <w:p w14:paraId="45B60443" w14:textId="66980695" w:rsidR="00063A0E" w:rsidRPr="00063A0E" w:rsidRDefault="00063A0E" w:rsidP="00946425">
      <w:pPr>
        <w:jc w:val="both"/>
        <w:rPr>
          <w:rFonts w:ascii="Times New Roman" w:hAnsi="Times New Roman" w:cs="Times New Roman"/>
          <w:sz w:val="24"/>
          <w:szCs w:val="24"/>
          <w:lang w:val="en-US"/>
        </w:rPr>
      </w:pPr>
      <w:r w:rsidRPr="00946425">
        <w:rPr>
          <w:rFonts w:ascii="Times New Roman" w:hAnsi="Times New Roman" w:cs="Times New Roman"/>
          <w:noProof/>
          <w:sz w:val="24"/>
          <w:szCs w:val="24"/>
        </w:rPr>
        <w:lastRenderedPageBreak/>
        <w:drawing>
          <wp:inline distT="0" distB="0" distL="0" distR="0" wp14:anchorId="0FB85410" wp14:editId="21DC94F1">
            <wp:extent cx="5943600" cy="4457700"/>
            <wp:effectExtent l="19050" t="19050" r="19050" b="19050"/>
            <wp:docPr id="1971471996" name="Picture 1" descr="Line chart showing BYD revenue trend from 2020 to 2024 in RMB bill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Line chart showing BYD revenue trend from 2020 to 2024 in RMB bill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w="19050">
                      <a:solidFill>
                        <a:schemeClr val="tx1"/>
                      </a:solidFill>
                    </a:ln>
                  </pic:spPr>
                </pic:pic>
              </a:graphicData>
            </a:graphic>
          </wp:inline>
        </w:drawing>
      </w:r>
    </w:p>
    <w:p w14:paraId="76C84B2E" w14:textId="77777777" w:rsidR="00063A0E" w:rsidRPr="00946425" w:rsidRDefault="00063A0E" w:rsidP="00946425">
      <w:pPr>
        <w:jc w:val="both"/>
        <w:rPr>
          <w:rFonts w:ascii="Times New Roman" w:hAnsi="Times New Roman" w:cs="Times New Roman"/>
          <w:b/>
          <w:bCs/>
          <w:sz w:val="24"/>
          <w:szCs w:val="24"/>
          <w:lang w:val="en-US"/>
        </w:rPr>
      </w:pPr>
      <w:r w:rsidRPr="00063A0E">
        <w:rPr>
          <w:rFonts w:ascii="Times New Roman" w:hAnsi="Times New Roman" w:cs="Times New Roman"/>
          <w:b/>
          <w:bCs/>
          <w:sz w:val="24"/>
          <w:szCs w:val="24"/>
          <w:lang w:val="en-US"/>
        </w:rPr>
        <w:t>Figure C1. BYD Revenue Trend, 2020–2024</w:t>
      </w:r>
    </w:p>
    <w:p w14:paraId="7CBDA5EE" w14:textId="77777777" w:rsidR="00063A0E" w:rsidRPr="00063A0E" w:rsidRDefault="00063A0E" w:rsidP="00946425">
      <w:pPr>
        <w:jc w:val="both"/>
        <w:rPr>
          <w:rFonts w:ascii="Times New Roman" w:hAnsi="Times New Roman" w:cs="Times New Roman"/>
          <w:b/>
          <w:bCs/>
          <w:sz w:val="24"/>
          <w:szCs w:val="24"/>
          <w:lang w:val="en-US"/>
        </w:rPr>
      </w:pPr>
    </w:p>
    <w:p w14:paraId="645E182B" w14:textId="1BE4B7A0" w:rsidR="00063A0E" w:rsidRPr="00063A0E" w:rsidRDefault="00063A0E" w:rsidP="00946425">
      <w:pPr>
        <w:jc w:val="both"/>
        <w:rPr>
          <w:rFonts w:ascii="Times New Roman" w:hAnsi="Times New Roman" w:cs="Times New Roman"/>
          <w:sz w:val="24"/>
          <w:szCs w:val="24"/>
          <w:lang w:val="en-US"/>
        </w:rPr>
      </w:pPr>
      <w:r w:rsidRPr="00063A0E">
        <w:rPr>
          <w:rFonts w:ascii="Times New Roman" w:hAnsi="Times New Roman" w:cs="Times New Roman"/>
          <w:b/>
          <w:bCs/>
          <w:sz w:val="24"/>
          <w:szCs w:val="24"/>
          <w:lang w:val="en-US"/>
        </w:rPr>
        <w:t>Interpretation:</w:t>
      </w:r>
      <w:r w:rsidRPr="00063A0E">
        <w:rPr>
          <w:rFonts w:ascii="Times New Roman" w:hAnsi="Times New Roman" w:cs="Times New Roman"/>
          <w:sz w:val="24"/>
          <w:szCs w:val="24"/>
          <w:lang w:val="en-US"/>
        </w:rPr>
        <w:br/>
      </w:r>
      <w:r w:rsidR="00EF3A84" w:rsidRPr="00946425">
        <w:rPr>
          <w:rFonts w:ascii="Times New Roman" w:hAnsi="Times New Roman" w:cs="Times New Roman"/>
          <w:sz w:val="24"/>
          <w:szCs w:val="24"/>
          <w:lang w:val="en-US"/>
        </w:rPr>
        <w:t>According to this chart, the trend in upward revenue has been very high in the five-year period indicating that BYD has grown at a very high rate in scale and market coverage. The steep rise since 2021 indicates a rising pace of demand in the new energy vehicle market and the growing competitiveness of BYD.</w:t>
      </w:r>
    </w:p>
    <w:p w14:paraId="7E1A7DAC" w14:textId="4498C63C" w:rsidR="00063A0E" w:rsidRPr="00063A0E" w:rsidRDefault="006B3BC0" w:rsidP="00946425">
      <w:pPr>
        <w:jc w:val="both"/>
        <w:rPr>
          <w:rFonts w:ascii="Times New Roman" w:hAnsi="Times New Roman" w:cs="Times New Roman"/>
          <w:sz w:val="24"/>
          <w:szCs w:val="24"/>
          <w:lang w:val="en-US"/>
        </w:rPr>
      </w:pPr>
      <w:r w:rsidRPr="00946425">
        <w:rPr>
          <w:rFonts w:ascii="Times New Roman" w:hAnsi="Times New Roman" w:cs="Times New Roman"/>
          <w:noProof/>
          <w:sz w:val="24"/>
          <w:szCs w:val="24"/>
        </w:rPr>
        <w:lastRenderedPageBreak/>
        <w:drawing>
          <wp:inline distT="0" distB="0" distL="0" distR="0" wp14:anchorId="64F5AFFD" wp14:editId="21443E78">
            <wp:extent cx="5943600" cy="4457700"/>
            <wp:effectExtent l="19050" t="19050" r="19050" b="19050"/>
            <wp:docPr id="434684297" name="Picture 2" descr="Column chart showing BYD profit attributable to shareholders from 2020 to 2024 in RMB bill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Column chart showing BYD profit attributable to shareholders from 2020 to 2024 in RMB bill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w="19050">
                      <a:solidFill>
                        <a:schemeClr val="tx1"/>
                      </a:solidFill>
                    </a:ln>
                  </pic:spPr>
                </pic:pic>
              </a:graphicData>
            </a:graphic>
          </wp:inline>
        </w:drawing>
      </w:r>
    </w:p>
    <w:p w14:paraId="59541CA7" w14:textId="77777777" w:rsidR="00063A0E" w:rsidRPr="00063A0E" w:rsidRDefault="00063A0E" w:rsidP="00946425">
      <w:pPr>
        <w:jc w:val="both"/>
        <w:rPr>
          <w:rFonts w:ascii="Times New Roman" w:hAnsi="Times New Roman" w:cs="Times New Roman"/>
          <w:b/>
          <w:bCs/>
          <w:sz w:val="24"/>
          <w:szCs w:val="24"/>
          <w:lang w:val="en-US"/>
        </w:rPr>
      </w:pPr>
      <w:r w:rsidRPr="00063A0E">
        <w:rPr>
          <w:rFonts w:ascii="Times New Roman" w:hAnsi="Times New Roman" w:cs="Times New Roman"/>
          <w:b/>
          <w:bCs/>
          <w:sz w:val="24"/>
          <w:szCs w:val="24"/>
          <w:lang w:val="en-US"/>
        </w:rPr>
        <w:t>Figure C2. BYD Profit Attributable to Shareholders, 2020–2024</w:t>
      </w:r>
    </w:p>
    <w:p w14:paraId="2214E26C" w14:textId="7691D74E" w:rsidR="00063A0E" w:rsidRPr="00063A0E" w:rsidRDefault="00063A0E" w:rsidP="00946425">
      <w:pPr>
        <w:jc w:val="both"/>
        <w:rPr>
          <w:rFonts w:ascii="Times New Roman" w:hAnsi="Times New Roman" w:cs="Times New Roman"/>
          <w:sz w:val="24"/>
          <w:szCs w:val="24"/>
          <w:lang w:val="en-US"/>
        </w:rPr>
      </w:pPr>
      <w:r w:rsidRPr="00063A0E">
        <w:rPr>
          <w:rFonts w:ascii="Times New Roman" w:hAnsi="Times New Roman" w:cs="Times New Roman"/>
          <w:b/>
          <w:bCs/>
          <w:sz w:val="24"/>
          <w:szCs w:val="24"/>
          <w:lang w:val="en-US"/>
        </w:rPr>
        <w:t>Interpretation:</w:t>
      </w:r>
      <w:r w:rsidRPr="00063A0E">
        <w:rPr>
          <w:rFonts w:ascii="Times New Roman" w:hAnsi="Times New Roman" w:cs="Times New Roman"/>
          <w:sz w:val="24"/>
          <w:szCs w:val="24"/>
          <w:lang w:val="en-US"/>
        </w:rPr>
        <w:br/>
      </w:r>
      <w:r w:rsidR="00EF3A84" w:rsidRPr="00946425">
        <w:rPr>
          <w:rFonts w:ascii="Times New Roman" w:hAnsi="Times New Roman" w:cs="Times New Roman"/>
          <w:sz w:val="24"/>
          <w:szCs w:val="24"/>
          <w:lang w:val="en-US"/>
        </w:rPr>
        <w:t>This chart shows that the bottom-line performance of BYD has greatly improved since 2021. The rate of increase in profits was significantly higher than in the initial years of the period, which indicates better margins, scale effects and lower costs.</w:t>
      </w:r>
    </w:p>
    <w:p w14:paraId="09BF404D" w14:textId="226E417D" w:rsidR="00063A0E" w:rsidRPr="00946425" w:rsidRDefault="00063A0E" w:rsidP="00946425">
      <w:pPr>
        <w:jc w:val="both"/>
        <w:rPr>
          <w:rFonts w:ascii="Times New Roman" w:hAnsi="Times New Roman" w:cs="Times New Roman"/>
          <w:sz w:val="24"/>
          <w:szCs w:val="24"/>
          <w:lang w:val="en-US"/>
        </w:rPr>
      </w:pPr>
    </w:p>
    <w:p w14:paraId="0BF8A33D" w14:textId="5838A26F" w:rsidR="006B3BC0" w:rsidRPr="00063A0E" w:rsidRDefault="006B3BC0" w:rsidP="00946425">
      <w:pPr>
        <w:jc w:val="both"/>
        <w:rPr>
          <w:rFonts w:ascii="Times New Roman" w:hAnsi="Times New Roman" w:cs="Times New Roman"/>
          <w:sz w:val="24"/>
          <w:szCs w:val="24"/>
          <w:lang w:val="en-US"/>
        </w:rPr>
      </w:pPr>
      <w:r w:rsidRPr="00946425">
        <w:rPr>
          <w:rFonts w:ascii="Times New Roman" w:hAnsi="Times New Roman" w:cs="Times New Roman"/>
          <w:noProof/>
          <w:sz w:val="24"/>
          <w:szCs w:val="24"/>
        </w:rPr>
        <w:lastRenderedPageBreak/>
        <w:drawing>
          <wp:inline distT="0" distB="0" distL="0" distR="0" wp14:anchorId="7B0117CC" wp14:editId="2134182F">
            <wp:extent cx="5943600" cy="4437380"/>
            <wp:effectExtent l="19050" t="19050" r="19050" b="20320"/>
            <wp:docPr id="1655194545" name="Picture 3" descr="Dual-line chart showing BYD gross and net profit margins from 2021 to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Dual-line chart showing BYD gross and net profit margins from 2021 to 202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437380"/>
                    </a:xfrm>
                    <a:prstGeom prst="rect">
                      <a:avLst/>
                    </a:prstGeom>
                    <a:noFill/>
                    <a:ln w="19050">
                      <a:solidFill>
                        <a:schemeClr val="tx1"/>
                      </a:solidFill>
                    </a:ln>
                  </pic:spPr>
                </pic:pic>
              </a:graphicData>
            </a:graphic>
          </wp:inline>
        </w:drawing>
      </w:r>
    </w:p>
    <w:p w14:paraId="091280D3" w14:textId="77777777" w:rsidR="00063A0E" w:rsidRPr="00063A0E" w:rsidRDefault="00063A0E" w:rsidP="00946425">
      <w:pPr>
        <w:jc w:val="both"/>
        <w:rPr>
          <w:rFonts w:ascii="Times New Roman" w:hAnsi="Times New Roman" w:cs="Times New Roman"/>
          <w:b/>
          <w:bCs/>
          <w:sz w:val="24"/>
          <w:szCs w:val="24"/>
          <w:lang w:val="en-US"/>
        </w:rPr>
      </w:pPr>
      <w:r w:rsidRPr="00063A0E">
        <w:rPr>
          <w:rFonts w:ascii="Times New Roman" w:hAnsi="Times New Roman" w:cs="Times New Roman"/>
          <w:b/>
          <w:bCs/>
          <w:sz w:val="24"/>
          <w:szCs w:val="24"/>
          <w:lang w:val="en-US"/>
        </w:rPr>
        <w:t>Figure C3. Gross Profit Margin and Net Profit Margin, 2021–2024</w:t>
      </w:r>
    </w:p>
    <w:p w14:paraId="549E6DEB" w14:textId="7FF93C2E" w:rsidR="00063A0E" w:rsidRPr="00063A0E" w:rsidRDefault="00063A0E" w:rsidP="00946425">
      <w:pPr>
        <w:jc w:val="both"/>
        <w:rPr>
          <w:rFonts w:ascii="Times New Roman" w:hAnsi="Times New Roman" w:cs="Times New Roman"/>
          <w:sz w:val="24"/>
          <w:szCs w:val="24"/>
          <w:lang w:val="en-US"/>
        </w:rPr>
      </w:pPr>
      <w:r w:rsidRPr="00063A0E">
        <w:rPr>
          <w:rFonts w:ascii="Times New Roman" w:hAnsi="Times New Roman" w:cs="Times New Roman"/>
          <w:b/>
          <w:bCs/>
          <w:sz w:val="24"/>
          <w:szCs w:val="24"/>
          <w:lang w:val="en-US"/>
        </w:rPr>
        <w:t>Interpretation:</w:t>
      </w:r>
      <w:r w:rsidRPr="00063A0E">
        <w:rPr>
          <w:rFonts w:ascii="Times New Roman" w:hAnsi="Times New Roman" w:cs="Times New Roman"/>
          <w:sz w:val="24"/>
          <w:szCs w:val="24"/>
          <w:lang w:val="en-US"/>
        </w:rPr>
        <w:br/>
      </w:r>
      <w:r w:rsidR="00EF3A84" w:rsidRPr="00946425">
        <w:rPr>
          <w:rFonts w:ascii="Times New Roman" w:hAnsi="Times New Roman" w:cs="Times New Roman"/>
          <w:sz w:val="24"/>
          <w:szCs w:val="24"/>
          <w:lang w:val="en-US"/>
        </w:rPr>
        <w:t>This chart indicates that there is a good quality of profitability over the years. Gross margin increased tremendously between 2021 and 2023 and then stagnated in 2024, whereas net margin went on improving, implying a better conversion of revenue to profit.</w:t>
      </w:r>
    </w:p>
    <w:p w14:paraId="588044B1" w14:textId="44DA1E37" w:rsidR="00063A0E" w:rsidRPr="00946425" w:rsidRDefault="00063A0E" w:rsidP="00946425">
      <w:pPr>
        <w:jc w:val="both"/>
        <w:rPr>
          <w:rFonts w:ascii="Times New Roman" w:hAnsi="Times New Roman" w:cs="Times New Roman"/>
          <w:sz w:val="24"/>
          <w:szCs w:val="24"/>
          <w:lang w:val="en-US"/>
        </w:rPr>
      </w:pPr>
    </w:p>
    <w:p w14:paraId="0AE10766" w14:textId="29B2A64D" w:rsidR="006B3BC0" w:rsidRPr="00063A0E" w:rsidRDefault="006B3BC0" w:rsidP="00946425">
      <w:pPr>
        <w:jc w:val="both"/>
        <w:rPr>
          <w:rFonts w:ascii="Times New Roman" w:hAnsi="Times New Roman" w:cs="Times New Roman"/>
          <w:sz w:val="24"/>
          <w:szCs w:val="24"/>
          <w:lang w:val="en-US"/>
        </w:rPr>
      </w:pPr>
      <w:r w:rsidRPr="00946425">
        <w:rPr>
          <w:rFonts w:ascii="Times New Roman" w:hAnsi="Times New Roman" w:cs="Times New Roman"/>
          <w:noProof/>
          <w:sz w:val="24"/>
          <w:szCs w:val="24"/>
        </w:rPr>
        <w:lastRenderedPageBreak/>
        <w:drawing>
          <wp:inline distT="0" distB="0" distL="0" distR="0" wp14:anchorId="7EFB6DBB" wp14:editId="4CB12AEB">
            <wp:extent cx="5943600" cy="4437380"/>
            <wp:effectExtent l="19050" t="19050" r="19050" b="20320"/>
            <wp:docPr id="1941581353" name="Picture 4" descr="Line chart showing BYD current ratio trend from 2020 to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Line chart showing BYD current ratio trend from 2020 to 202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437380"/>
                    </a:xfrm>
                    <a:prstGeom prst="rect">
                      <a:avLst/>
                    </a:prstGeom>
                    <a:noFill/>
                    <a:ln w="19050">
                      <a:solidFill>
                        <a:schemeClr val="tx1"/>
                      </a:solidFill>
                    </a:ln>
                  </pic:spPr>
                </pic:pic>
              </a:graphicData>
            </a:graphic>
          </wp:inline>
        </w:drawing>
      </w:r>
    </w:p>
    <w:p w14:paraId="4BD827B2" w14:textId="77777777" w:rsidR="00063A0E" w:rsidRPr="00063A0E" w:rsidRDefault="00063A0E" w:rsidP="00946425">
      <w:pPr>
        <w:jc w:val="both"/>
        <w:rPr>
          <w:rFonts w:ascii="Times New Roman" w:hAnsi="Times New Roman" w:cs="Times New Roman"/>
          <w:b/>
          <w:bCs/>
          <w:sz w:val="24"/>
          <w:szCs w:val="24"/>
          <w:lang w:val="en-US"/>
        </w:rPr>
      </w:pPr>
      <w:r w:rsidRPr="00063A0E">
        <w:rPr>
          <w:rFonts w:ascii="Times New Roman" w:hAnsi="Times New Roman" w:cs="Times New Roman"/>
          <w:b/>
          <w:bCs/>
          <w:sz w:val="24"/>
          <w:szCs w:val="24"/>
          <w:lang w:val="en-US"/>
        </w:rPr>
        <w:t>Figure C4. Current Ratio Trend, 2020–2024</w:t>
      </w:r>
    </w:p>
    <w:p w14:paraId="1D6DCC26" w14:textId="37E9E92A" w:rsidR="00063A0E" w:rsidRPr="00063A0E" w:rsidRDefault="00063A0E" w:rsidP="00946425">
      <w:pPr>
        <w:jc w:val="both"/>
        <w:rPr>
          <w:rFonts w:ascii="Times New Roman" w:hAnsi="Times New Roman" w:cs="Times New Roman"/>
          <w:sz w:val="24"/>
          <w:szCs w:val="24"/>
          <w:lang w:val="en-US"/>
        </w:rPr>
      </w:pPr>
      <w:r w:rsidRPr="00063A0E">
        <w:rPr>
          <w:rFonts w:ascii="Times New Roman" w:hAnsi="Times New Roman" w:cs="Times New Roman"/>
          <w:b/>
          <w:bCs/>
          <w:sz w:val="24"/>
          <w:szCs w:val="24"/>
          <w:lang w:val="en-US"/>
        </w:rPr>
        <w:t>Interpretation:</w:t>
      </w:r>
      <w:r w:rsidRPr="00063A0E">
        <w:rPr>
          <w:rFonts w:ascii="Times New Roman" w:hAnsi="Times New Roman" w:cs="Times New Roman"/>
          <w:sz w:val="24"/>
          <w:szCs w:val="24"/>
          <w:lang w:val="en-US"/>
        </w:rPr>
        <w:br/>
      </w:r>
      <w:r w:rsidR="00EF3A84" w:rsidRPr="00946425">
        <w:rPr>
          <w:rFonts w:ascii="Times New Roman" w:hAnsi="Times New Roman" w:cs="Times New Roman"/>
          <w:sz w:val="24"/>
          <w:szCs w:val="24"/>
          <w:lang w:val="en-US"/>
        </w:rPr>
        <w:t>This chart indicates that the short-term liquidity position of BYD deteriorated in the past after 2020 and stayed below 1 in subsequent years. The minor recovery in 2024 is positive but the trend proves that BYD is run on a tight working capital and relies on robust operational cash flow and supplier support.</w:t>
      </w:r>
    </w:p>
    <w:p w14:paraId="0B111345" w14:textId="77777777" w:rsidR="00063A0E" w:rsidRPr="00063A0E" w:rsidRDefault="00000000" w:rsidP="00946425">
      <w:pPr>
        <w:jc w:val="both"/>
        <w:rPr>
          <w:rFonts w:ascii="Times New Roman" w:hAnsi="Times New Roman" w:cs="Times New Roman"/>
          <w:sz w:val="24"/>
          <w:szCs w:val="24"/>
          <w:lang w:val="en-US"/>
        </w:rPr>
      </w:pPr>
      <w:r>
        <w:rPr>
          <w:rFonts w:ascii="Times New Roman" w:hAnsi="Times New Roman" w:cs="Times New Roman"/>
          <w:sz w:val="24"/>
          <w:szCs w:val="24"/>
          <w:lang w:val="en-US"/>
        </w:rPr>
        <w:pict w14:anchorId="5095F78A">
          <v:rect id="_x0000_i1025" style="width:0;height:.75pt" o:hralign="center" o:hrstd="t" o:hr="t" fillcolor="#a0a0a0" stroked="f"/>
        </w:pict>
      </w:r>
    </w:p>
    <w:p w14:paraId="23CAFD26" w14:textId="77777777" w:rsidR="006B3BC0" w:rsidRPr="00946425" w:rsidRDefault="006B3BC0" w:rsidP="00946425">
      <w:pPr>
        <w:jc w:val="both"/>
        <w:rPr>
          <w:rFonts w:ascii="Times New Roman" w:hAnsi="Times New Roman" w:cs="Times New Roman"/>
          <w:b/>
          <w:bCs/>
          <w:sz w:val="24"/>
          <w:szCs w:val="24"/>
          <w:lang w:val="en-US"/>
        </w:rPr>
      </w:pPr>
    </w:p>
    <w:p w14:paraId="291CFFB5" w14:textId="7BD31E7F" w:rsidR="00063A0E" w:rsidRPr="00063A0E" w:rsidRDefault="006B3BC0" w:rsidP="00946425">
      <w:pPr>
        <w:jc w:val="both"/>
        <w:rPr>
          <w:rFonts w:ascii="Times New Roman" w:hAnsi="Times New Roman" w:cs="Times New Roman"/>
          <w:b/>
          <w:bCs/>
          <w:sz w:val="24"/>
          <w:szCs w:val="24"/>
          <w:lang w:val="en-US"/>
        </w:rPr>
      </w:pPr>
      <w:r w:rsidRPr="00946425">
        <w:rPr>
          <w:rFonts w:ascii="Times New Roman" w:hAnsi="Times New Roman" w:cs="Times New Roman"/>
          <w:noProof/>
          <w:sz w:val="24"/>
          <w:szCs w:val="24"/>
        </w:rPr>
        <w:lastRenderedPageBreak/>
        <w:drawing>
          <wp:inline distT="0" distB="0" distL="0" distR="0" wp14:anchorId="3FCEEB66" wp14:editId="6F155AAB">
            <wp:extent cx="5943600" cy="4457700"/>
            <wp:effectExtent l="0" t="0" r="0" b="0"/>
            <wp:docPr id="1428029520" name="Picture 5" descr="Dual-line chart showing BYD receivables and inventory days from 2020 to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Dual-line chart showing BYD receivables and inventory days from 2020 to 202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r w:rsidR="00063A0E" w:rsidRPr="00063A0E">
        <w:rPr>
          <w:rFonts w:ascii="Times New Roman" w:hAnsi="Times New Roman" w:cs="Times New Roman"/>
          <w:b/>
          <w:bCs/>
          <w:sz w:val="24"/>
          <w:szCs w:val="24"/>
          <w:lang w:val="en-US"/>
        </w:rPr>
        <w:t>Figure C5. Receivables Days and Inventory Days, 2020–2024</w:t>
      </w:r>
    </w:p>
    <w:p w14:paraId="5392FF58" w14:textId="77777777" w:rsidR="00063A0E" w:rsidRPr="00063A0E" w:rsidRDefault="00063A0E" w:rsidP="00946425">
      <w:pPr>
        <w:jc w:val="both"/>
        <w:rPr>
          <w:rFonts w:ascii="Times New Roman" w:hAnsi="Times New Roman" w:cs="Times New Roman"/>
          <w:sz w:val="24"/>
          <w:szCs w:val="24"/>
          <w:lang w:val="en-US"/>
        </w:rPr>
      </w:pPr>
      <w:r w:rsidRPr="00063A0E">
        <w:rPr>
          <w:rFonts w:ascii="Times New Roman" w:hAnsi="Times New Roman" w:cs="Times New Roman"/>
          <w:b/>
          <w:bCs/>
          <w:sz w:val="24"/>
          <w:szCs w:val="24"/>
          <w:lang w:val="en-US"/>
        </w:rPr>
        <w:t>Data to plot (days):</w:t>
      </w:r>
    </w:p>
    <w:tbl>
      <w:tblPr>
        <w:tblStyle w:val="TableGrid"/>
        <w:tblW w:w="9222" w:type="dxa"/>
        <w:tblLook w:val="04A0" w:firstRow="1" w:lastRow="0" w:firstColumn="1" w:lastColumn="0" w:noHBand="0" w:noVBand="1"/>
      </w:tblPr>
      <w:tblGrid>
        <w:gridCol w:w="1460"/>
        <w:gridCol w:w="4076"/>
        <w:gridCol w:w="3686"/>
      </w:tblGrid>
      <w:tr w:rsidR="00946425" w:rsidRPr="00063A0E" w14:paraId="53706C03" w14:textId="77777777" w:rsidTr="006B3BC0">
        <w:trPr>
          <w:trHeight w:val="454"/>
        </w:trPr>
        <w:tc>
          <w:tcPr>
            <w:tcW w:w="0" w:type="auto"/>
            <w:hideMark/>
          </w:tcPr>
          <w:p w14:paraId="495AC1A3" w14:textId="77777777" w:rsidR="00063A0E" w:rsidRPr="00063A0E" w:rsidRDefault="00063A0E" w:rsidP="00946425">
            <w:pPr>
              <w:spacing w:after="160" w:line="259" w:lineRule="auto"/>
              <w:jc w:val="both"/>
              <w:rPr>
                <w:rFonts w:ascii="Times New Roman" w:hAnsi="Times New Roman" w:cs="Times New Roman"/>
                <w:b/>
                <w:bCs/>
                <w:sz w:val="24"/>
                <w:szCs w:val="24"/>
                <w:lang w:val="en-US"/>
              </w:rPr>
            </w:pPr>
            <w:r w:rsidRPr="00063A0E">
              <w:rPr>
                <w:rFonts w:ascii="Times New Roman" w:hAnsi="Times New Roman" w:cs="Times New Roman"/>
                <w:b/>
                <w:bCs/>
                <w:sz w:val="24"/>
                <w:szCs w:val="24"/>
                <w:lang w:val="en-US"/>
              </w:rPr>
              <w:t>Year</w:t>
            </w:r>
          </w:p>
        </w:tc>
        <w:tc>
          <w:tcPr>
            <w:tcW w:w="0" w:type="auto"/>
            <w:hideMark/>
          </w:tcPr>
          <w:p w14:paraId="39C36EEB" w14:textId="77777777" w:rsidR="00063A0E" w:rsidRPr="00063A0E" w:rsidRDefault="00063A0E" w:rsidP="00946425">
            <w:pPr>
              <w:spacing w:after="160" w:line="259" w:lineRule="auto"/>
              <w:jc w:val="both"/>
              <w:rPr>
                <w:rFonts w:ascii="Times New Roman" w:hAnsi="Times New Roman" w:cs="Times New Roman"/>
                <w:b/>
                <w:bCs/>
                <w:sz w:val="24"/>
                <w:szCs w:val="24"/>
                <w:lang w:val="en-US"/>
              </w:rPr>
            </w:pPr>
            <w:r w:rsidRPr="00063A0E">
              <w:rPr>
                <w:rFonts w:ascii="Times New Roman" w:hAnsi="Times New Roman" w:cs="Times New Roman"/>
                <w:b/>
                <w:bCs/>
                <w:sz w:val="24"/>
                <w:szCs w:val="24"/>
                <w:lang w:val="en-US"/>
              </w:rPr>
              <w:t>Receivables days</w:t>
            </w:r>
          </w:p>
        </w:tc>
        <w:tc>
          <w:tcPr>
            <w:tcW w:w="0" w:type="auto"/>
            <w:hideMark/>
          </w:tcPr>
          <w:p w14:paraId="19830C02" w14:textId="77777777" w:rsidR="00063A0E" w:rsidRPr="00063A0E" w:rsidRDefault="00063A0E" w:rsidP="00946425">
            <w:pPr>
              <w:spacing w:after="160" w:line="259" w:lineRule="auto"/>
              <w:jc w:val="both"/>
              <w:rPr>
                <w:rFonts w:ascii="Times New Roman" w:hAnsi="Times New Roman" w:cs="Times New Roman"/>
                <w:b/>
                <w:bCs/>
                <w:sz w:val="24"/>
                <w:szCs w:val="24"/>
                <w:lang w:val="en-US"/>
              </w:rPr>
            </w:pPr>
            <w:r w:rsidRPr="00063A0E">
              <w:rPr>
                <w:rFonts w:ascii="Times New Roman" w:hAnsi="Times New Roman" w:cs="Times New Roman"/>
                <w:b/>
                <w:bCs/>
                <w:sz w:val="24"/>
                <w:szCs w:val="24"/>
                <w:lang w:val="en-US"/>
              </w:rPr>
              <w:t>Inventory days</w:t>
            </w:r>
          </w:p>
        </w:tc>
      </w:tr>
      <w:tr w:rsidR="00946425" w:rsidRPr="00063A0E" w14:paraId="6B3A0415" w14:textId="77777777" w:rsidTr="006B3BC0">
        <w:trPr>
          <w:trHeight w:val="454"/>
        </w:trPr>
        <w:tc>
          <w:tcPr>
            <w:tcW w:w="0" w:type="auto"/>
            <w:hideMark/>
          </w:tcPr>
          <w:p w14:paraId="1AEC8D47"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2020</w:t>
            </w:r>
          </w:p>
        </w:tc>
        <w:tc>
          <w:tcPr>
            <w:tcW w:w="0" w:type="auto"/>
            <w:hideMark/>
          </w:tcPr>
          <w:p w14:paraId="7FF49CA1"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135</w:t>
            </w:r>
          </w:p>
        </w:tc>
        <w:tc>
          <w:tcPr>
            <w:tcW w:w="0" w:type="auto"/>
            <w:hideMark/>
          </w:tcPr>
          <w:p w14:paraId="6629C366"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82</w:t>
            </w:r>
          </w:p>
        </w:tc>
      </w:tr>
      <w:tr w:rsidR="00946425" w:rsidRPr="00063A0E" w14:paraId="0753B3A0" w14:textId="77777777" w:rsidTr="006B3BC0">
        <w:trPr>
          <w:trHeight w:val="454"/>
        </w:trPr>
        <w:tc>
          <w:tcPr>
            <w:tcW w:w="0" w:type="auto"/>
            <w:hideMark/>
          </w:tcPr>
          <w:p w14:paraId="2BBB8647"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2021</w:t>
            </w:r>
          </w:p>
        </w:tc>
        <w:tc>
          <w:tcPr>
            <w:tcW w:w="0" w:type="auto"/>
            <w:hideMark/>
          </w:tcPr>
          <w:p w14:paraId="541B13F4"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95</w:t>
            </w:r>
          </w:p>
        </w:tc>
        <w:tc>
          <w:tcPr>
            <w:tcW w:w="0" w:type="auto"/>
            <w:hideMark/>
          </w:tcPr>
          <w:p w14:paraId="2DD96064"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73</w:t>
            </w:r>
          </w:p>
        </w:tc>
      </w:tr>
      <w:tr w:rsidR="00946425" w:rsidRPr="00063A0E" w14:paraId="4B7ABA68" w14:textId="77777777" w:rsidTr="006B3BC0">
        <w:trPr>
          <w:trHeight w:val="454"/>
        </w:trPr>
        <w:tc>
          <w:tcPr>
            <w:tcW w:w="0" w:type="auto"/>
            <w:hideMark/>
          </w:tcPr>
          <w:p w14:paraId="311EA5B1"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2022</w:t>
            </w:r>
          </w:p>
        </w:tc>
        <w:tc>
          <w:tcPr>
            <w:tcW w:w="0" w:type="auto"/>
            <w:hideMark/>
          </w:tcPr>
          <w:p w14:paraId="7FC74359"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53</w:t>
            </w:r>
          </w:p>
        </w:tc>
        <w:tc>
          <w:tcPr>
            <w:tcW w:w="0" w:type="auto"/>
            <w:hideMark/>
          </w:tcPr>
          <w:p w14:paraId="1A6FBB8C"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63</w:t>
            </w:r>
          </w:p>
        </w:tc>
      </w:tr>
      <w:tr w:rsidR="00946425" w:rsidRPr="00063A0E" w14:paraId="0642C715" w14:textId="77777777" w:rsidTr="006B3BC0">
        <w:trPr>
          <w:trHeight w:val="454"/>
        </w:trPr>
        <w:tc>
          <w:tcPr>
            <w:tcW w:w="0" w:type="auto"/>
            <w:hideMark/>
          </w:tcPr>
          <w:p w14:paraId="3E4E0BBC"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2023</w:t>
            </w:r>
          </w:p>
        </w:tc>
        <w:tc>
          <w:tcPr>
            <w:tcW w:w="0" w:type="auto"/>
            <w:hideMark/>
          </w:tcPr>
          <w:p w14:paraId="532510F9"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43</w:t>
            </w:r>
          </w:p>
        </w:tc>
        <w:tc>
          <w:tcPr>
            <w:tcW w:w="0" w:type="auto"/>
            <w:hideMark/>
          </w:tcPr>
          <w:p w14:paraId="50090CF4"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63</w:t>
            </w:r>
          </w:p>
        </w:tc>
      </w:tr>
      <w:tr w:rsidR="00946425" w:rsidRPr="00063A0E" w14:paraId="649A9111" w14:textId="77777777" w:rsidTr="006B3BC0">
        <w:trPr>
          <w:trHeight w:val="454"/>
        </w:trPr>
        <w:tc>
          <w:tcPr>
            <w:tcW w:w="0" w:type="auto"/>
            <w:hideMark/>
          </w:tcPr>
          <w:p w14:paraId="4ADC2D52"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2024</w:t>
            </w:r>
          </w:p>
        </w:tc>
        <w:tc>
          <w:tcPr>
            <w:tcW w:w="0" w:type="auto"/>
            <w:hideMark/>
          </w:tcPr>
          <w:p w14:paraId="7BC38192"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35</w:t>
            </w:r>
          </w:p>
        </w:tc>
        <w:tc>
          <w:tcPr>
            <w:tcW w:w="0" w:type="auto"/>
            <w:hideMark/>
          </w:tcPr>
          <w:p w14:paraId="164EB5A1"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61</w:t>
            </w:r>
          </w:p>
        </w:tc>
      </w:tr>
    </w:tbl>
    <w:p w14:paraId="6B6BBA2D" w14:textId="77777777" w:rsidR="006B3BC0" w:rsidRPr="00946425" w:rsidRDefault="006B3BC0" w:rsidP="00946425">
      <w:pPr>
        <w:jc w:val="both"/>
        <w:rPr>
          <w:rFonts w:ascii="Times New Roman" w:hAnsi="Times New Roman" w:cs="Times New Roman"/>
          <w:b/>
          <w:bCs/>
          <w:sz w:val="24"/>
          <w:szCs w:val="24"/>
          <w:lang w:val="en-US"/>
        </w:rPr>
      </w:pPr>
    </w:p>
    <w:p w14:paraId="18BC2021" w14:textId="59803C26" w:rsidR="00063A0E" w:rsidRPr="00063A0E" w:rsidRDefault="00063A0E" w:rsidP="00946425">
      <w:pPr>
        <w:jc w:val="both"/>
        <w:rPr>
          <w:rFonts w:ascii="Times New Roman" w:hAnsi="Times New Roman" w:cs="Times New Roman"/>
          <w:sz w:val="24"/>
          <w:szCs w:val="24"/>
          <w:lang w:val="en-US"/>
        </w:rPr>
      </w:pPr>
      <w:r w:rsidRPr="00063A0E">
        <w:rPr>
          <w:rFonts w:ascii="Times New Roman" w:hAnsi="Times New Roman" w:cs="Times New Roman"/>
          <w:b/>
          <w:bCs/>
          <w:sz w:val="24"/>
          <w:szCs w:val="24"/>
          <w:lang w:val="en-US"/>
        </w:rPr>
        <w:t>Interpretation:</w:t>
      </w:r>
      <w:r w:rsidRPr="00063A0E">
        <w:rPr>
          <w:rFonts w:ascii="Times New Roman" w:hAnsi="Times New Roman" w:cs="Times New Roman"/>
          <w:sz w:val="24"/>
          <w:szCs w:val="24"/>
          <w:lang w:val="en-US"/>
        </w:rPr>
        <w:br/>
      </w:r>
      <w:r w:rsidR="00EF3A84" w:rsidRPr="00946425">
        <w:rPr>
          <w:rFonts w:ascii="Times New Roman" w:hAnsi="Times New Roman" w:cs="Times New Roman"/>
          <w:sz w:val="24"/>
          <w:szCs w:val="24"/>
          <w:lang w:val="en-US"/>
        </w:rPr>
        <w:t>This chart shows that there is a definite increase in the efficiency of BYD. The days of receivables decreased drastically during the period and the inventory days also decreased, evidenced by improved stock management and efficiency in production. All of these trends help conclude that BYD has increased its working capital management to a greater extent.</w:t>
      </w:r>
    </w:p>
    <w:p w14:paraId="41A7D1E1" w14:textId="77777777" w:rsidR="00063A0E" w:rsidRPr="00063A0E" w:rsidRDefault="00000000" w:rsidP="00946425">
      <w:pPr>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pict w14:anchorId="244656AE">
          <v:rect id="_x0000_i1026" style="width:0;height:.75pt" o:hralign="center" o:hrstd="t" o:hr="t" fillcolor="#a0a0a0" stroked="f"/>
        </w:pict>
      </w:r>
    </w:p>
    <w:p w14:paraId="3F300A5F" w14:textId="66AC59AA" w:rsidR="006B3BC0" w:rsidRPr="00946425" w:rsidRDefault="006B3BC0" w:rsidP="00946425">
      <w:pPr>
        <w:jc w:val="both"/>
        <w:rPr>
          <w:rFonts w:ascii="Times New Roman" w:hAnsi="Times New Roman" w:cs="Times New Roman"/>
          <w:b/>
          <w:bCs/>
          <w:sz w:val="24"/>
          <w:szCs w:val="24"/>
          <w:lang w:val="en-US"/>
        </w:rPr>
      </w:pPr>
      <w:r w:rsidRPr="00946425">
        <w:rPr>
          <w:rFonts w:ascii="Times New Roman" w:hAnsi="Times New Roman" w:cs="Times New Roman"/>
          <w:noProof/>
          <w:sz w:val="24"/>
          <w:szCs w:val="24"/>
        </w:rPr>
        <w:drawing>
          <wp:inline distT="0" distB="0" distL="0" distR="0" wp14:anchorId="38886D31" wp14:editId="4657F884">
            <wp:extent cx="5943600" cy="4437380"/>
            <wp:effectExtent l="19050" t="19050" r="19050" b="20320"/>
            <wp:docPr id="464175697" name="Picture 6" descr="Line chart showing BYD gearing ratio trend from 2020 to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Line chart showing BYD gearing ratio trend from 2020 to 202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4437380"/>
                    </a:xfrm>
                    <a:prstGeom prst="rect">
                      <a:avLst/>
                    </a:prstGeom>
                    <a:noFill/>
                    <a:ln w="19050">
                      <a:solidFill>
                        <a:schemeClr val="tx1"/>
                      </a:solidFill>
                    </a:ln>
                  </pic:spPr>
                </pic:pic>
              </a:graphicData>
            </a:graphic>
          </wp:inline>
        </w:drawing>
      </w:r>
    </w:p>
    <w:p w14:paraId="5E2B8E29" w14:textId="16546840" w:rsidR="00063A0E" w:rsidRPr="00063A0E" w:rsidRDefault="00063A0E" w:rsidP="00946425">
      <w:pPr>
        <w:jc w:val="both"/>
        <w:rPr>
          <w:rFonts w:ascii="Times New Roman" w:hAnsi="Times New Roman" w:cs="Times New Roman"/>
          <w:b/>
          <w:bCs/>
          <w:sz w:val="24"/>
          <w:szCs w:val="24"/>
          <w:lang w:val="en-US"/>
        </w:rPr>
      </w:pPr>
      <w:r w:rsidRPr="00063A0E">
        <w:rPr>
          <w:rFonts w:ascii="Times New Roman" w:hAnsi="Times New Roman" w:cs="Times New Roman"/>
          <w:b/>
          <w:bCs/>
          <w:sz w:val="24"/>
          <w:szCs w:val="24"/>
          <w:lang w:val="en-US"/>
        </w:rPr>
        <w:t>Figure C6. Gearing Ratio Trend, 2020–2024</w:t>
      </w:r>
    </w:p>
    <w:p w14:paraId="50103C56" w14:textId="77777777" w:rsidR="00063A0E" w:rsidRPr="00063A0E" w:rsidRDefault="00063A0E" w:rsidP="00946425">
      <w:pPr>
        <w:jc w:val="both"/>
        <w:rPr>
          <w:rFonts w:ascii="Times New Roman" w:hAnsi="Times New Roman" w:cs="Times New Roman"/>
          <w:sz w:val="24"/>
          <w:szCs w:val="24"/>
          <w:lang w:val="en-US"/>
        </w:rPr>
      </w:pPr>
      <w:r w:rsidRPr="00063A0E">
        <w:rPr>
          <w:rFonts w:ascii="Times New Roman" w:hAnsi="Times New Roman" w:cs="Times New Roman"/>
          <w:b/>
          <w:bCs/>
          <w:sz w:val="24"/>
          <w:szCs w:val="24"/>
          <w:lang w:val="en-US"/>
        </w:rPr>
        <w:t>Data to plot (%):</w:t>
      </w:r>
    </w:p>
    <w:tbl>
      <w:tblPr>
        <w:tblStyle w:val="TableGrid"/>
        <w:tblW w:w="9147" w:type="dxa"/>
        <w:tblLook w:val="04A0" w:firstRow="1" w:lastRow="0" w:firstColumn="1" w:lastColumn="0" w:noHBand="0" w:noVBand="1"/>
      </w:tblPr>
      <w:tblGrid>
        <w:gridCol w:w="2761"/>
        <w:gridCol w:w="6386"/>
      </w:tblGrid>
      <w:tr w:rsidR="00946425" w:rsidRPr="00063A0E" w14:paraId="6C43308F" w14:textId="77777777" w:rsidTr="006B3BC0">
        <w:trPr>
          <w:trHeight w:val="461"/>
        </w:trPr>
        <w:tc>
          <w:tcPr>
            <w:tcW w:w="0" w:type="auto"/>
            <w:hideMark/>
          </w:tcPr>
          <w:p w14:paraId="19E77EAB" w14:textId="77777777" w:rsidR="00063A0E" w:rsidRPr="00063A0E" w:rsidRDefault="00063A0E" w:rsidP="00946425">
            <w:pPr>
              <w:spacing w:after="160" w:line="259" w:lineRule="auto"/>
              <w:jc w:val="both"/>
              <w:rPr>
                <w:rFonts w:ascii="Times New Roman" w:hAnsi="Times New Roman" w:cs="Times New Roman"/>
                <w:b/>
                <w:bCs/>
                <w:sz w:val="24"/>
                <w:szCs w:val="24"/>
                <w:lang w:val="en-US"/>
              </w:rPr>
            </w:pPr>
            <w:r w:rsidRPr="00063A0E">
              <w:rPr>
                <w:rFonts w:ascii="Times New Roman" w:hAnsi="Times New Roman" w:cs="Times New Roman"/>
                <w:b/>
                <w:bCs/>
                <w:sz w:val="24"/>
                <w:szCs w:val="24"/>
                <w:lang w:val="en-US"/>
              </w:rPr>
              <w:t>Year</w:t>
            </w:r>
          </w:p>
        </w:tc>
        <w:tc>
          <w:tcPr>
            <w:tcW w:w="0" w:type="auto"/>
            <w:hideMark/>
          </w:tcPr>
          <w:p w14:paraId="60F32E46" w14:textId="77777777" w:rsidR="00063A0E" w:rsidRPr="00063A0E" w:rsidRDefault="00063A0E" w:rsidP="00946425">
            <w:pPr>
              <w:spacing w:after="160" w:line="259" w:lineRule="auto"/>
              <w:jc w:val="both"/>
              <w:rPr>
                <w:rFonts w:ascii="Times New Roman" w:hAnsi="Times New Roman" w:cs="Times New Roman"/>
                <w:b/>
                <w:bCs/>
                <w:sz w:val="24"/>
                <w:szCs w:val="24"/>
                <w:lang w:val="en-US"/>
              </w:rPr>
            </w:pPr>
            <w:r w:rsidRPr="00063A0E">
              <w:rPr>
                <w:rFonts w:ascii="Times New Roman" w:hAnsi="Times New Roman" w:cs="Times New Roman"/>
                <w:b/>
                <w:bCs/>
                <w:sz w:val="24"/>
                <w:szCs w:val="24"/>
                <w:lang w:val="en-US"/>
              </w:rPr>
              <w:t>Gearing ratio</w:t>
            </w:r>
          </w:p>
        </w:tc>
      </w:tr>
      <w:tr w:rsidR="00946425" w:rsidRPr="00063A0E" w14:paraId="1323D553" w14:textId="77777777" w:rsidTr="006B3BC0">
        <w:trPr>
          <w:trHeight w:val="461"/>
        </w:trPr>
        <w:tc>
          <w:tcPr>
            <w:tcW w:w="0" w:type="auto"/>
            <w:hideMark/>
          </w:tcPr>
          <w:p w14:paraId="68AAC4D3"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2020</w:t>
            </w:r>
          </w:p>
        </w:tc>
        <w:tc>
          <w:tcPr>
            <w:tcW w:w="0" w:type="auto"/>
            <w:hideMark/>
          </w:tcPr>
          <w:p w14:paraId="7A4DBBA0"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23</w:t>
            </w:r>
          </w:p>
        </w:tc>
      </w:tr>
      <w:tr w:rsidR="00946425" w:rsidRPr="00063A0E" w14:paraId="13CEC41B" w14:textId="77777777" w:rsidTr="006B3BC0">
        <w:trPr>
          <w:trHeight w:val="461"/>
        </w:trPr>
        <w:tc>
          <w:tcPr>
            <w:tcW w:w="0" w:type="auto"/>
            <w:hideMark/>
          </w:tcPr>
          <w:p w14:paraId="60BB8FB7"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2021</w:t>
            </w:r>
          </w:p>
        </w:tc>
        <w:tc>
          <w:tcPr>
            <w:tcW w:w="0" w:type="auto"/>
            <w:hideMark/>
          </w:tcPr>
          <w:p w14:paraId="16855306"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7</w:t>
            </w:r>
          </w:p>
        </w:tc>
      </w:tr>
      <w:tr w:rsidR="00946425" w:rsidRPr="00063A0E" w14:paraId="01E8A84A" w14:textId="77777777" w:rsidTr="006B3BC0">
        <w:trPr>
          <w:trHeight w:val="461"/>
        </w:trPr>
        <w:tc>
          <w:tcPr>
            <w:tcW w:w="0" w:type="auto"/>
            <w:hideMark/>
          </w:tcPr>
          <w:p w14:paraId="7E45F8C0"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2022</w:t>
            </w:r>
          </w:p>
        </w:tc>
        <w:tc>
          <w:tcPr>
            <w:tcW w:w="0" w:type="auto"/>
            <w:hideMark/>
          </w:tcPr>
          <w:p w14:paraId="5D64DFC0"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4</w:t>
            </w:r>
          </w:p>
        </w:tc>
      </w:tr>
      <w:tr w:rsidR="00946425" w:rsidRPr="00063A0E" w14:paraId="2FDB46F7" w14:textId="77777777" w:rsidTr="006B3BC0">
        <w:trPr>
          <w:trHeight w:val="461"/>
        </w:trPr>
        <w:tc>
          <w:tcPr>
            <w:tcW w:w="0" w:type="auto"/>
            <w:hideMark/>
          </w:tcPr>
          <w:p w14:paraId="558CC2B3"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2023</w:t>
            </w:r>
          </w:p>
        </w:tc>
        <w:tc>
          <w:tcPr>
            <w:tcW w:w="0" w:type="auto"/>
            <w:hideMark/>
          </w:tcPr>
          <w:p w14:paraId="14162021"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1</w:t>
            </w:r>
          </w:p>
        </w:tc>
      </w:tr>
      <w:tr w:rsidR="00946425" w:rsidRPr="00063A0E" w14:paraId="2AC5D2FB" w14:textId="77777777" w:rsidTr="006B3BC0">
        <w:trPr>
          <w:trHeight w:val="461"/>
        </w:trPr>
        <w:tc>
          <w:tcPr>
            <w:tcW w:w="0" w:type="auto"/>
            <w:hideMark/>
          </w:tcPr>
          <w:p w14:paraId="0A3E3552"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2024</w:t>
            </w:r>
          </w:p>
        </w:tc>
        <w:tc>
          <w:tcPr>
            <w:tcW w:w="0" w:type="auto"/>
            <w:hideMark/>
          </w:tcPr>
          <w:p w14:paraId="0F903820"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2</w:t>
            </w:r>
          </w:p>
        </w:tc>
      </w:tr>
    </w:tbl>
    <w:p w14:paraId="023BB93C" w14:textId="176938D5" w:rsidR="00063A0E" w:rsidRPr="00063A0E" w:rsidRDefault="00063A0E" w:rsidP="00946425">
      <w:pPr>
        <w:jc w:val="both"/>
        <w:rPr>
          <w:rFonts w:ascii="Times New Roman" w:hAnsi="Times New Roman" w:cs="Times New Roman"/>
          <w:sz w:val="24"/>
          <w:szCs w:val="24"/>
          <w:lang w:val="en-US"/>
        </w:rPr>
      </w:pPr>
      <w:r w:rsidRPr="00063A0E">
        <w:rPr>
          <w:rFonts w:ascii="Times New Roman" w:hAnsi="Times New Roman" w:cs="Times New Roman"/>
          <w:b/>
          <w:bCs/>
          <w:sz w:val="24"/>
          <w:szCs w:val="24"/>
          <w:lang w:val="en-US"/>
        </w:rPr>
        <w:t>Interpretation:</w:t>
      </w:r>
      <w:r w:rsidRPr="00063A0E">
        <w:rPr>
          <w:rFonts w:ascii="Times New Roman" w:hAnsi="Times New Roman" w:cs="Times New Roman"/>
          <w:sz w:val="24"/>
          <w:szCs w:val="24"/>
          <w:lang w:val="en-US"/>
        </w:rPr>
        <w:br/>
      </w:r>
      <w:r w:rsidR="00EF3A84" w:rsidRPr="00946425">
        <w:rPr>
          <w:rFonts w:ascii="Times New Roman" w:hAnsi="Times New Roman" w:cs="Times New Roman"/>
          <w:sz w:val="24"/>
          <w:szCs w:val="24"/>
          <w:lang w:val="en-US"/>
        </w:rPr>
        <w:t>The chart indicates that there has been a significant decrease in gearing over the period, which implies a better solvency position and less dependence on net borrowing. The low gearing by 2024 indicates that BYD still has a lot of room in debt in case it needs to invest in the future.</w:t>
      </w:r>
    </w:p>
    <w:p w14:paraId="091F83F6" w14:textId="77777777" w:rsidR="00063A0E" w:rsidRPr="00063A0E" w:rsidRDefault="00000000" w:rsidP="00946425">
      <w:pPr>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pict w14:anchorId="39781A1E">
          <v:rect id="_x0000_i1027" style="width:0;height:.75pt" o:hralign="center" o:hrstd="t" o:hr="t" fillcolor="#a0a0a0" stroked="f"/>
        </w:pict>
      </w:r>
    </w:p>
    <w:p w14:paraId="309752C7" w14:textId="59A2F791" w:rsidR="006B3BC0" w:rsidRPr="00946425" w:rsidRDefault="006B3BC0" w:rsidP="00946425">
      <w:pPr>
        <w:jc w:val="both"/>
        <w:rPr>
          <w:rFonts w:ascii="Times New Roman" w:hAnsi="Times New Roman" w:cs="Times New Roman"/>
          <w:b/>
          <w:bCs/>
          <w:sz w:val="24"/>
          <w:szCs w:val="24"/>
          <w:lang w:val="en-US"/>
        </w:rPr>
      </w:pPr>
      <w:r w:rsidRPr="00946425">
        <w:rPr>
          <w:rFonts w:ascii="Times New Roman" w:hAnsi="Times New Roman" w:cs="Times New Roman"/>
          <w:noProof/>
          <w:sz w:val="24"/>
          <w:szCs w:val="24"/>
        </w:rPr>
        <w:drawing>
          <wp:inline distT="0" distB="0" distL="0" distR="0" wp14:anchorId="4AA4C49E" wp14:editId="6D5132D1">
            <wp:extent cx="5943600" cy="4437380"/>
            <wp:effectExtent l="19050" t="19050" r="19050" b="20320"/>
            <wp:docPr id="1433086386" name="Picture 7" descr="Column chart comparing BYD 2024 net operating cash flow and cash reserves in RMB bill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Column chart comparing BYD 2024 net operating cash flow and cash reserves in RMB billi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4437380"/>
                    </a:xfrm>
                    <a:prstGeom prst="rect">
                      <a:avLst/>
                    </a:prstGeom>
                    <a:noFill/>
                    <a:ln w="19050">
                      <a:solidFill>
                        <a:schemeClr val="tx1"/>
                      </a:solidFill>
                    </a:ln>
                  </pic:spPr>
                </pic:pic>
              </a:graphicData>
            </a:graphic>
          </wp:inline>
        </w:drawing>
      </w:r>
    </w:p>
    <w:p w14:paraId="191632A3" w14:textId="430BA3CA" w:rsidR="00063A0E" w:rsidRPr="00063A0E" w:rsidRDefault="00063A0E" w:rsidP="00946425">
      <w:pPr>
        <w:jc w:val="both"/>
        <w:rPr>
          <w:rFonts w:ascii="Times New Roman" w:hAnsi="Times New Roman" w:cs="Times New Roman"/>
          <w:b/>
          <w:bCs/>
          <w:sz w:val="24"/>
          <w:szCs w:val="24"/>
          <w:lang w:val="en-US"/>
        </w:rPr>
      </w:pPr>
      <w:r w:rsidRPr="00063A0E">
        <w:rPr>
          <w:rFonts w:ascii="Times New Roman" w:hAnsi="Times New Roman" w:cs="Times New Roman"/>
          <w:b/>
          <w:bCs/>
          <w:sz w:val="24"/>
          <w:szCs w:val="24"/>
          <w:lang w:val="en-US"/>
        </w:rPr>
        <w:t>Figure C7. Operating Cash Flow and Cash Reserves, 2024</w:t>
      </w:r>
    </w:p>
    <w:p w14:paraId="5D67DDB9" w14:textId="77777777" w:rsidR="00063A0E" w:rsidRPr="00063A0E" w:rsidRDefault="00063A0E" w:rsidP="00946425">
      <w:pPr>
        <w:jc w:val="both"/>
        <w:rPr>
          <w:rFonts w:ascii="Times New Roman" w:hAnsi="Times New Roman" w:cs="Times New Roman"/>
          <w:sz w:val="24"/>
          <w:szCs w:val="24"/>
          <w:lang w:val="en-US"/>
        </w:rPr>
      </w:pPr>
      <w:r w:rsidRPr="00063A0E">
        <w:rPr>
          <w:rFonts w:ascii="Times New Roman" w:hAnsi="Times New Roman" w:cs="Times New Roman"/>
          <w:b/>
          <w:bCs/>
          <w:sz w:val="24"/>
          <w:szCs w:val="24"/>
          <w:lang w:val="en-US"/>
        </w:rPr>
        <w:t>Data to plot (RMB billion):</w:t>
      </w:r>
    </w:p>
    <w:tbl>
      <w:tblPr>
        <w:tblStyle w:val="TableGrid"/>
        <w:tblW w:w="9466" w:type="dxa"/>
        <w:tblLook w:val="04A0" w:firstRow="1" w:lastRow="0" w:firstColumn="1" w:lastColumn="0" w:noHBand="0" w:noVBand="1"/>
      </w:tblPr>
      <w:tblGrid>
        <w:gridCol w:w="7279"/>
        <w:gridCol w:w="2187"/>
      </w:tblGrid>
      <w:tr w:rsidR="00946425" w:rsidRPr="00063A0E" w14:paraId="02771A94" w14:textId="77777777" w:rsidTr="006B3BC0">
        <w:trPr>
          <w:trHeight w:val="431"/>
        </w:trPr>
        <w:tc>
          <w:tcPr>
            <w:tcW w:w="0" w:type="auto"/>
            <w:hideMark/>
          </w:tcPr>
          <w:p w14:paraId="74B1E004" w14:textId="77777777" w:rsidR="00063A0E" w:rsidRPr="00063A0E" w:rsidRDefault="00063A0E" w:rsidP="00946425">
            <w:pPr>
              <w:spacing w:after="160" w:line="259" w:lineRule="auto"/>
              <w:jc w:val="both"/>
              <w:rPr>
                <w:rFonts w:ascii="Times New Roman" w:hAnsi="Times New Roman" w:cs="Times New Roman"/>
                <w:b/>
                <w:bCs/>
                <w:sz w:val="24"/>
                <w:szCs w:val="24"/>
                <w:lang w:val="en-US"/>
              </w:rPr>
            </w:pPr>
            <w:r w:rsidRPr="00063A0E">
              <w:rPr>
                <w:rFonts w:ascii="Times New Roman" w:hAnsi="Times New Roman" w:cs="Times New Roman"/>
                <w:b/>
                <w:bCs/>
                <w:sz w:val="24"/>
                <w:szCs w:val="24"/>
                <w:lang w:val="en-US"/>
              </w:rPr>
              <w:t>Indicator</w:t>
            </w:r>
          </w:p>
        </w:tc>
        <w:tc>
          <w:tcPr>
            <w:tcW w:w="0" w:type="auto"/>
            <w:hideMark/>
          </w:tcPr>
          <w:p w14:paraId="66EBE32D" w14:textId="77777777" w:rsidR="00063A0E" w:rsidRPr="00063A0E" w:rsidRDefault="00063A0E" w:rsidP="00946425">
            <w:pPr>
              <w:spacing w:after="160" w:line="259" w:lineRule="auto"/>
              <w:jc w:val="both"/>
              <w:rPr>
                <w:rFonts w:ascii="Times New Roman" w:hAnsi="Times New Roman" w:cs="Times New Roman"/>
                <w:b/>
                <w:bCs/>
                <w:sz w:val="24"/>
                <w:szCs w:val="24"/>
                <w:lang w:val="en-US"/>
              </w:rPr>
            </w:pPr>
            <w:r w:rsidRPr="00063A0E">
              <w:rPr>
                <w:rFonts w:ascii="Times New Roman" w:hAnsi="Times New Roman" w:cs="Times New Roman"/>
                <w:b/>
                <w:bCs/>
                <w:sz w:val="24"/>
                <w:szCs w:val="24"/>
                <w:lang w:val="en-US"/>
              </w:rPr>
              <w:t>2024</w:t>
            </w:r>
          </w:p>
        </w:tc>
      </w:tr>
      <w:tr w:rsidR="00946425" w:rsidRPr="00063A0E" w14:paraId="203DBD5D" w14:textId="77777777" w:rsidTr="006B3BC0">
        <w:trPr>
          <w:trHeight w:val="431"/>
        </w:trPr>
        <w:tc>
          <w:tcPr>
            <w:tcW w:w="0" w:type="auto"/>
            <w:hideMark/>
          </w:tcPr>
          <w:p w14:paraId="2E436274"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Net operating cash flow</w:t>
            </w:r>
          </w:p>
        </w:tc>
        <w:tc>
          <w:tcPr>
            <w:tcW w:w="0" w:type="auto"/>
            <w:hideMark/>
          </w:tcPr>
          <w:p w14:paraId="6A24C8F1"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133.5</w:t>
            </w:r>
          </w:p>
        </w:tc>
      </w:tr>
      <w:tr w:rsidR="00946425" w:rsidRPr="00063A0E" w14:paraId="5290C9BC" w14:textId="77777777" w:rsidTr="006B3BC0">
        <w:trPr>
          <w:trHeight w:val="431"/>
        </w:trPr>
        <w:tc>
          <w:tcPr>
            <w:tcW w:w="0" w:type="auto"/>
            <w:hideMark/>
          </w:tcPr>
          <w:p w14:paraId="7B965D44"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Cash reserves</w:t>
            </w:r>
          </w:p>
        </w:tc>
        <w:tc>
          <w:tcPr>
            <w:tcW w:w="0" w:type="auto"/>
            <w:hideMark/>
          </w:tcPr>
          <w:p w14:paraId="5284FAA7"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154.9</w:t>
            </w:r>
          </w:p>
        </w:tc>
      </w:tr>
    </w:tbl>
    <w:p w14:paraId="1F477AAC" w14:textId="77777777" w:rsidR="006B3BC0" w:rsidRPr="00946425" w:rsidRDefault="006B3BC0" w:rsidP="00946425">
      <w:pPr>
        <w:jc w:val="both"/>
        <w:rPr>
          <w:rFonts w:ascii="Times New Roman" w:hAnsi="Times New Roman" w:cs="Times New Roman"/>
          <w:b/>
          <w:bCs/>
          <w:sz w:val="24"/>
          <w:szCs w:val="24"/>
          <w:lang w:val="en-US"/>
        </w:rPr>
      </w:pPr>
    </w:p>
    <w:p w14:paraId="17980ECF" w14:textId="130705FC" w:rsidR="00063A0E" w:rsidRPr="00063A0E" w:rsidRDefault="00063A0E" w:rsidP="00946425">
      <w:pPr>
        <w:jc w:val="both"/>
        <w:rPr>
          <w:rFonts w:ascii="Times New Roman" w:hAnsi="Times New Roman" w:cs="Times New Roman"/>
          <w:sz w:val="24"/>
          <w:szCs w:val="24"/>
          <w:lang w:val="en-US"/>
        </w:rPr>
      </w:pPr>
      <w:r w:rsidRPr="00063A0E">
        <w:rPr>
          <w:rFonts w:ascii="Times New Roman" w:hAnsi="Times New Roman" w:cs="Times New Roman"/>
          <w:b/>
          <w:bCs/>
          <w:sz w:val="24"/>
          <w:szCs w:val="24"/>
          <w:lang w:val="en-US"/>
        </w:rPr>
        <w:t>Interpretation:</w:t>
      </w:r>
      <w:r w:rsidRPr="00063A0E">
        <w:rPr>
          <w:rFonts w:ascii="Times New Roman" w:hAnsi="Times New Roman" w:cs="Times New Roman"/>
          <w:sz w:val="24"/>
          <w:szCs w:val="24"/>
          <w:lang w:val="en-US"/>
        </w:rPr>
        <w:br/>
      </w:r>
      <w:r w:rsidR="00EF3A84" w:rsidRPr="00946425">
        <w:rPr>
          <w:rFonts w:ascii="Times New Roman" w:hAnsi="Times New Roman" w:cs="Times New Roman"/>
          <w:sz w:val="24"/>
          <w:szCs w:val="24"/>
          <w:lang w:val="en-US"/>
        </w:rPr>
        <w:t>This chart shows that BYD had a good cash generation and liquidity buffer in 2024. It substantiates the claim that, although current ratios are tight, the material cash strength of the company is significant and it allows the company to be flexible with regards to expansion, R&amp;D and financial restructuring.</w:t>
      </w:r>
    </w:p>
    <w:p w14:paraId="3F7CE90D" w14:textId="4CC6EE56" w:rsidR="00063A0E" w:rsidRPr="00063A0E" w:rsidRDefault="00063A0E" w:rsidP="00946425">
      <w:pPr>
        <w:jc w:val="both"/>
        <w:rPr>
          <w:rFonts w:ascii="Times New Roman" w:hAnsi="Times New Roman" w:cs="Times New Roman"/>
          <w:sz w:val="24"/>
          <w:szCs w:val="24"/>
          <w:lang w:val="en-US"/>
        </w:rPr>
      </w:pPr>
    </w:p>
    <w:p w14:paraId="360566FF" w14:textId="77777777" w:rsidR="00063A0E" w:rsidRPr="00063A0E" w:rsidRDefault="00000000" w:rsidP="00946425">
      <w:pPr>
        <w:jc w:val="both"/>
        <w:rPr>
          <w:rFonts w:ascii="Times New Roman" w:hAnsi="Times New Roman" w:cs="Times New Roman"/>
          <w:sz w:val="24"/>
          <w:szCs w:val="24"/>
          <w:lang w:val="en-US"/>
        </w:rPr>
      </w:pPr>
      <w:r>
        <w:rPr>
          <w:rFonts w:ascii="Times New Roman" w:hAnsi="Times New Roman" w:cs="Times New Roman"/>
          <w:sz w:val="24"/>
          <w:szCs w:val="24"/>
          <w:lang w:val="en-US"/>
        </w:rPr>
        <w:pict w14:anchorId="4F8EC09F">
          <v:rect id="_x0000_i1028" style="width:0;height:.75pt" o:hralign="center" o:hrstd="t" o:hr="t" fillcolor="#a0a0a0" stroked="f"/>
        </w:pict>
      </w:r>
    </w:p>
    <w:p w14:paraId="6CC7209E" w14:textId="5EA88E0A" w:rsidR="006B3BC0" w:rsidRPr="00946425" w:rsidRDefault="006B3BC0" w:rsidP="00946425">
      <w:pPr>
        <w:jc w:val="both"/>
        <w:rPr>
          <w:rFonts w:ascii="Times New Roman" w:hAnsi="Times New Roman" w:cs="Times New Roman"/>
          <w:b/>
          <w:bCs/>
          <w:sz w:val="24"/>
          <w:szCs w:val="24"/>
          <w:lang w:val="en-US"/>
        </w:rPr>
      </w:pPr>
      <w:r w:rsidRPr="00946425">
        <w:rPr>
          <w:rFonts w:ascii="Times New Roman" w:hAnsi="Times New Roman" w:cs="Times New Roman"/>
          <w:noProof/>
          <w:sz w:val="24"/>
          <w:szCs w:val="24"/>
        </w:rPr>
        <w:lastRenderedPageBreak/>
        <w:drawing>
          <wp:inline distT="0" distB="0" distL="0" distR="0" wp14:anchorId="26580385" wp14:editId="53323270">
            <wp:extent cx="5943600" cy="4437380"/>
            <wp:effectExtent l="19050" t="19050" r="19050" b="20320"/>
            <wp:docPr id="1592485046" name="Picture 8" descr="Clustered column chart comparing payback, ARR, NPV and PI for Projects A, B and 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Clustered column chart comparing payback, ARR, NPV and PI for Projects A, B and C."/>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4437380"/>
                    </a:xfrm>
                    <a:prstGeom prst="rect">
                      <a:avLst/>
                    </a:prstGeom>
                    <a:noFill/>
                    <a:ln w="19050">
                      <a:solidFill>
                        <a:schemeClr val="tx1"/>
                      </a:solidFill>
                    </a:ln>
                  </pic:spPr>
                </pic:pic>
              </a:graphicData>
            </a:graphic>
          </wp:inline>
        </w:drawing>
      </w:r>
    </w:p>
    <w:p w14:paraId="084D2539" w14:textId="659A554C" w:rsidR="00063A0E" w:rsidRPr="00063A0E" w:rsidRDefault="00063A0E" w:rsidP="00946425">
      <w:pPr>
        <w:jc w:val="both"/>
        <w:rPr>
          <w:rFonts w:ascii="Times New Roman" w:hAnsi="Times New Roman" w:cs="Times New Roman"/>
          <w:b/>
          <w:bCs/>
          <w:sz w:val="24"/>
          <w:szCs w:val="24"/>
          <w:lang w:val="en-US"/>
        </w:rPr>
      </w:pPr>
      <w:r w:rsidRPr="00063A0E">
        <w:rPr>
          <w:rFonts w:ascii="Times New Roman" w:hAnsi="Times New Roman" w:cs="Times New Roman"/>
          <w:b/>
          <w:bCs/>
          <w:sz w:val="24"/>
          <w:szCs w:val="24"/>
          <w:lang w:val="en-US"/>
        </w:rPr>
        <w:t>Figure C8. Investment Appraisal Comparison by Project</w:t>
      </w:r>
    </w:p>
    <w:p w14:paraId="2DA8C6D3" w14:textId="77777777" w:rsidR="00063A0E" w:rsidRPr="00063A0E" w:rsidRDefault="00063A0E" w:rsidP="00946425">
      <w:pPr>
        <w:jc w:val="both"/>
        <w:rPr>
          <w:rFonts w:ascii="Times New Roman" w:hAnsi="Times New Roman" w:cs="Times New Roman"/>
          <w:sz w:val="24"/>
          <w:szCs w:val="24"/>
          <w:lang w:val="en-US"/>
        </w:rPr>
      </w:pPr>
      <w:r w:rsidRPr="00063A0E">
        <w:rPr>
          <w:rFonts w:ascii="Times New Roman" w:hAnsi="Times New Roman" w:cs="Times New Roman"/>
          <w:b/>
          <w:bCs/>
          <w:sz w:val="24"/>
          <w:szCs w:val="24"/>
          <w:lang w:val="en-US"/>
        </w:rPr>
        <w:t>Data to plot:</w:t>
      </w:r>
    </w:p>
    <w:tbl>
      <w:tblPr>
        <w:tblStyle w:val="TableGrid"/>
        <w:tblW w:w="9464" w:type="dxa"/>
        <w:tblLook w:val="04A0" w:firstRow="1" w:lastRow="0" w:firstColumn="1" w:lastColumn="0" w:noHBand="0" w:noVBand="1"/>
      </w:tblPr>
      <w:tblGrid>
        <w:gridCol w:w="1368"/>
        <w:gridCol w:w="3699"/>
        <w:gridCol w:w="1709"/>
        <w:gridCol w:w="1779"/>
        <w:gridCol w:w="909"/>
      </w:tblGrid>
      <w:tr w:rsidR="00946425" w:rsidRPr="00063A0E" w14:paraId="2754A91B" w14:textId="77777777" w:rsidTr="006B3BC0">
        <w:trPr>
          <w:trHeight w:val="507"/>
        </w:trPr>
        <w:tc>
          <w:tcPr>
            <w:tcW w:w="0" w:type="auto"/>
            <w:hideMark/>
          </w:tcPr>
          <w:p w14:paraId="3EE0563B" w14:textId="77777777" w:rsidR="00063A0E" w:rsidRPr="00063A0E" w:rsidRDefault="00063A0E" w:rsidP="00946425">
            <w:pPr>
              <w:spacing w:after="160" w:line="259" w:lineRule="auto"/>
              <w:jc w:val="both"/>
              <w:rPr>
                <w:rFonts w:ascii="Times New Roman" w:hAnsi="Times New Roman" w:cs="Times New Roman"/>
                <w:b/>
                <w:bCs/>
                <w:sz w:val="24"/>
                <w:szCs w:val="24"/>
                <w:lang w:val="en-US"/>
              </w:rPr>
            </w:pPr>
            <w:r w:rsidRPr="00063A0E">
              <w:rPr>
                <w:rFonts w:ascii="Times New Roman" w:hAnsi="Times New Roman" w:cs="Times New Roman"/>
                <w:b/>
                <w:bCs/>
                <w:sz w:val="24"/>
                <w:szCs w:val="24"/>
                <w:lang w:val="en-US"/>
              </w:rPr>
              <w:t>Project</w:t>
            </w:r>
          </w:p>
        </w:tc>
        <w:tc>
          <w:tcPr>
            <w:tcW w:w="0" w:type="auto"/>
            <w:hideMark/>
          </w:tcPr>
          <w:p w14:paraId="3F58FD82" w14:textId="77777777" w:rsidR="00063A0E" w:rsidRPr="00063A0E" w:rsidRDefault="00063A0E" w:rsidP="00946425">
            <w:pPr>
              <w:spacing w:after="160" w:line="259" w:lineRule="auto"/>
              <w:jc w:val="both"/>
              <w:rPr>
                <w:rFonts w:ascii="Times New Roman" w:hAnsi="Times New Roman" w:cs="Times New Roman"/>
                <w:b/>
                <w:bCs/>
                <w:sz w:val="24"/>
                <w:szCs w:val="24"/>
                <w:lang w:val="en-US"/>
              </w:rPr>
            </w:pPr>
            <w:r w:rsidRPr="00063A0E">
              <w:rPr>
                <w:rFonts w:ascii="Times New Roman" w:hAnsi="Times New Roman" w:cs="Times New Roman"/>
                <w:b/>
                <w:bCs/>
                <w:sz w:val="24"/>
                <w:szCs w:val="24"/>
                <w:lang w:val="en-US"/>
              </w:rPr>
              <w:t>Payback period (years)</w:t>
            </w:r>
          </w:p>
        </w:tc>
        <w:tc>
          <w:tcPr>
            <w:tcW w:w="0" w:type="auto"/>
            <w:hideMark/>
          </w:tcPr>
          <w:p w14:paraId="54024987" w14:textId="77777777" w:rsidR="00063A0E" w:rsidRPr="00063A0E" w:rsidRDefault="00063A0E" w:rsidP="00946425">
            <w:pPr>
              <w:spacing w:after="160" w:line="259" w:lineRule="auto"/>
              <w:jc w:val="both"/>
              <w:rPr>
                <w:rFonts w:ascii="Times New Roman" w:hAnsi="Times New Roman" w:cs="Times New Roman"/>
                <w:b/>
                <w:bCs/>
                <w:sz w:val="24"/>
                <w:szCs w:val="24"/>
                <w:lang w:val="en-US"/>
              </w:rPr>
            </w:pPr>
            <w:r w:rsidRPr="00063A0E">
              <w:rPr>
                <w:rFonts w:ascii="Times New Roman" w:hAnsi="Times New Roman" w:cs="Times New Roman"/>
                <w:b/>
                <w:bCs/>
                <w:sz w:val="24"/>
                <w:szCs w:val="24"/>
                <w:lang w:val="en-US"/>
              </w:rPr>
              <w:t>ARR (%)</w:t>
            </w:r>
          </w:p>
        </w:tc>
        <w:tc>
          <w:tcPr>
            <w:tcW w:w="0" w:type="auto"/>
            <w:hideMark/>
          </w:tcPr>
          <w:p w14:paraId="76CBB00F" w14:textId="77777777" w:rsidR="00063A0E" w:rsidRPr="00063A0E" w:rsidRDefault="00063A0E" w:rsidP="00946425">
            <w:pPr>
              <w:spacing w:after="160" w:line="259" w:lineRule="auto"/>
              <w:jc w:val="both"/>
              <w:rPr>
                <w:rFonts w:ascii="Times New Roman" w:hAnsi="Times New Roman" w:cs="Times New Roman"/>
                <w:b/>
                <w:bCs/>
                <w:sz w:val="24"/>
                <w:szCs w:val="24"/>
                <w:lang w:val="en-US"/>
              </w:rPr>
            </w:pPr>
            <w:r w:rsidRPr="00063A0E">
              <w:rPr>
                <w:rFonts w:ascii="Times New Roman" w:hAnsi="Times New Roman" w:cs="Times New Roman"/>
                <w:b/>
                <w:bCs/>
                <w:sz w:val="24"/>
                <w:szCs w:val="24"/>
                <w:lang w:val="en-US"/>
              </w:rPr>
              <w:t>NPV (£m)</w:t>
            </w:r>
          </w:p>
        </w:tc>
        <w:tc>
          <w:tcPr>
            <w:tcW w:w="0" w:type="auto"/>
            <w:hideMark/>
          </w:tcPr>
          <w:p w14:paraId="7F2E1E7D" w14:textId="77777777" w:rsidR="00063A0E" w:rsidRPr="00063A0E" w:rsidRDefault="00063A0E" w:rsidP="00946425">
            <w:pPr>
              <w:spacing w:after="160" w:line="259" w:lineRule="auto"/>
              <w:jc w:val="both"/>
              <w:rPr>
                <w:rFonts w:ascii="Times New Roman" w:hAnsi="Times New Roman" w:cs="Times New Roman"/>
                <w:b/>
                <w:bCs/>
                <w:sz w:val="24"/>
                <w:szCs w:val="24"/>
                <w:lang w:val="en-US"/>
              </w:rPr>
            </w:pPr>
            <w:r w:rsidRPr="00063A0E">
              <w:rPr>
                <w:rFonts w:ascii="Times New Roman" w:hAnsi="Times New Roman" w:cs="Times New Roman"/>
                <w:b/>
                <w:bCs/>
                <w:sz w:val="24"/>
                <w:szCs w:val="24"/>
                <w:lang w:val="en-US"/>
              </w:rPr>
              <w:t>PI</w:t>
            </w:r>
          </w:p>
        </w:tc>
      </w:tr>
      <w:tr w:rsidR="00946425" w:rsidRPr="00063A0E" w14:paraId="2A57C8BB" w14:textId="77777777" w:rsidTr="006B3BC0">
        <w:trPr>
          <w:trHeight w:val="507"/>
        </w:trPr>
        <w:tc>
          <w:tcPr>
            <w:tcW w:w="0" w:type="auto"/>
            <w:hideMark/>
          </w:tcPr>
          <w:p w14:paraId="75E848D9"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A</w:t>
            </w:r>
          </w:p>
        </w:tc>
        <w:tc>
          <w:tcPr>
            <w:tcW w:w="0" w:type="auto"/>
            <w:hideMark/>
          </w:tcPr>
          <w:p w14:paraId="6B3F9714"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4.50</w:t>
            </w:r>
          </w:p>
        </w:tc>
        <w:tc>
          <w:tcPr>
            <w:tcW w:w="0" w:type="auto"/>
            <w:hideMark/>
          </w:tcPr>
          <w:p w14:paraId="0193C9FD"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1.6</w:t>
            </w:r>
          </w:p>
        </w:tc>
        <w:tc>
          <w:tcPr>
            <w:tcW w:w="0" w:type="auto"/>
            <w:hideMark/>
          </w:tcPr>
          <w:p w14:paraId="1DB89BCB"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-8.68</w:t>
            </w:r>
          </w:p>
        </w:tc>
        <w:tc>
          <w:tcPr>
            <w:tcW w:w="0" w:type="auto"/>
            <w:hideMark/>
          </w:tcPr>
          <w:p w14:paraId="4E3D8D05"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0.83</w:t>
            </w:r>
          </w:p>
        </w:tc>
      </w:tr>
      <w:tr w:rsidR="00946425" w:rsidRPr="00063A0E" w14:paraId="6ACCC7A3" w14:textId="77777777" w:rsidTr="006B3BC0">
        <w:trPr>
          <w:trHeight w:val="507"/>
        </w:trPr>
        <w:tc>
          <w:tcPr>
            <w:tcW w:w="0" w:type="auto"/>
            <w:hideMark/>
          </w:tcPr>
          <w:p w14:paraId="04BC69E1"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B</w:t>
            </w:r>
          </w:p>
        </w:tc>
        <w:tc>
          <w:tcPr>
            <w:tcW w:w="0" w:type="auto"/>
            <w:hideMark/>
          </w:tcPr>
          <w:p w14:paraId="4B369C34"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4.55</w:t>
            </w:r>
          </w:p>
        </w:tc>
        <w:tc>
          <w:tcPr>
            <w:tcW w:w="0" w:type="auto"/>
            <w:hideMark/>
          </w:tcPr>
          <w:p w14:paraId="09134AF7"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2.0</w:t>
            </w:r>
          </w:p>
        </w:tc>
        <w:tc>
          <w:tcPr>
            <w:tcW w:w="0" w:type="auto"/>
            <w:hideMark/>
          </w:tcPr>
          <w:p w14:paraId="442F9190"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-8.30</w:t>
            </w:r>
          </w:p>
        </w:tc>
        <w:tc>
          <w:tcPr>
            <w:tcW w:w="0" w:type="auto"/>
            <w:hideMark/>
          </w:tcPr>
          <w:p w14:paraId="6FF0251D"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0.83</w:t>
            </w:r>
          </w:p>
        </w:tc>
      </w:tr>
      <w:tr w:rsidR="00946425" w:rsidRPr="00063A0E" w14:paraId="41AF61A7" w14:textId="77777777" w:rsidTr="006B3BC0">
        <w:trPr>
          <w:trHeight w:val="507"/>
        </w:trPr>
        <w:tc>
          <w:tcPr>
            <w:tcW w:w="0" w:type="auto"/>
            <w:hideMark/>
          </w:tcPr>
          <w:p w14:paraId="4D13AD07"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C</w:t>
            </w:r>
          </w:p>
        </w:tc>
        <w:tc>
          <w:tcPr>
            <w:tcW w:w="0" w:type="auto"/>
            <w:hideMark/>
          </w:tcPr>
          <w:p w14:paraId="06E1C647"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3.60</w:t>
            </w:r>
          </w:p>
        </w:tc>
        <w:tc>
          <w:tcPr>
            <w:tcW w:w="0" w:type="auto"/>
            <w:hideMark/>
          </w:tcPr>
          <w:p w14:paraId="1E805861"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6.0</w:t>
            </w:r>
          </w:p>
        </w:tc>
        <w:tc>
          <w:tcPr>
            <w:tcW w:w="0" w:type="auto"/>
            <w:hideMark/>
          </w:tcPr>
          <w:p w14:paraId="3CCB38C3"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-1.98</w:t>
            </w:r>
          </w:p>
        </w:tc>
        <w:tc>
          <w:tcPr>
            <w:tcW w:w="0" w:type="auto"/>
            <w:hideMark/>
          </w:tcPr>
          <w:p w14:paraId="5B4D5B2B"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0.96</w:t>
            </w:r>
          </w:p>
        </w:tc>
      </w:tr>
    </w:tbl>
    <w:p w14:paraId="0AA5E452" w14:textId="77777777" w:rsidR="006B3BC0" w:rsidRPr="00946425" w:rsidRDefault="006B3BC0" w:rsidP="00946425">
      <w:pPr>
        <w:jc w:val="both"/>
        <w:rPr>
          <w:rFonts w:ascii="Times New Roman" w:hAnsi="Times New Roman" w:cs="Times New Roman"/>
          <w:b/>
          <w:bCs/>
          <w:sz w:val="24"/>
          <w:szCs w:val="24"/>
          <w:lang w:val="en-US"/>
        </w:rPr>
      </w:pPr>
    </w:p>
    <w:p w14:paraId="00422621" w14:textId="4BD01092" w:rsidR="00063A0E" w:rsidRPr="00063A0E" w:rsidRDefault="00063A0E" w:rsidP="00946425">
      <w:pPr>
        <w:jc w:val="both"/>
        <w:rPr>
          <w:rFonts w:ascii="Times New Roman" w:hAnsi="Times New Roman" w:cs="Times New Roman"/>
          <w:sz w:val="24"/>
          <w:szCs w:val="24"/>
          <w:lang w:val="en-US"/>
        </w:rPr>
      </w:pPr>
      <w:r w:rsidRPr="00063A0E">
        <w:rPr>
          <w:rFonts w:ascii="Times New Roman" w:hAnsi="Times New Roman" w:cs="Times New Roman"/>
          <w:b/>
          <w:bCs/>
          <w:sz w:val="24"/>
          <w:szCs w:val="24"/>
          <w:lang w:val="en-US"/>
        </w:rPr>
        <w:t>Interpretation:</w:t>
      </w:r>
      <w:r w:rsidRPr="00063A0E">
        <w:rPr>
          <w:rFonts w:ascii="Times New Roman" w:hAnsi="Times New Roman" w:cs="Times New Roman"/>
          <w:sz w:val="24"/>
          <w:szCs w:val="24"/>
          <w:lang w:val="en-US"/>
        </w:rPr>
        <w:br/>
      </w:r>
      <w:r w:rsidR="00EF3A84" w:rsidRPr="00946425">
        <w:rPr>
          <w:rFonts w:ascii="Times New Roman" w:hAnsi="Times New Roman" w:cs="Times New Roman"/>
          <w:sz w:val="24"/>
          <w:szCs w:val="24"/>
          <w:lang w:val="en-US"/>
        </w:rPr>
        <w:t>In this chart, Project C outperforms Projects A and B with regard to the key measures of investment appraisal applied in the assignment. It possesses the lowest payback, the highest ARR, the highest PI and lowest negative NPV, thus the strongest between the three available despite the fact that all three projects have negative NPVs.</w:t>
      </w:r>
    </w:p>
    <w:p w14:paraId="04BD6708" w14:textId="463D9067" w:rsidR="00063A0E" w:rsidRPr="00063A0E" w:rsidRDefault="00063A0E" w:rsidP="00946425">
      <w:pPr>
        <w:jc w:val="both"/>
        <w:rPr>
          <w:rFonts w:ascii="Times New Roman" w:hAnsi="Times New Roman" w:cs="Times New Roman"/>
          <w:sz w:val="24"/>
          <w:szCs w:val="24"/>
          <w:lang w:val="en-US"/>
        </w:rPr>
      </w:pPr>
    </w:p>
    <w:p w14:paraId="7126435F" w14:textId="19CC716E" w:rsidR="00063A0E" w:rsidRPr="00063A0E" w:rsidRDefault="00063A0E" w:rsidP="00946425">
      <w:pPr>
        <w:jc w:val="both"/>
        <w:rPr>
          <w:rFonts w:ascii="Times New Roman" w:hAnsi="Times New Roman" w:cs="Times New Roman"/>
          <w:sz w:val="24"/>
          <w:szCs w:val="24"/>
          <w:lang w:val="en-US"/>
        </w:rPr>
      </w:pPr>
    </w:p>
    <w:p w14:paraId="2A94B59E" w14:textId="0E38837C" w:rsidR="0001294A" w:rsidRPr="00946425" w:rsidRDefault="0001294A" w:rsidP="00946425">
      <w:pPr>
        <w:jc w:val="both"/>
        <w:rPr>
          <w:rFonts w:ascii="Times New Roman" w:hAnsi="Times New Roman" w:cs="Times New Roman"/>
          <w:b/>
          <w:bCs/>
          <w:sz w:val="24"/>
          <w:szCs w:val="24"/>
          <w:lang w:val="en-US"/>
        </w:rPr>
      </w:pPr>
      <w:r w:rsidRPr="00946425">
        <w:rPr>
          <w:rFonts w:ascii="Times New Roman" w:hAnsi="Times New Roman" w:cs="Times New Roman"/>
          <w:noProof/>
          <w:sz w:val="24"/>
          <w:szCs w:val="24"/>
        </w:rPr>
        <w:drawing>
          <wp:inline distT="0" distB="0" distL="0" distR="0" wp14:anchorId="7C0BA459" wp14:editId="14C048F8">
            <wp:extent cx="5943600" cy="4437380"/>
            <wp:effectExtent l="38100" t="38100" r="38100" b="39370"/>
            <wp:docPr id="1352551985" name="Picture 9" descr="Column chart comparing combined NPV for project combinations A+B, A+C and B+C under capital ra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Column chart comparing combined NPV for project combinations A+B, A+C and B+C under capital rationi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4437380"/>
                    </a:xfrm>
                    <a:prstGeom prst="rect">
                      <a:avLst/>
                    </a:prstGeom>
                    <a:noFill/>
                    <a:ln w="28575">
                      <a:solidFill>
                        <a:schemeClr val="tx1"/>
                      </a:solidFill>
                    </a:ln>
                  </pic:spPr>
                </pic:pic>
              </a:graphicData>
            </a:graphic>
          </wp:inline>
        </w:drawing>
      </w:r>
    </w:p>
    <w:p w14:paraId="63F374D4" w14:textId="278B6B00" w:rsidR="00063A0E" w:rsidRPr="00063A0E" w:rsidRDefault="00063A0E" w:rsidP="00946425">
      <w:pPr>
        <w:jc w:val="both"/>
        <w:rPr>
          <w:rFonts w:ascii="Times New Roman" w:hAnsi="Times New Roman" w:cs="Times New Roman"/>
          <w:b/>
          <w:bCs/>
          <w:sz w:val="24"/>
          <w:szCs w:val="24"/>
          <w:lang w:val="en-US"/>
        </w:rPr>
      </w:pPr>
      <w:r w:rsidRPr="00063A0E">
        <w:rPr>
          <w:rFonts w:ascii="Times New Roman" w:hAnsi="Times New Roman" w:cs="Times New Roman"/>
          <w:b/>
          <w:bCs/>
          <w:sz w:val="24"/>
          <w:szCs w:val="24"/>
          <w:lang w:val="en-US"/>
        </w:rPr>
        <w:t>Figure C9. Capital Rationing Comparison of Project Combinations</w:t>
      </w:r>
    </w:p>
    <w:p w14:paraId="5EAC45B1" w14:textId="77777777" w:rsidR="00063A0E" w:rsidRPr="00063A0E" w:rsidRDefault="00063A0E" w:rsidP="00946425">
      <w:pPr>
        <w:jc w:val="both"/>
        <w:rPr>
          <w:rFonts w:ascii="Times New Roman" w:hAnsi="Times New Roman" w:cs="Times New Roman"/>
          <w:sz w:val="24"/>
          <w:szCs w:val="24"/>
          <w:lang w:val="en-US"/>
        </w:rPr>
      </w:pPr>
      <w:r w:rsidRPr="00063A0E">
        <w:rPr>
          <w:rFonts w:ascii="Times New Roman" w:hAnsi="Times New Roman" w:cs="Times New Roman"/>
          <w:b/>
          <w:bCs/>
          <w:sz w:val="24"/>
          <w:szCs w:val="24"/>
          <w:lang w:val="en-US"/>
        </w:rPr>
        <w:t>Data to plot (combined NPV, £m):</w:t>
      </w:r>
    </w:p>
    <w:tbl>
      <w:tblPr>
        <w:tblStyle w:val="TableGrid"/>
        <w:tblW w:w="9147" w:type="dxa"/>
        <w:tblLook w:val="04A0" w:firstRow="1" w:lastRow="0" w:firstColumn="1" w:lastColumn="0" w:noHBand="0" w:noVBand="1"/>
      </w:tblPr>
      <w:tblGrid>
        <w:gridCol w:w="4205"/>
        <w:gridCol w:w="4942"/>
      </w:tblGrid>
      <w:tr w:rsidR="00946425" w:rsidRPr="00063A0E" w14:paraId="74779DA5" w14:textId="77777777" w:rsidTr="00063A0E">
        <w:trPr>
          <w:trHeight w:val="426"/>
        </w:trPr>
        <w:tc>
          <w:tcPr>
            <w:tcW w:w="0" w:type="auto"/>
            <w:hideMark/>
          </w:tcPr>
          <w:p w14:paraId="11FA81ED" w14:textId="77777777" w:rsidR="00063A0E" w:rsidRPr="00063A0E" w:rsidRDefault="00063A0E" w:rsidP="00946425">
            <w:pPr>
              <w:spacing w:after="160" w:line="259" w:lineRule="auto"/>
              <w:jc w:val="both"/>
              <w:rPr>
                <w:rFonts w:ascii="Times New Roman" w:hAnsi="Times New Roman" w:cs="Times New Roman"/>
                <w:b/>
                <w:bCs/>
                <w:sz w:val="24"/>
                <w:szCs w:val="24"/>
                <w:lang w:val="en-US"/>
              </w:rPr>
            </w:pPr>
            <w:r w:rsidRPr="00063A0E">
              <w:rPr>
                <w:rFonts w:ascii="Times New Roman" w:hAnsi="Times New Roman" w:cs="Times New Roman"/>
                <w:b/>
                <w:bCs/>
                <w:sz w:val="24"/>
                <w:szCs w:val="24"/>
                <w:lang w:val="en-US"/>
              </w:rPr>
              <w:t>Combination</w:t>
            </w:r>
          </w:p>
        </w:tc>
        <w:tc>
          <w:tcPr>
            <w:tcW w:w="0" w:type="auto"/>
            <w:hideMark/>
          </w:tcPr>
          <w:p w14:paraId="525726C8" w14:textId="77777777" w:rsidR="00063A0E" w:rsidRPr="00063A0E" w:rsidRDefault="00063A0E" w:rsidP="00946425">
            <w:pPr>
              <w:spacing w:after="160" w:line="259" w:lineRule="auto"/>
              <w:jc w:val="both"/>
              <w:rPr>
                <w:rFonts w:ascii="Times New Roman" w:hAnsi="Times New Roman" w:cs="Times New Roman"/>
                <w:b/>
                <w:bCs/>
                <w:sz w:val="24"/>
                <w:szCs w:val="24"/>
                <w:lang w:val="en-US"/>
              </w:rPr>
            </w:pPr>
            <w:r w:rsidRPr="00063A0E">
              <w:rPr>
                <w:rFonts w:ascii="Times New Roman" w:hAnsi="Times New Roman" w:cs="Times New Roman"/>
                <w:b/>
                <w:bCs/>
                <w:sz w:val="24"/>
                <w:szCs w:val="24"/>
                <w:lang w:val="en-US"/>
              </w:rPr>
              <w:t>Combined NPV</w:t>
            </w:r>
          </w:p>
        </w:tc>
      </w:tr>
      <w:tr w:rsidR="00946425" w:rsidRPr="00063A0E" w14:paraId="513FAE60" w14:textId="77777777" w:rsidTr="00063A0E">
        <w:trPr>
          <w:trHeight w:val="426"/>
        </w:trPr>
        <w:tc>
          <w:tcPr>
            <w:tcW w:w="0" w:type="auto"/>
            <w:hideMark/>
          </w:tcPr>
          <w:p w14:paraId="2BE7BEB9"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A + B</w:t>
            </w:r>
          </w:p>
        </w:tc>
        <w:tc>
          <w:tcPr>
            <w:tcW w:w="0" w:type="auto"/>
            <w:hideMark/>
          </w:tcPr>
          <w:p w14:paraId="748C9BBE"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-16.98</w:t>
            </w:r>
          </w:p>
        </w:tc>
      </w:tr>
      <w:tr w:rsidR="00946425" w:rsidRPr="00063A0E" w14:paraId="6B5C328F" w14:textId="77777777" w:rsidTr="00063A0E">
        <w:trPr>
          <w:trHeight w:val="426"/>
        </w:trPr>
        <w:tc>
          <w:tcPr>
            <w:tcW w:w="0" w:type="auto"/>
            <w:hideMark/>
          </w:tcPr>
          <w:p w14:paraId="13117783"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A + C</w:t>
            </w:r>
          </w:p>
        </w:tc>
        <w:tc>
          <w:tcPr>
            <w:tcW w:w="0" w:type="auto"/>
            <w:hideMark/>
          </w:tcPr>
          <w:p w14:paraId="20229FE1"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-10.66</w:t>
            </w:r>
          </w:p>
        </w:tc>
      </w:tr>
      <w:tr w:rsidR="00946425" w:rsidRPr="00063A0E" w14:paraId="5DB4466F" w14:textId="77777777" w:rsidTr="00063A0E">
        <w:trPr>
          <w:trHeight w:val="426"/>
        </w:trPr>
        <w:tc>
          <w:tcPr>
            <w:tcW w:w="0" w:type="auto"/>
            <w:hideMark/>
          </w:tcPr>
          <w:p w14:paraId="4B0C7E27"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B + C</w:t>
            </w:r>
          </w:p>
        </w:tc>
        <w:tc>
          <w:tcPr>
            <w:tcW w:w="0" w:type="auto"/>
            <w:hideMark/>
          </w:tcPr>
          <w:p w14:paraId="39506EB7" w14:textId="77777777" w:rsidR="00063A0E" w:rsidRPr="00063A0E" w:rsidRDefault="00063A0E" w:rsidP="00946425">
            <w:pPr>
              <w:spacing w:after="160" w:line="259" w:lineRule="auto"/>
              <w:jc w:val="both"/>
              <w:rPr>
                <w:rFonts w:ascii="Times New Roman" w:hAnsi="Times New Roman" w:cs="Times New Roman"/>
                <w:sz w:val="24"/>
                <w:szCs w:val="24"/>
                <w:lang w:val="en-US"/>
              </w:rPr>
            </w:pPr>
            <w:r w:rsidRPr="00063A0E">
              <w:rPr>
                <w:rFonts w:ascii="Times New Roman" w:hAnsi="Times New Roman" w:cs="Times New Roman"/>
                <w:sz w:val="24"/>
                <w:szCs w:val="24"/>
                <w:lang w:val="en-US"/>
              </w:rPr>
              <w:t>-10.28</w:t>
            </w:r>
          </w:p>
        </w:tc>
      </w:tr>
    </w:tbl>
    <w:p w14:paraId="5BDAFBF3" w14:textId="77777777" w:rsidR="0001294A" w:rsidRPr="00946425" w:rsidRDefault="0001294A" w:rsidP="00946425">
      <w:pPr>
        <w:jc w:val="both"/>
        <w:rPr>
          <w:rFonts w:ascii="Times New Roman" w:hAnsi="Times New Roman" w:cs="Times New Roman"/>
          <w:b/>
          <w:bCs/>
          <w:sz w:val="24"/>
          <w:szCs w:val="24"/>
          <w:lang w:val="en-US"/>
        </w:rPr>
      </w:pPr>
    </w:p>
    <w:p w14:paraId="67FEF600" w14:textId="5DF43F29" w:rsidR="00063A0E" w:rsidRPr="00063A0E" w:rsidRDefault="00063A0E" w:rsidP="00946425">
      <w:pPr>
        <w:jc w:val="both"/>
        <w:rPr>
          <w:rFonts w:ascii="Times New Roman" w:hAnsi="Times New Roman" w:cs="Times New Roman"/>
          <w:sz w:val="24"/>
          <w:szCs w:val="24"/>
          <w:lang w:val="en-US"/>
        </w:rPr>
      </w:pPr>
      <w:r w:rsidRPr="00063A0E">
        <w:rPr>
          <w:rFonts w:ascii="Times New Roman" w:hAnsi="Times New Roman" w:cs="Times New Roman"/>
          <w:b/>
          <w:bCs/>
          <w:sz w:val="24"/>
          <w:szCs w:val="24"/>
          <w:lang w:val="en-US"/>
        </w:rPr>
        <w:t>Interpretation:</w:t>
      </w:r>
      <w:r w:rsidRPr="00063A0E">
        <w:rPr>
          <w:rFonts w:ascii="Times New Roman" w:hAnsi="Times New Roman" w:cs="Times New Roman"/>
          <w:sz w:val="24"/>
          <w:szCs w:val="24"/>
          <w:lang w:val="en-US"/>
        </w:rPr>
        <w:br/>
      </w:r>
      <w:r w:rsidR="00EF3A84" w:rsidRPr="00946425">
        <w:rPr>
          <w:rFonts w:ascii="Times New Roman" w:hAnsi="Times New Roman" w:cs="Times New Roman"/>
          <w:sz w:val="24"/>
          <w:szCs w:val="24"/>
          <w:lang w:val="en-US"/>
        </w:rPr>
        <w:t>The chart aids the decision of capital rationing by indicating that the B + C combination has the greatest combined NPV, or minimum negative value, of the two-project options available. Hence, it is the most financially viable combination at the limit of less than 100 million budget.</w:t>
      </w:r>
    </w:p>
    <w:p w14:paraId="09CB06FE" w14:textId="77777777" w:rsidR="00063A0E" w:rsidRPr="00946425" w:rsidRDefault="00063A0E" w:rsidP="00946425">
      <w:pPr>
        <w:jc w:val="both"/>
        <w:rPr>
          <w:rFonts w:ascii="Times New Roman" w:hAnsi="Times New Roman" w:cs="Times New Roman"/>
          <w:b/>
          <w:bCs/>
          <w:sz w:val="24"/>
          <w:szCs w:val="24"/>
          <w:lang w:val="en-US"/>
        </w:rPr>
      </w:pPr>
    </w:p>
    <w:p w14:paraId="5E6C339E" w14:textId="77777777" w:rsidR="0001294A" w:rsidRPr="00946425" w:rsidRDefault="0001294A" w:rsidP="00946425">
      <w:pPr>
        <w:jc w:val="both"/>
        <w:rPr>
          <w:rFonts w:ascii="Times New Roman" w:hAnsi="Times New Roman" w:cs="Times New Roman"/>
          <w:b/>
          <w:bCs/>
          <w:sz w:val="24"/>
          <w:szCs w:val="24"/>
          <w:lang w:val="en-US"/>
        </w:rPr>
      </w:pPr>
    </w:p>
    <w:p w14:paraId="75B8038D" w14:textId="77777777" w:rsidR="0001294A" w:rsidRPr="00946425" w:rsidRDefault="0001294A" w:rsidP="00946425">
      <w:pPr>
        <w:jc w:val="both"/>
        <w:rPr>
          <w:rFonts w:ascii="Times New Roman" w:hAnsi="Times New Roman" w:cs="Times New Roman"/>
          <w:b/>
          <w:bCs/>
          <w:sz w:val="24"/>
          <w:szCs w:val="24"/>
          <w:lang w:val="en-US"/>
        </w:rPr>
      </w:pPr>
    </w:p>
    <w:p w14:paraId="54B3B085" w14:textId="77777777" w:rsidR="0001294A" w:rsidRPr="00946425" w:rsidRDefault="0001294A" w:rsidP="00946425">
      <w:pPr>
        <w:pStyle w:val="Heading2"/>
        <w:jc w:val="both"/>
        <w:rPr>
          <w:rFonts w:ascii="Times New Roman" w:hAnsi="Times New Roman" w:cs="Times New Roman"/>
          <w:b/>
          <w:bCs/>
          <w:color w:val="auto"/>
          <w:sz w:val="24"/>
          <w:szCs w:val="24"/>
          <w:lang w:val="en-US"/>
        </w:rPr>
      </w:pPr>
      <w:bookmarkStart w:id="42" w:name="_Toc227884479"/>
      <w:r w:rsidRPr="00946425">
        <w:rPr>
          <w:rFonts w:ascii="Times New Roman" w:hAnsi="Times New Roman" w:cs="Times New Roman"/>
          <w:b/>
          <w:bCs/>
          <w:color w:val="auto"/>
          <w:sz w:val="24"/>
          <w:szCs w:val="24"/>
          <w:lang w:val="en-US"/>
        </w:rPr>
        <w:t>Appendix D: Investment Appraisal Calculations</w:t>
      </w:r>
      <w:bookmarkEnd w:id="42"/>
    </w:p>
    <w:p w14:paraId="76774F56" w14:textId="77777777" w:rsidR="00EF3A84" w:rsidRPr="00946425" w:rsidRDefault="00EF3A84" w:rsidP="00946425">
      <w:pPr>
        <w:jc w:val="both"/>
        <w:rPr>
          <w:rFonts w:ascii="Times New Roman" w:hAnsi="Times New Roman" w:cs="Times New Roman"/>
          <w:sz w:val="24"/>
          <w:szCs w:val="24"/>
          <w:lang w:val="en-US"/>
        </w:rPr>
      </w:pPr>
      <w:r w:rsidRPr="00946425">
        <w:rPr>
          <w:rFonts w:ascii="Times New Roman" w:hAnsi="Times New Roman" w:cs="Times New Roman"/>
          <w:sz w:val="24"/>
          <w:szCs w:val="24"/>
          <w:lang w:val="en-US"/>
        </w:rPr>
        <w:t>The following appendix is the in-depth calculation of the three projects (A, B and C) which are assessed based on Payback Period, Accounting rate of return (ARR), Net Present Value (NPV), Profitability Index (PI) and conceptually Internal rate of return (IRR). The discount is 10 percent and straight-line depreciation to zero is taken over a period of five years.</w:t>
      </w:r>
    </w:p>
    <w:p w14:paraId="4EECD9FA" w14:textId="76069B0E"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Appendix D1. Project Cash Flow Tables</w:t>
      </w:r>
    </w:p>
    <w:p w14:paraId="6F732C40"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All cash flows are in £ million.</w:t>
      </w:r>
    </w:p>
    <w:p w14:paraId="30758AB0"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Table D1.1 Project A – Cash Flows</w:t>
      </w:r>
    </w:p>
    <w:tbl>
      <w:tblPr>
        <w:tblW w:w="9354"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3241"/>
        <w:gridCol w:w="1194"/>
        <w:gridCol w:w="1033"/>
        <w:gridCol w:w="1033"/>
        <w:gridCol w:w="1033"/>
        <w:gridCol w:w="1033"/>
        <w:gridCol w:w="787"/>
      </w:tblGrid>
      <w:tr w:rsidR="00946425" w:rsidRPr="0001294A" w14:paraId="5F64B3E0" w14:textId="77777777" w:rsidTr="0001294A">
        <w:trPr>
          <w:trHeight w:val="481"/>
          <w:tblHeader/>
          <w:tblCellSpacing w:w="15" w:type="dxa"/>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28564A18"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Year</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1165517D"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0</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76F3E8EC"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1</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063B8EA3"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2</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35DBC215"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3</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4AB16251"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4</w:t>
            </w:r>
          </w:p>
        </w:tc>
        <w:tc>
          <w:tcPr>
            <w:tcW w:w="0" w:type="auto"/>
            <w:tcBorders>
              <w:top w:val="single" w:sz="2" w:space="0" w:color="auto"/>
              <w:left w:val="single" w:sz="2" w:space="0" w:color="auto"/>
              <w:bottom w:val="single" w:sz="6" w:space="0" w:color="auto"/>
              <w:right w:val="single" w:sz="2" w:space="0" w:color="auto"/>
            </w:tcBorders>
            <w:tcMar>
              <w:top w:w="120" w:type="dxa"/>
              <w:left w:w="120" w:type="dxa"/>
              <w:bottom w:w="120" w:type="dxa"/>
              <w:right w:w="120" w:type="dxa"/>
            </w:tcMar>
            <w:vAlign w:val="bottom"/>
            <w:hideMark/>
          </w:tcPr>
          <w:p w14:paraId="12158A3B"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5</w:t>
            </w:r>
          </w:p>
        </w:tc>
      </w:tr>
      <w:tr w:rsidR="00946425" w:rsidRPr="0001294A" w14:paraId="0C00962A" w14:textId="77777777" w:rsidTr="0001294A">
        <w:trPr>
          <w:trHeight w:val="502"/>
          <w:tblCellSpacing w:w="15" w:type="dxa"/>
        </w:trPr>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35558C4A"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Net cash flow</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2DF3CCA6"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-50</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7CFEC701"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10</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5525753C"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12</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190F7303"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14</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00BC095E"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10</w:t>
            </w:r>
          </w:p>
        </w:tc>
        <w:tc>
          <w:tcPr>
            <w:tcW w:w="0" w:type="auto"/>
            <w:tcBorders>
              <w:top w:val="single" w:sz="2" w:space="0" w:color="auto"/>
              <w:left w:val="single" w:sz="2" w:space="0" w:color="auto"/>
              <w:bottom w:val="single" w:sz="2" w:space="0" w:color="auto"/>
              <w:right w:val="single" w:sz="2" w:space="0" w:color="auto"/>
            </w:tcBorders>
            <w:tcMar>
              <w:top w:w="137" w:type="dxa"/>
              <w:left w:w="120" w:type="dxa"/>
              <w:bottom w:w="137" w:type="dxa"/>
              <w:right w:w="120" w:type="dxa"/>
            </w:tcMar>
            <w:vAlign w:val="bottom"/>
            <w:hideMark/>
          </w:tcPr>
          <w:p w14:paraId="48C0155E"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8</w:t>
            </w:r>
          </w:p>
        </w:tc>
      </w:tr>
    </w:tbl>
    <w:p w14:paraId="0D8D6E20"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Table D1.2 Project B – Cash Flows</w:t>
      </w:r>
    </w:p>
    <w:tbl>
      <w:tblPr>
        <w:tblW w:w="9297"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3166"/>
        <w:gridCol w:w="1166"/>
        <w:gridCol w:w="994"/>
        <w:gridCol w:w="994"/>
        <w:gridCol w:w="994"/>
        <w:gridCol w:w="994"/>
        <w:gridCol w:w="989"/>
      </w:tblGrid>
      <w:tr w:rsidR="00946425" w:rsidRPr="0001294A" w14:paraId="67DDCC14" w14:textId="77777777" w:rsidTr="0001294A">
        <w:trPr>
          <w:trHeight w:val="514"/>
          <w:tblHeader/>
          <w:tblCellSpacing w:w="15" w:type="dxa"/>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05C68331"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Year</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2BA39FCE"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0</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3F3673BC"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1</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2702BB3B"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2</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2ED5884C"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3</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50DA987C"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4</w:t>
            </w:r>
          </w:p>
        </w:tc>
        <w:tc>
          <w:tcPr>
            <w:tcW w:w="0" w:type="auto"/>
            <w:tcBorders>
              <w:top w:val="single" w:sz="2" w:space="0" w:color="auto"/>
              <w:left w:val="single" w:sz="2" w:space="0" w:color="auto"/>
              <w:bottom w:val="single" w:sz="6" w:space="0" w:color="auto"/>
              <w:right w:val="single" w:sz="2" w:space="0" w:color="auto"/>
            </w:tcBorders>
            <w:tcMar>
              <w:top w:w="120" w:type="dxa"/>
              <w:left w:w="120" w:type="dxa"/>
              <w:bottom w:w="120" w:type="dxa"/>
              <w:right w:w="120" w:type="dxa"/>
            </w:tcMar>
            <w:vAlign w:val="bottom"/>
            <w:hideMark/>
          </w:tcPr>
          <w:p w14:paraId="6D18B4D2"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5</w:t>
            </w:r>
          </w:p>
        </w:tc>
      </w:tr>
      <w:tr w:rsidR="00946425" w:rsidRPr="0001294A" w14:paraId="04F229F2" w14:textId="77777777" w:rsidTr="0001294A">
        <w:trPr>
          <w:trHeight w:val="536"/>
          <w:tblCellSpacing w:w="15" w:type="dxa"/>
        </w:trPr>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42EB1BC5"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Net cash flow</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50951BBF"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-50</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03565DA9"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11</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2353C5C2"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11</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5FD66124"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11</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3E598EB9"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11</w:t>
            </w:r>
          </w:p>
        </w:tc>
        <w:tc>
          <w:tcPr>
            <w:tcW w:w="0" w:type="auto"/>
            <w:tcBorders>
              <w:top w:val="single" w:sz="2" w:space="0" w:color="auto"/>
              <w:left w:val="single" w:sz="2" w:space="0" w:color="auto"/>
              <w:bottom w:val="single" w:sz="2" w:space="0" w:color="auto"/>
              <w:right w:val="single" w:sz="2" w:space="0" w:color="auto"/>
            </w:tcBorders>
            <w:tcMar>
              <w:top w:w="137" w:type="dxa"/>
              <w:left w:w="120" w:type="dxa"/>
              <w:bottom w:w="137" w:type="dxa"/>
              <w:right w:w="120" w:type="dxa"/>
            </w:tcMar>
            <w:vAlign w:val="bottom"/>
            <w:hideMark/>
          </w:tcPr>
          <w:p w14:paraId="0CC53796"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11</w:t>
            </w:r>
          </w:p>
        </w:tc>
      </w:tr>
    </w:tbl>
    <w:p w14:paraId="593FE215"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Table D1.3 Project C – Cash Flows</w:t>
      </w:r>
    </w:p>
    <w:tbl>
      <w:tblPr>
        <w:tblW w:w="9372"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3334"/>
        <w:gridCol w:w="1228"/>
        <w:gridCol w:w="815"/>
        <w:gridCol w:w="1062"/>
        <w:gridCol w:w="1062"/>
        <w:gridCol w:w="1062"/>
        <w:gridCol w:w="809"/>
      </w:tblGrid>
      <w:tr w:rsidR="00946425" w:rsidRPr="0001294A" w14:paraId="5A633E3B" w14:textId="77777777" w:rsidTr="0001294A">
        <w:trPr>
          <w:trHeight w:val="449"/>
          <w:tblHeader/>
          <w:tblCellSpacing w:w="15" w:type="dxa"/>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02D1302D"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Year</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2E31DB15"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0</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49AE78F7"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1</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45637F63"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2</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151AC2C6"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3</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3EAED62F"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4</w:t>
            </w:r>
          </w:p>
        </w:tc>
        <w:tc>
          <w:tcPr>
            <w:tcW w:w="0" w:type="auto"/>
            <w:tcBorders>
              <w:top w:val="single" w:sz="2" w:space="0" w:color="auto"/>
              <w:left w:val="single" w:sz="2" w:space="0" w:color="auto"/>
              <w:bottom w:val="single" w:sz="6" w:space="0" w:color="auto"/>
              <w:right w:val="single" w:sz="2" w:space="0" w:color="auto"/>
            </w:tcBorders>
            <w:tcMar>
              <w:top w:w="120" w:type="dxa"/>
              <w:left w:w="120" w:type="dxa"/>
              <w:bottom w:w="120" w:type="dxa"/>
              <w:right w:w="120" w:type="dxa"/>
            </w:tcMar>
            <w:vAlign w:val="bottom"/>
            <w:hideMark/>
          </w:tcPr>
          <w:p w14:paraId="545BA203"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5</w:t>
            </w:r>
          </w:p>
        </w:tc>
      </w:tr>
      <w:tr w:rsidR="00946425" w:rsidRPr="0001294A" w14:paraId="664AB3AC" w14:textId="77777777" w:rsidTr="0001294A">
        <w:trPr>
          <w:trHeight w:val="468"/>
          <w:tblCellSpacing w:w="15" w:type="dxa"/>
        </w:trPr>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2C5741EA"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Net cash flow</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2A8877BD"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-50</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50665D4F"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02167CC4"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10</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33BD0F3F"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20</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76FEA586"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25</w:t>
            </w:r>
          </w:p>
        </w:tc>
        <w:tc>
          <w:tcPr>
            <w:tcW w:w="0" w:type="auto"/>
            <w:tcBorders>
              <w:top w:val="single" w:sz="2" w:space="0" w:color="auto"/>
              <w:left w:val="single" w:sz="2" w:space="0" w:color="auto"/>
              <w:bottom w:val="single" w:sz="2" w:space="0" w:color="auto"/>
              <w:right w:val="single" w:sz="2" w:space="0" w:color="auto"/>
            </w:tcBorders>
            <w:tcMar>
              <w:top w:w="137" w:type="dxa"/>
              <w:left w:w="120" w:type="dxa"/>
              <w:bottom w:w="137" w:type="dxa"/>
              <w:right w:w="120" w:type="dxa"/>
            </w:tcMar>
            <w:vAlign w:val="bottom"/>
            <w:hideMark/>
          </w:tcPr>
          <w:p w14:paraId="2220FB05"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w:t>
            </w:r>
          </w:p>
        </w:tc>
      </w:tr>
    </w:tbl>
    <w:p w14:paraId="5ADBCAEA" w14:textId="069F98C2" w:rsidR="0001294A" w:rsidRPr="0001294A" w:rsidRDefault="0001294A" w:rsidP="00946425">
      <w:pPr>
        <w:jc w:val="both"/>
        <w:rPr>
          <w:rFonts w:ascii="Times New Roman" w:hAnsi="Times New Roman" w:cs="Times New Roman"/>
          <w:sz w:val="24"/>
          <w:szCs w:val="24"/>
          <w:lang w:val="en-US"/>
        </w:rPr>
      </w:pPr>
    </w:p>
    <w:p w14:paraId="3D044F65"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Appendix D2. Payback Period Calculations</w:t>
      </w:r>
    </w:p>
    <w:p w14:paraId="6966AE1B"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Payback is the time taken for cumulative cash inflows to recover the initial investment.</w:t>
      </w:r>
    </w:p>
    <w:p w14:paraId="2332288A"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Table D2.1 Cumulative Cash Flows and Payback</w:t>
      </w:r>
    </w:p>
    <w:tbl>
      <w:tblPr>
        <w:tblStyle w:val="TableGrid"/>
        <w:tblW w:w="9969" w:type="dxa"/>
        <w:tblLook w:val="04A0" w:firstRow="1" w:lastRow="0" w:firstColumn="1" w:lastColumn="0" w:noHBand="0" w:noVBand="1"/>
      </w:tblPr>
      <w:tblGrid>
        <w:gridCol w:w="958"/>
        <w:gridCol w:w="696"/>
        <w:gridCol w:w="1170"/>
        <w:gridCol w:w="2294"/>
        <w:gridCol w:w="4851"/>
      </w:tblGrid>
      <w:tr w:rsidR="00946425" w:rsidRPr="0001294A" w14:paraId="296095E5" w14:textId="77777777" w:rsidTr="0001294A">
        <w:trPr>
          <w:trHeight w:val="446"/>
        </w:trPr>
        <w:tc>
          <w:tcPr>
            <w:tcW w:w="0" w:type="auto"/>
            <w:hideMark/>
          </w:tcPr>
          <w:p w14:paraId="5649EABB" w14:textId="77777777" w:rsidR="0001294A" w:rsidRPr="0001294A" w:rsidRDefault="0001294A" w:rsidP="00946425">
            <w:pPr>
              <w:spacing w:after="160" w:line="259" w:lineRule="auto"/>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Project</w:t>
            </w:r>
          </w:p>
        </w:tc>
        <w:tc>
          <w:tcPr>
            <w:tcW w:w="0" w:type="auto"/>
            <w:hideMark/>
          </w:tcPr>
          <w:p w14:paraId="6CBEF567" w14:textId="77777777" w:rsidR="0001294A" w:rsidRPr="0001294A" w:rsidRDefault="0001294A" w:rsidP="00946425">
            <w:pPr>
              <w:spacing w:after="160" w:line="259" w:lineRule="auto"/>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Year</w:t>
            </w:r>
          </w:p>
        </w:tc>
        <w:tc>
          <w:tcPr>
            <w:tcW w:w="0" w:type="auto"/>
            <w:hideMark/>
          </w:tcPr>
          <w:p w14:paraId="74D958B7" w14:textId="77777777" w:rsidR="0001294A" w:rsidRPr="0001294A" w:rsidRDefault="0001294A" w:rsidP="00946425">
            <w:pPr>
              <w:spacing w:after="160" w:line="259" w:lineRule="auto"/>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Cash flow</w:t>
            </w:r>
          </w:p>
        </w:tc>
        <w:tc>
          <w:tcPr>
            <w:tcW w:w="0" w:type="auto"/>
            <w:hideMark/>
          </w:tcPr>
          <w:p w14:paraId="512D5EB0" w14:textId="77777777" w:rsidR="0001294A" w:rsidRPr="0001294A" w:rsidRDefault="0001294A" w:rsidP="00946425">
            <w:pPr>
              <w:spacing w:after="160" w:line="259" w:lineRule="auto"/>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Cumulative cash flow</w:t>
            </w:r>
          </w:p>
        </w:tc>
        <w:tc>
          <w:tcPr>
            <w:tcW w:w="0" w:type="auto"/>
            <w:hideMark/>
          </w:tcPr>
          <w:p w14:paraId="549669AB" w14:textId="77777777" w:rsidR="0001294A" w:rsidRPr="0001294A" w:rsidRDefault="0001294A" w:rsidP="00946425">
            <w:pPr>
              <w:spacing w:after="160" w:line="259" w:lineRule="auto"/>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Payback detail</w:t>
            </w:r>
          </w:p>
        </w:tc>
      </w:tr>
      <w:tr w:rsidR="00946425" w:rsidRPr="0001294A" w14:paraId="16B00579" w14:textId="77777777" w:rsidTr="0001294A">
        <w:trPr>
          <w:trHeight w:val="446"/>
        </w:trPr>
        <w:tc>
          <w:tcPr>
            <w:tcW w:w="0" w:type="auto"/>
            <w:hideMark/>
          </w:tcPr>
          <w:p w14:paraId="796344AF"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A</w:t>
            </w:r>
          </w:p>
        </w:tc>
        <w:tc>
          <w:tcPr>
            <w:tcW w:w="0" w:type="auto"/>
            <w:hideMark/>
          </w:tcPr>
          <w:p w14:paraId="704EED40"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w:t>
            </w:r>
          </w:p>
        </w:tc>
        <w:tc>
          <w:tcPr>
            <w:tcW w:w="0" w:type="auto"/>
            <w:hideMark/>
          </w:tcPr>
          <w:p w14:paraId="1EF09DDF"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-50</w:t>
            </w:r>
          </w:p>
        </w:tc>
        <w:tc>
          <w:tcPr>
            <w:tcW w:w="0" w:type="auto"/>
            <w:hideMark/>
          </w:tcPr>
          <w:p w14:paraId="0FE543F7"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-50</w:t>
            </w:r>
          </w:p>
        </w:tc>
        <w:tc>
          <w:tcPr>
            <w:tcW w:w="0" w:type="auto"/>
            <w:hideMark/>
          </w:tcPr>
          <w:p w14:paraId="696D06F0"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w:t>
            </w:r>
          </w:p>
        </w:tc>
      </w:tr>
      <w:tr w:rsidR="00946425" w:rsidRPr="0001294A" w14:paraId="51207D6A" w14:textId="77777777" w:rsidTr="0001294A">
        <w:trPr>
          <w:trHeight w:val="446"/>
        </w:trPr>
        <w:tc>
          <w:tcPr>
            <w:tcW w:w="0" w:type="auto"/>
            <w:hideMark/>
          </w:tcPr>
          <w:p w14:paraId="79CEB617"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lastRenderedPageBreak/>
              <w:t>A</w:t>
            </w:r>
          </w:p>
        </w:tc>
        <w:tc>
          <w:tcPr>
            <w:tcW w:w="0" w:type="auto"/>
            <w:hideMark/>
          </w:tcPr>
          <w:p w14:paraId="0A2C86F8"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w:t>
            </w:r>
          </w:p>
        </w:tc>
        <w:tc>
          <w:tcPr>
            <w:tcW w:w="0" w:type="auto"/>
            <w:hideMark/>
          </w:tcPr>
          <w:p w14:paraId="6942A03F"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10</w:t>
            </w:r>
          </w:p>
        </w:tc>
        <w:tc>
          <w:tcPr>
            <w:tcW w:w="0" w:type="auto"/>
            <w:hideMark/>
          </w:tcPr>
          <w:p w14:paraId="3C0A8E04"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-40</w:t>
            </w:r>
          </w:p>
        </w:tc>
        <w:tc>
          <w:tcPr>
            <w:tcW w:w="0" w:type="auto"/>
            <w:hideMark/>
          </w:tcPr>
          <w:p w14:paraId="7BF71654"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w:t>
            </w:r>
          </w:p>
        </w:tc>
      </w:tr>
      <w:tr w:rsidR="00946425" w:rsidRPr="0001294A" w14:paraId="6E399E2D" w14:textId="77777777" w:rsidTr="0001294A">
        <w:trPr>
          <w:trHeight w:val="446"/>
        </w:trPr>
        <w:tc>
          <w:tcPr>
            <w:tcW w:w="0" w:type="auto"/>
            <w:hideMark/>
          </w:tcPr>
          <w:p w14:paraId="667830BC"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A</w:t>
            </w:r>
          </w:p>
        </w:tc>
        <w:tc>
          <w:tcPr>
            <w:tcW w:w="0" w:type="auto"/>
            <w:hideMark/>
          </w:tcPr>
          <w:p w14:paraId="2BF28559"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2</w:t>
            </w:r>
          </w:p>
        </w:tc>
        <w:tc>
          <w:tcPr>
            <w:tcW w:w="0" w:type="auto"/>
            <w:hideMark/>
          </w:tcPr>
          <w:p w14:paraId="11F27423"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12</w:t>
            </w:r>
          </w:p>
        </w:tc>
        <w:tc>
          <w:tcPr>
            <w:tcW w:w="0" w:type="auto"/>
            <w:hideMark/>
          </w:tcPr>
          <w:p w14:paraId="1D5E1D29"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-28</w:t>
            </w:r>
          </w:p>
        </w:tc>
        <w:tc>
          <w:tcPr>
            <w:tcW w:w="0" w:type="auto"/>
            <w:hideMark/>
          </w:tcPr>
          <w:p w14:paraId="3E917B72"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w:t>
            </w:r>
          </w:p>
        </w:tc>
      </w:tr>
      <w:tr w:rsidR="00946425" w:rsidRPr="0001294A" w14:paraId="4F5C43AE" w14:textId="77777777" w:rsidTr="0001294A">
        <w:trPr>
          <w:trHeight w:val="446"/>
        </w:trPr>
        <w:tc>
          <w:tcPr>
            <w:tcW w:w="0" w:type="auto"/>
            <w:hideMark/>
          </w:tcPr>
          <w:p w14:paraId="3376156A"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A</w:t>
            </w:r>
          </w:p>
        </w:tc>
        <w:tc>
          <w:tcPr>
            <w:tcW w:w="0" w:type="auto"/>
            <w:hideMark/>
          </w:tcPr>
          <w:p w14:paraId="54206118"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3</w:t>
            </w:r>
          </w:p>
        </w:tc>
        <w:tc>
          <w:tcPr>
            <w:tcW w:w="0" w:type="auto"/>
            <w:hideMark/>
          </w:tcPr>
          <w:p w14:paraId="7939AA89"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14</w:t>
            </w:r>
          </w:p>
        </w:tc>
        <w:tc>
          <w:tcPr>
            <w:tcW w:w="0" w:type="auto"/>
            <w:hideMark/>
          </w:tcPr>
          <w:p w14:paraId="34503B49"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-14</w:t>
            </w:r>
          </w:p>
        </w:tc>
        <w:tc>
          <w:tcPr>
            <w:tcW w:w="0" w:type="auto"/>
            <w:hideMark/>
          </w:tcPr>
          <w:p w14:paraId="04FF408E"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w:t>
            </w:r>
          </w:p>
        </w:tc>
      </w:tr>
      <w:tr w:rsidR="00946425" w:rsidRPr="0001294A" w14:paraId="15741E93" w14:textId="77777777" w:rsidTr="0001294A">
        <w:trPr>
          <w:trHeight w:val="446"/>
        </w:trPr>
        <w:tc>
          <w:tcPr>
            <w:tcW w:w="0" w:type="auto"/>
            <w:hideMark/>
          </w:tcPr>
          <w:p w14:paraId="219D379D"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A</w:t>
            </w:r>
          </w:p>
        </w:tc>
        <w:tc>
          <w:tcPr>
            <w:tcW w:w="0" w:type="auto"/>
            <w:hideMark/>
          </w:tcPr>
          <w:p w14:paraId="276B4DDD"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4</w:t>
            </w:r>
          </w:p>
        </w:tc>
        <w:tc>
          <w:tcPr>
            <w:tcW w:w="0" w:type="auto"/>
            <w:hideMark/>
          </w:tcPr>
          <w:p w14:paraId="5A96EA3B"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10</w:t>
            </w:r>
          </w:p>
        </w:tc>
        <w:tc>
          <w:tcPr>
            <w:tcW w:w="0" w:type="auto"/>
            <w:hideMark/>
          </w:tcPr>
          <w:p w14:paraId="6AA4B631"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-4</w:t>
            </w:r>
          </w:p>
        </w:tc>
        <w:tc>
          <w:tcPr>
            <w:tcW w:w="0" w:type="auto"/>
            <w:hideMark/>
          </w:tcPr>
          <w:p w14:paraId="4BEE710F"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w:t>
            </w:r>
          </w:p>
        </w:tc>
      </w:tr>
      <w:tr w:rsidR="00946425" w:rsidRPr="0001294A" w14:paraId="7A5F958F" w14:textId="77777777" w:rsidTr="0001294A">
        <w:trPr>
          <w:trHeight w:val="446"/>
        </w:trPr>
        <w:tc>
          <w:tcPr>
            <w:tcW w:w="0" w:type="auto"/>
            <w:hideMark/>
          </w:tcPr>
          <w:p w14:paraId="22C5A3E1"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A</w:t>
            </w:r>
          </w:p>
        </w:tc>
        <w:tc>
          <w:tcPr>
            <w:tcW w:w="0" w:type="auto"/>
            <w:hideMark/>
          </w:tcPr>
          <w:p w14:paraId="132CA43D"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w:t>
            </w:r>
          </w:p>
        </w:tc>
        <w:tc>
          <w:tcPr>
            <w:tcW w:w="0" w:type="auto"/>
            <w:hideMark/>
          </w:tcPr>
          <w:p w14:paraId="32A58629"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8</w:t>
            </w:r>
          </w:p>
        </w:tc>
        <w:tc>
          <w:tcPr>
            <w:tcW w:w="0" w:type="auto"/>
            <w:hideMark/>
          </w:tcPr>
          <w:p w14:paraId="1318B01C"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4</w:t>
            </w:r>
          </w:p>
        </w:tc>
        <w:tc>
          <w:tcPr>
            <w:tcW w:w="0" w:type="auto"/>
            <w:hideMark/>
          </w:tcPr>
          <w:p w14:paraId="3528D426"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Payback between years 4 and 5: 4 + 4/8 = </w:t>
            </w:r>
            <w:r w:rsidRPr="0001294A">
              <w:rPr>
                <w:rFonts w:ascii="Times New Roman" w:hAnsi="Times New Roman" w:cs="Times New Roman"/>
                <w:b/>
                <w:bCs/>
                <w:sz w:val="24"/>
                <w:szCs w:val="24"/>
                <w:lang w:val="en-US"/>
              </w:rPr>
              <w:t>4.5 years</w:t>
            </w:r>
          </w:p>
        </w:tc>
      </w:tr>
      <w:tr w:rsidR="00946425" w:rsidRPr="0001294A" w14:paraId="629F42EE" w14:textId="77777777" w:rsidTr="0001294A">
        <w:trPr>
          <w:trHeight w:val="446"/>
        </w:trPr>
        <w:tc>
          <w:tcPr>
            <w:tcW w:w="0" w:type="auto"/>
            <w:hideMark/>
          </w:tcPr>
          <w:p w14:paraId="3FF99466"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B</w:t>
            </w:r>
          </w:p>
        </w:tc>
        <w:tc>
          <w:tcPr>
            <w:tcW w:w="0" w:type="auto"/>
            <w:hideMark/>
          </w:tcPr>
          <w:p w14:paraId="64BED3DC"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w:t>
            </w:r>
          </w:p>
        </w:tc>
        <w:tc>
          <w:tcPr>
            <w:tcW w:w="0" w:type="auto"/>
            <w:hideMark/>
          </w:tcPr>
          <w:p w14:paraId="07D291B7"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-50</w:t>
            </w:r>
          </w:p>
        </w:tc>
        <w:tc>
          <w:tcPr>
            <w:tcW w:w="0" w:type="auto"/>
            <w:hideMark/>
          </w:tcPr>
          <w:p w14:paraId="342CD772"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-50</w:t>
            </w:r>
          </w:p>
        </w:tc>
        <w:tc>
          <w:tcPr>
            <w:tcW w:w="0" w:type="auto"/>
            <w:hideMark/>
          </w:tcPr>
          <w:p w14:paraId="37521292"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w:t>
            </w:r>
          </w:p>
        </w:tc>
      </w:tr>
      <w:tr w:rsidR="00946425" w:rsidRPr="0001294A" w14:paraId="26ADE1FC" w14:textId="77777777" w:rsidTr="0001294A">
        <w:trPr>
          <w:trHeight w:val="446"/>
        </w:trPr>
        <w:tc>
          <w:tcPr>
            <w:tcW w:w="0" w:type="auto"/>
            <w:hideMark/>
          </w:tcPr>
          <w:p w14:paraId="12D780C7"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B</w:t>
            </w:r>
          </w:p>
        </w:tc>
        <w:tc>
          <w:tcPr>
            <w:tcW w:w="0" w:type="auto"/>
            <w:hideMark/>
          </w:tcPr>
          <w:p w14:paraId="7073FD60"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w:t>
            </w:r>
          </w:p>
        </w:tc>
        <w:tc>
          <w:tcPr>
            <w:tcW w:w="0" w:type="auto"/>
            <w:hideMark/>
          </w:tcPr>
          <w:p w14:paraId="2CCC36B9"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11</w:t>
            </w:r>
          </w:p>
        </w:tc>
        <w:tc>
          <w:tcPr>
            <w:tcW w:w="0" w:type="auto"/>
            <w:hideMark/>
          </w:tcPr>
          <w:p w14:paraId="315C31F2"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-39</w:t>
            </w:r>
          </w:p>
        </w:tc>
        <w:tc>
          <w:tcPr>
            <w:tcW w:w="0" w:type="auto"/>
            <w:hideMark/>
          </w:tcPr>
          <w:p w14:paraId="38F4E97B"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w:t>
            </w:r>
          </w:p>
        </w:tc>
      </w:tr>
      <w:tr w:rsidR="00946425" w:rsidRPr="0001294A" w14:paraId="6B3AD2BF" w14:textId="77777777" w:rsidTr="0001294A">
        <w:trPr>
          <w:trHeight w:val="446"/>
        </w:trPr>
        <w:tc>
          <w:tcPr>
            <w:tcW w:w="0" w:type="auto"/>
            <w:hideMark/>
          </w:tcPr>
          <w:p w14:paraId="77C35344"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B</w:t>
            </w:r>
          </w:p>
        </w:tc>
        <w:tc>
          <w:tcPr>
            <w:tcW w:w="0" w:type="auto"/>
            <w:hideMark/>
          </w:tcPr>
          <w:p w14:paraId="1B5E45ED"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2</w:t>
            </w:r>
          </w:p>
        </w:tc>
        <w:tc>
          <w:tcPr>
            <w:tcW w:w="0" w:type="auto"/>
            <w:hideMark/>
          </w:tcPr>
          <w:p w14:paraId="0AAD5012"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11</w:t>
            </w:r>
          </w:p>
        </w:tc>
        <w:tc>
          <w:tcPr>
            <w:tcW w:w="0" w:type="auto"/>
            <w:hideMark/>
          </w:tcPr>
          <w:p w14:paraId="35E57424"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-28</w:t>
            </w:r>
          </w:p>
        </w:tc>
        <w:tc>
          <w:tcPr>
            <w:tcW w:w="0" w:type="auto"/>
            <w:hideMark/>
          </w:tcPr>
          <w:p w14:paraId="3EA56C5C"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w:t>
            </w:r>
          </w:p>
        </w:tc>
      </w:tr>
      <w:tr w:rsidR="00946425" w:rsidRPr="0001294A" w14:paraId="746F7703" w14:textId="77777777" w:rsidTr="0001294A">
        <w:trPr>
          <w:trHeight w:val="446"/>
        </w:trPr>
        <w:tc>
          <w:tcPr>
            <w:tcW w:w="0" w:type="auto"/>
            <w:hideMark/>
          </w:tcPr>
          <w:p w14:paraId="4AB3D49C"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B</w:t>
            </w:r>
          </w:p>
        </w:tc>
        <w:tc>
          <w:tcPr>
            <w:tcW w:w="0" w:type="auto"/>
            <w:hideMark/>
          </w:tcPr>
          <w:p w14:paraId="6FF03BD0"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3</w:t>
            </w:r>
          </w:p>
        </w:tc>
        <w:tc>
          <w:tcPr>
            <w:tcW w:w="0" w:type="auto"/>
            <w:hideMark/>
          </w:tcPr>
          <w:p w14:paraId="6E337DEA"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11</w:t>
            </w:r>
          </w:p>
        </w:tc>
        <w:tc>
          <w:tcPr>
            <w:tcW w:w="0" w:type="auto"/>
            <w:hideMark/>
          </w:tcPr>
          <w:p w14:paraId="487274D1"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-17</w:t>
            </w:r>
          </w:p>
        </w:tc>
        <w:tc>
          <w:tcPr>
            <w:tcW w:w="0" w:type="auto"/>
            <w:hideMark/>
          </w:tcPr>
          <w:p w14:paraId="69F844AC"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w:t>
            </w:r>
          </w:p>
        </w:tc>
      </w:tr>
      <w:tr w:rsidR="00946425" w:rsidRPr="0001294A" w14:paraId="0512AD34" w14:textId="77777777" w:rsidTr="0001294A">
        <w:trPr>
          <w:trHeight w:val="446"/>
        </w:trPr>
        <w:tc>
          <w:tcPr>
            <w:tcW w:w="0" w:type="auto"/>
            <w:hideMark/>
          </w:tcPr>
          <w:p w14:paraId="7335A9F2"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B</w:t>
            </w:r>
          </w:p>
        </w:tc>
        <w:tc>
          <w:tcPr>
            <w:tcW w:w="0" w:type="auto"/>
            <w:hideMark/>
          </w:tcPr>
          <w:p w14:paraId="6CC58C7E"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4</w:t>
            </w:r>
          </w:p>
        </w:tc>
        <w:tc>
          <w:tcPr>
            <w:tcW w:w="0" w:type="auto"/>
            <w:hideMark/>
          </w:tcPr>
          <w:p w14:paraId="71ABA70C"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11</w:t>
            </w:r>
          </w:p>
        </w:tc>
        <w:tc>
          <w:tcPr>
            <w:tcW w:w="0" w:type="auto"/>
            <w:hideMark/>
          </w:tcPr>
          <w:p w14:paraId="61345924"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-6</w:t>
            </w:r>
          </w:p>
        </w:tc>
        <w:tc>
          <w:tcPr>
            <w:tcW w:w="0" w:type="auto"/>
            <w:hideMark/>
          </w:tcPr>
          <w:p w14:paraId="304C9591"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w:t>
            </w:r>
          </w:p>
        </w:tc>
      </w:tr>
      <w:tr w:rsidR="00946425" w:rsidRPr="0001294A" w14:paraId="7DB6B0FD" w14:textId="77777777" w:rsidTr="0001294A">
        <w:trPr>
          <w:trHeight w:val="446"/>
        </w:trPr>
        <w:tc>
          <w:tcPr>
            <w:tcW w:w="0" w:type="auto"/>
            <w:hideMark/>
          </w:tcPr>
          <w:p w14:paraId="388B48FB"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B</w:t>
            </w:r>
          </w:p>
        </w:tc>
        <w:tc>
          <w:tcPr>
            <w:tcW w:w="0" w:type="auto"/>
            <w:hideMark/>
          </w:tcPr>
          <w:p w14:paraId="527B9BA6"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w:t>
            </w:r>
          </w:p>
        </w:tc>
        <w:tc>
          <w:tcPr>
            <w:tcW w:w="0" w:type="auto"/>
            <w:hideMark/>
          </w:tcPr>
          <w:p w14:paraId="6B0F20AB"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11</w:t>
            </w:r>
          </w:p>
        </w:tc>
        <w:tc>
          <w:tcPr>
            <w:tcW w:w="0" w:type="auto"/>
            <w:hideMark/>
          </w:tcPr>
          <w:p w14:paraId="3E653981"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w:t>
            </w:r>
          </w:p>
        </w:tc>
        <w:tc>
          <w:tcPr>
            <w:tcW w:w="0" w:type="auto"/>
            <w:hideMark/>
          </w:tcPr>
          <w:p w14:paraId="4C5BED98"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Payback between years 4 and 5: 4 + 6/11 ≈ </w:t>
            </w:r>
            <w:r w:rsidRPr="0001294A">
              <w:rPr>
                <w:rFonts w:ascii="Times New Roman" w:hAnsi="Times New Roman" w:cs="Times New Roman"/>
                <w:b/>
                <w:bCs/>
                <w:sz w:val="24"/>
                <w:szCs w:val="24"/>
                <w:lang w:val="en-US"/>
              </w:rPr>
              <w:t>4.55 years</w:t>
            </w:r>
          </w:p>
        </w:tc>
      </w:tr>
      <w:tr w:rsidR="00946425" w:rsidRPr="0001294A" w14:paraId="61746863" w14:textId="77777777" w:rsidTr="0001294A">
        <w:trPr>
          <w:trHeight w:val="446"/>
        </w:trPr>
        <w:tc>
          <w:tcPr>
            <w:tcW w:w="0" w:type="auto"/>
            <w:hideMark/>
          </w:tcPr>
          <w:p w14:paraId="64B0D2C5"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C</w:t>
            </w:r>
          </w:p>
        </w:tc>
        <w:tc>
          <w:tcPr>
            <w:tcW w:w="0" w:type="auto"/>
            <w:hideMark/>
          </w:tcPr>
          <w:p w14:paraId="6E92A8F4"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w:t>
            </w:r>
          </w:p>
        </w:tc>
        <w:tc>
          <w:tcPr>
            <w:tcW w:w="0" w:type="auto"/>
            <w:hideMark/>
          </w:tcPr>
          <w:p w14:paraId="0B688D3C"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-50</w:t>
            </w:r>
          </w:p>
        </w:tc>
        <w:tc>
          <w:tcPr>
            <w:tcW w:w="0" w:type="auto"/>
            <w:hideMark/>
          </w:tcPr>
          <w:p w14:paraId="44FEDC30"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-50</w:t>
            </w:r>
          </w:p>
        </w:tc>
        <w:tc>
          <w:tcPr>
            <w:tcW w:w="0" w:type="auto"/>
            <w:hideMark/>
          </w:tcPr>
          <w:p w14:paraId="0051E96B"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w:t>
            </w:r>
          </w:p>
        </w:tc>
      </w:tr>
      <w:tr w:rsidR="00946425" w:rsidRPr="0001294A" w14:paraId="68C5EF4D" w14:textId="77777777" w:rsidTr="0001294A">
        <w:trPr>
          <w:trHeight w:val="446"/>
        </w:trPr>
        <w:tc>
          <w:tcPr>
            <w:tcW w:w="0" w:type="auto"/>
            <w:hideMark/>
          </w:tcPr>
          <w:p w14:paraId="49D598D9"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C</w:t>
            </w:r>
          </w:p>
        </w:tc>
        <w:tc>
          <w:tcPr>
            <w:tcW w:w="0" w:type="auto"/>
            <w:hideMark/>
          </w:tcPr>
          <w:p w14:paraId="2255A0DD"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w:t>
            </w:r>
          </w:p>
        </w:tc>
        <w:tc>
          <w:tcPr>
            <w:tcW w:w="0" w:type="auto"/>
            <w:hideMark/>
          </w:tcPr>
          <w:p w14:paraId="4A090491"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w:t>
            </w:r>
          </w:p>
        </w:tc>
        <w:tc>
          <w:tcPr>
            <w:tcW w:w="0" w:type="auto"/>
            <w:hideMark/>
          </w:tcPr>
          <w:p w14:paraId="5701170D"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-45</w:t>
            </w:r>
          </w:p>
        </w:tc>
        <w:tc>
          <w:tcPr>
            <w:tcW w:w="0" w:type="auto"/>
            <w:hideMark/>
          </w:tcPr>
          <w:p w14:paraId="5FDE2889"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w:t>
            </w:r>
          </w:p>
        </w:tc>
      </w:tr>
      <w:tr w:rsidR="00946425" w:rsidRPr="0001294A" w14:paraId="6D2AA437" w14:textId="77777777" w:rsidTr="0001294A">
        <w:trPr>
          <w:trHeight w:val="446"/>
        </w:trPr>
        <w:tc>
          <w:tcPr>
            <w:tcW w:w="0" w:type="auto"/>
            <w:hideMark/>
          </w:tcPr>
          <w:p w14:paraId="0C7A4D85"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C</w:t>
            </w:r>
          </w:p>
        </w:tc>
        <w:tc>
          <w:tcPr>
            <w:tcW w:w="0" w:type="auto"/>
            <w:hideMark/>
          </w:tcPr>
          <w:p w14:paraId="4AFC940C"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2</w:t>
            </w:r>
          </w:p>
        </w:tc>
        <w:tc>
          <w:tcPr>
            <w:tcW w:w="0" w:type="auto"/>
            <w:hideMark/>
          </w:tcPr>
          <w:p w14:paraId="56C87B0E"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10</w:t>
            </w:r>
          </w:p>
        </w:tc>
        <w:tc>
          <w:tcPr>
            <w:tcW w:w="0" w:type="auto"/>
            <w:hideMark/>
          </w:tcPr>
          <w:p w14:paraId="6425BB19"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-35</w:t>
            </w:r>
          </w:p>
        </w:tc>
        <w:tc>
          <w:tcPr>
            <w:tcW w:w="0" w:type="auto"/>
            <w:hideMark/>
          </w:tcPr>
          <w:p w14:paraId="1687A752"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w:t>
            </w:r>
          </w:p>
        </w:tc>
      </w:tr>
      <w:tr w:rsidR="00946425" w:rsidRPr="0001294A" w14:paraId="22AB0E6B" w14:textId="77777777" w:rsidTr="0001294A">
        <w:trPr>
          <w:trHeight w:val="446"/>
        </w:trPr>
        <w:tc>
          <w:tcPr>
            <w:tcW w:w="0" w:type="auto"/>
            <w:hideMark/>
          </w:tcPr>
          <w:p w14:paraId="17EAD15D"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C</w:t>
            </w:r>
          </w:p>
        </w:tc>
        <w:tc>
          <w:tcPr>
            <w:tcW w:w="0" w:type="auto"/>
            <w:hideMark/>
          </w:tcPr>
          <w:p w14:paraId="266E882C"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3</w:t>
            </w:r>
          </w:p>
        </w:tc>
        <w:tc>
          <w:tcPr>
            <w:tcW w:w="0" w:type="auto"/>
            <w:hideMark/>
          </w:tcPr>
          <w:p w14:paraId="796AB9FA"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20</w:t>
            </w:r>
          </w:p>
        </w:tc>
        <w:tc>
          <w:tcPr>
            <w:tcW w:w="0" w:type="auto"/>
            <w:hideMark/>
          </w:tcPr>
          <w:p w14:paraId="0E6D9C4B"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-15</w:t>
            </w:r>
          </w:p>
        </w:tc>
        <w:tc>
          <w:tcPr>
            <w:tcW w:w="0" w:type="auto"/>
            <w:hideMark/>
          </w:tcPr>
          <w:p w14:paraId="1E118F16"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w:t>
            </w:r>
          </w:p>
        </w:tc>
      </w:tr>
      <w:tr w:rsidR="00946425" w:rsidRPr="0001294A" w14:paraId="611A2F93" w14:textId="77777777" w:rsidTr="0001294A">
        <w:trPr>
          <w:trHeight w:val="446"/>
        </w:trPr>
        <w:tc>
          <w:tcPr>
            <w:tcW w:w="0" w:type="auto"/>
            <w:hideMark/>
          </w:tcPr>
          <w:p w14:paraId="1754E708"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C</w:t>
            </w:r>
          </w:p>
        </w:tc>
        <w:tc>
          <w:tcPr>
            <w:tcW w:w="0" w:type="auto"/>
            <w:hideMark/>
          </w:tcPr>
          <w:p w14:paraId="2F2FCE50"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4</w:t>
            </w:r>
          </w:p>
        </w:tc>
        <w:tc>
          <w:tcPr>
            <w:tcW w:w="0" w:type="auto"/>
            <w:hideMark/>
          </w:tcPr>
          <w:p w14:paraId="580A9393"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25</w:t>
            </w:r>
          </w:p>
        </w:tc>
        <w:tc>
          <w:tcPr>
            <w:tcW w:w="0" w:type="auto"/>
            <w:hideMark/>
          </w:tcPr>
          <w:p w14:paraId="28CC574E"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10</w:t>
            </w:r>
          </w:p>
        </w:tc>
        <w:tc>
          <w:tcPr>
            <w:tcW w:w="0" w:type="auto"/>
            <w:hideMark/>
          </w:tcPr>
          <w:p w14:paraId="423E0A33"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Payback between years 3 and 4: 3 + 15/25 = </w:t>
            </w:r>
            <w:r w:rsidRPr="0001294A">
              <w:rPr>
                <w:rFonts w:ascii="Times New Roman" w:hAnsi="Times New Roman" w:cs="Times New Roman"/>
                <w:b/>
                <w:bCs/>
                <w:sz w:val="24"/>
                <w:szCs w:val="24"/>
                <w:lang w:val="en-US"/>
              </w:rPr>
              <w:t>3.6 years</w:t>
            </w:r>
          </w:p>
        </w:tc>
      </w:tr>
    </w:tbl>
    <w:p w14:paraId="44A00D91" w14:textId="78CA007B" w:rsidR="0001294A" w:rsidRPr="0001294A" w:rsidRDefault="0001294A" w:rsidP="00946425">
      <w:pPr>
        <w:jc w:val="both"/>
        <w:rPr>
          <w:rFonts w:ascii="Times New Roman" w:hAnsi="Times New Roman" w:cs="Times New Roman"/>
          <w:sz w:val="24"/>
          <w:szCs w:val="24"/>
          <w:lang w:val="en-US"/>
        </w:rPr>
      </w:pPr>
    </w:p>
    <w:p w14:paraId="4B35547C"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Appendix D3. Accounting Rate of Return (ARR)</w:t>
      </w:r>
    </w:p>
    <w:p w14:paraId="57F6E699" w14:textId="05C727BD"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Straight-line depreciation: </w:t>
      </w:r>
      <m:oMath>
        <m:r>
          <w:rPr>
            <w:rFonts w:ascii="Cambria Math" w:hAnsi="Cambria Math" w:cs="Times New Roman"/>
            <w:sz w:val="24"/>
            <w:szCs w:val="24"/>
            <w:lang w:val="en-US"/>
          </w:rPr>
          <m:t>50</m:t>
        </m:r>
        <m:r>
          <m:rPr>
            <m:sty m:val="p"/>
          </m:rPr>
          <w:rPr>
            <w:rFonts w:ascii="Cambria Math" w:hAnsi="Cambria Math" w:cs="Times New Roman"/>
            <w:sz w:val="24"/>
            <w:szCs w:val="24"/>
            <w:lang w:val="en-US"/>
          </w:rPr>
          <m:t>/</m:t>
        </m:r>
        <m:r>
          <w:rPr>
            <w:rFonts w:ascii="Cambria Math" w:hAnsi="Cambria Math" w:cs="Times New Roman"/>
            <w:sz w:val="24"/>
            <w:szCs w:val="24"/>
            <w:lang w:val="en-US"/>
          </w:rPr>
          <m:t>5=10</m:t>
        </m:r>
      </m:oMath>
      <w:r w:rsidRPr="0001294A">
        <w:rPr>
          <w:rFonts w:ascii="Times New Roman" w:hAnsi="Times New Roman" w:cs="Times New Roman"/>
          <w:sz w:val="24"/>
          <w:szCs w:val="24"/>
          <w:lang w:val="en-US"/>
        </w:rPr>
        <w:t> per year.</w:t>
      </w:r>
    </w:p>
    <w:p w14:paraId="35F95559"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Table D3.1 Annual Accounting Profit and ARR</w:t>
      </w:r>
    </w:p>
    <w:tbl>
      <w:tblPr>
        <w:tblW w:w="9691"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054"/>
        <w:gridCol w:w="1633"/>
        <w:gridCol w:w="1938"/>
        <w:gridCol w:w="1616"/>
        <w:gridCol w:w="3450"/>
      </w:tblGrid>
      <w:tr w:rsidR="00946425" w:rsidRPr="0001294A" w14:paraId="7C9B5FB6" w14:textId="77777777" w:rsidTr="0001294A">
        <w:trPr>
          <w:trHeight w:val="424"/>
          <w:tblHeader/>
          <w:tblCellSpacing w:w="15" w:type="dxa"/>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394C0209"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Project</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33F6F0C8"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Year</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237FF682"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Cash flow</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7F20A87F"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Depreciation</w:t>
            </w:r>
          </w:p>
        </w:tc>
        <w:tc>
          <w:tcPr>
            <w:tcW w:w="0" w:type="auto"/>
            <w:tcBorders>
              <w:top w:val="single" w:sz="2" w:space="0" w:color="auto"/>
              <w:left w:val="single" w:sz="2" w:space="0" w:color="auto"/>
              <w:bottom w:val="single" w:sz="6" w:space="0" w:color="auto"/>
              <w:right w:val="single" w:sz="2" w:space="0" w:color="auto"/>
            </w:tcBorders>
            <w:tcMar>
              <w:top w:w="120" w:type="dxa"/>
              <w:left w:w="120" w:type="dxa"/>
              <w:bottom w:w="120" w:type="dxa"/>
              <w:right w:w="120" w:type="dxa"/>
            </w:tcMar>
            <w:vAlign w:val="bottom"/>
            <w:hideMark/>
          </w:tcPr>
          <w:p w14:paraId="22ED1716"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 xml:space="preserve">Accounting profit (CF – </w:t>
            </w:r>
            <w:proofErr w:type="spellStart"/>
            <w:r w:rsidRPr="0001294A">
              <w:rPr>
                <w:rFonts w:ascii="Times New Roman" w:hAnsi="Times New Roman" w:cs="Times New Roman"/>
                <w:b/>
                <w:bCs/>
                <w:sz w:val="24"/>
                <w:szCs w:val="24"/>
                <w:lang w:val="en-US"/>
              </w:rPr>
              <w:t>Depn</w:t>
            </w:r>
            <w:proofErr w:type="spellEnd"/>
            <w:r w:rsidRPr="0001294A">
              <w:rPr>
                <w:rFonts w:ascii="Times New Roman" w:hAnsi="Times New Roman" w:cs="Times New Roman"/>
                <w:b/>
                <w:bCs/>
                <w:sz w:val="24"/>
                <w:szCs w:val="24"/>
                <w:lang w:val="en-US"/>
              </w:rPr>
              <w:t>)</w:t>
            </w:r>
          </w:p>
        </w:tc>
      </w:tr>
      <w:tr w:rsidR="00946425" w:rsidRPr="0001294A" w14:paraId="5BD1390D" w14:textId="77777777" w:rsidTr="0001294A">
        <w:trPr>
          <w:trHeight w:val="442"/>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FB3B636"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A</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C622170"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1–5 each year</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BA9AE37"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10, 12, 14, 10, 8</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78D365D"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10</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7F6B8B70"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 2, 4, 0, -2</w:t>
            </w:r>
          </w:p>
        </w:tc>
      </w:tr>
      <w:tr w:rsidR="00946425" w:rsidRPr="0001294A" w14:paraId="4D7FB1A7" w14:textId="77777777" w:rsidTr="0001294A">
        <w:trPr>
          <w:trHeight w:val="442"/>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486A12F"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B</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BE24C69"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1–5 each year</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39A24CB"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11, 11, 11, 11, 11</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B8278FA"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10</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57680B20"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1, 1, 1, 1, 1</w:t>
            </w:r>
          </w:p>
        </w:tc>
      </w:tr>
      <w:tr w:rsidR="00946425" w:rsidRPr="0001294A" w14:paraId="5704C2EC" w14:textId="77777777" w:rsidTr="0001294A">
        <w:trPr>
          <w:trHeight w:val="442"/>
          <w:tblCellSpacing w:w="15" w:type="dxa"/>
        </w:trPr>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36CF2424"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lastRenderedPageBreak/>
              <w:t>C</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43AA5610"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1–5 each year</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78B48D9C"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5, 10, 20, 25, 5</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41A985CB"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10</w:t>
            </w:r>
          </w:p>
        </w:tc>
        <w:tc>
          <w:tcPr>
            <w:tcW w:w="0" w:type="auto"/>
            <w:tcBorders>
              <w:top w:val="single" w:sz="2" w:space="0" w:color="auto"/>
              <w:left w:val="single" w:sz="2" w:space="0" w:color="auto"/>
              <w:bottom w:val="single" w:sz="2" w:space="0" w:color="auto"/>
              <w:right w:val="single" w:sz="2" w:space="0" w:color="auto"/>
            </w:tcBorders>
            <w:tcMar>
              <w:top w:w="137" w:type="dxa"/>
              <w:left w:w="120" w:type="dxa"/>
              <w:bottom w:w="137" w:type="dxa"/>
              <w:right w:w="120" w:type="dxa"/>
            </w:tcMar>
            <w:vAlign w:val="bottom"/>
            <w:hideMark/>
          </w:tcPr>
          <w:p w14:paraId="1F7E9AC9"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 0, 10, 15, -5</w:t>
            </w:r>
          </w:p>
        </w:tc>
      </w:tr>
    </w:tbl>
    <w:p w14:paraId="6CB6B086"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b/>
          <w:bCs/>
          <w:sz w:val="24"/>
          <w:szCs w:val="24"/>
          <w:lang w:val="en-US"/>
        </w:rPr>
        <w:t>Average annual accounting profit:</w:t>
      </w:r>
    </w:p>
    <w:p w14:paraId="379EE7E3" w14:textId="3BF04EFB" w:rsidR="0001294A" w:rsidRPr="0001294A" w:rsidRDefault="0001294A" w:rsidP="00946425">
      <w:pPr>
        <w:numPr>
          <w:ilvl w:val="0"/>
          <w:numId w:val="1"/>
        </w:num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Project A: </w:t>
      </w:r>
      <m:oMath>
        <m:r>
          <w:rPr>
            <w:rFonts w:ascii="Cambria Math" w:hAnsi="Cambria Math" w:cs="Times New Roman"/>
            <w:sz w:val="24"/>
            <w:szCs w:val="24"/>
            <w:lang w:val="en-US"/>
          </w:rPr>
          <m:t>(0+2+4+0-2)</m:t>
        </m:r>
        <m:r>
          <m:rPr>
            <m:sty m:val="p"/>
          </m:rPr>
          <w:rPr>
            <w:rFonts w:ascii="Cambria Math" w:hAnsi="Cambria Math" w:cs="Times New Roman"/>
            <w:sz w:val="24"/>
            <w:szCs w:val="24"/>
            <w:lang w:val="en-US"/>
          </w:rPr>
          <m:t>/</m:t>
        </m:r>
        <m:r>
          <w:rPr>
            <w:rFonts w:ascii="Cambria Math" w:hAnsi="Cambria Math" w:cs="Times New Roman"/>
            <w:sz w:val="24"/>
            <w:szCs w:val="24"/>
            <w:lang w:val="en-US"/>
          </w:rPr>
          <m:t>5=0.8</m:t>
        </m:r>
      </m:oMath>
    </w:p>
    <w:p w14:paraId="6632B5D2" w14:textId="699A59D0" w:rsidR="0001294A" w:rsidRPr="0001294A" w:rsidRDefault="0001294A" w:rsidP="00946425">
      <w:pPr>
        <w:numPr>
          <w:ilvl w:val="0"/>
          <w:numId w:val="1"/>
        </w:num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Project B: </w:t>
      </w:r>
      <m:oMath>
        <m:r>
          <w:rPr>
            <w:rFonts w:ascii="Cambria Math" w:hAnsi="Cambria Math" w:cs="Times New Roman"/>
            <w:sz w:val="24"/>
            <w:szCs w:val="24"/>
            <w:lang w:val="en-US"/>
          </w:rPr>
          <m:t>(1+1+1+1+1)</m:t>
        </m:r>
        <m:r>
          <m:rPr>
            <m:sty m:val="p"/>
          </m:rPr>
          <w:rPr>
            <w:rFonts w:ascii="Cambria Math" w:hAnsi="Cambria Math" w:cs="Times New Roman"/>
            <w:sz w:val="24"/>
            <w:szCs w:val="24"/>
            <w:lang w:val="en-US"/>
          </w:rPr>
          <m:t>/</m:t>
        </m:r>
        <m:r>
          <w:rPr>
            <w:rFonts w:ascii="Cambria Math" w:hAnsi="Cambria Math" w:cs="Times New Roman"/>
            <w:sz w:val="24"/>
            <w:szCs w:val="24"/>
            <w:lang w:val="en-US"/>
          </w:rPr>
          <m:t>5=1.0</m:t>
        </m:r>
      </m:oMath>
    </w:p>
    <w:p w14:paraId="427628A2" w14:textId="0E94812D" w:rsidR="0001294A" w:rsidRPr="0001294A" w:rsidRDefault="0001294A" w:rsidP="00946425">
      <w:pPr>
        <w:numPr>
          <w:ilvl w:val="0"/>
          <w:numId w:val="1"/>
        </w:num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Project C: </w:t>
      </w:r>
      <m:oMath>
        <m:r>
          <w:rPr>
            <w:rFonts w:ascii="Cambria Math" w:hAnsi="Cambria Math" w:cs="Times New Roman"/>
            <w:sz w:val="24"/>
            <w:szCs w:val="24"/>
            <w:lang w:val="en-US"/>
          </w:rPr>
          <m:t>(-5+0+10+15-5)</m:t>
        </m:r>
        <m:r>
          <m:rPr>
            <m:sty m:val="p"/>
          </m:rPr>
          <w:rPr>
            <w:rFonts w:ascii="Cambria Math" w:hAnsi="Cambria Math" w:cs="Times New Roman"/>
            <w:sz w:val="24"/>
            <w:szCs w:val="24"/>
            <w:lang w:val="en-US"/>
          </w:rPr>
          <m:t>/</m:t>
        </m:r>
        <m:r>
          <w:rPr>
            <w:rFonts w:ascii="Cambria Math" w:hAnsi="Cambria Math" w:cs="Times New Roman"/>
            <w:sz w:val="24"/>
            <w:szCs w:val="24"/>
            <w:lang w:val="en-US"/>
          </w:rPr>
          <m:t>5=3.0</m:t>
        </m:r>
      </m:oMath>
    </w:p>
    <w:p w14:paraId="4A01A58B"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Table D3.2 ARR Results</w:t>
      </w:r>
    </w:p>
    <w:tbl>
      <w:tblPr>
        <w:tblW w:w="9839"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047"/>
        <w:gridCol w:w="4043"/>
        <w:gridCol w:w="2545"/>
        <w:gridCol w:w="2204"/>
      </w:tblGrid>
      <w:tr w:rsidR="00946425" w:rsidRPr="0001294A" w14:paraId="514E22CC" w14:textId="77777777" w:rsidTr="0001294A">
        <w:trPr>
          <w:trHeight w:val="446"/>
          <w:tblHeader/>
          <w:tblCellSpacing w:w="15" w:type="dxa"/>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3C38A568"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Project</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642E4D70"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Average annual accounting profit (£m)</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5F5DA68A"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Initial investment (£m)</w:t>
            </w:r>
          </w:p>
        </w:tc>
        <w:tc>
          <w:tcPr>
            <w:tcW w:w="0" w:type="auto"/>
            <w:tcBorders>
              <w:top w:val="single" w:sz="2" w:space="0" w:color="auto"/>
              <w:left w:val="single" w:sz="2" w:space="0" w:color="auto"/>
              <w:bottom w:val="single" w:sz="6" w:space="0" w:color="auto"/>
              <w:right w:val="single" w:sz="2" w:space="0" w:color="auto"/>
            </w:tcBorders>
            <w:tcMar>
              <w:top w:w="120" w:type="dxa"/>
              <w:left w:w="120" w:type="dxa"/>
              <w:bottom w:w="120" w:type="dxa"/>
              <w:right w:w="120" w:type="dxa"/>
            </w:tcMar>
            <w:vAlign w:val="bottom"/>
            <w:hideMark/>
          </w:tcPr>
          <w:p w14:paraId="26CAE8B5"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ARR (%)</w:t>
            </w:r>
          </w:p>
        </w:tc>
      </w:tr>
      <w:tr w:rsidR="00946425" w:rsidRPr="0001294A" w14:paraId="0C1CE42E" w14:textId="77777777" w:rsidTr="0001294A">
        <w:trPr>
          <w:trHeight w:val="465"/>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D99CB0B"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A</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00F4428"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0.8</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4B6803B"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50</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18623F23" w14:textId="1D009D54" w:rsidR="0001294A" w:rsidRPr="0001294A" w:rsidRDefault="0001294A" w:rsidP="00946425">
            <w:pPr>
              <w:jc w:val="both"/>
              <w:rPr>
                <w:rFonts w:ascii="Times New Roman" w:hAnsi="Times New Roman" w:cs="Times New Roman"/>
                <w:sz w:val="24"/>
                <w:szCs w:val="24"/>
                <w:lang w:val="en-US"/>
              </w:rPr>
            </w:pPr>
            <m:oMath>
              <m:r>
                <w:rPr>
                  <w:rFonts w:ascii="Cambria Math" w:hAnsi="Cambria Math" w:cs="Times New Roman"/>
                  <w:sz w:val="24"/>
                  <w:szCs w:val="24"/>
                  <w:lang w:val="en-US"/>
                </w:rPr>
                <m:t>0.8</m:t>
              </m:r>
              <m:r>
                <m:rPr>
                  <m:sty m:val="p"/>
                </m:rPr>
                <w:rPr>
                  <w:rFonts w:ascii="Cambria Math" w:hAnsi="Cambria Math" w:cs="Times New Roman"/>
                  <w:sz w:val="24"/>
                  <w:szCs w:val="24"/>
                  <w:lang w:val="en-US"/>
                </w:rPr>
                <m:t>/</m:t>
              </m:r>
              <m:r>
                <w:rPr>
                  <w:rFonts w:ascii="Cambria Math" w:hAnsi="Cambria Math" w:cs="Times New Roman"/>
                  <w:sz w:val="24"/>
                  <w:szCs w:val="24"/>
                  <w:lang w:val="en-US"/>
                </w:rPr>
                <m:t>50×100=</m:t>
              </m:r>
            </m:oMath>
            <w:r w:rsidRPr="0001294A">
              <w:rPr>
                <w:rFonts w:ascii="Times New Roman" w:hAnsi="Times New Roman" w:cs="Times New Roman"/>
                <w:sz w:val="24"/>
                <w:szCs w:val="24"/>
                <w:lang w:val="en-US"/>
              </w:rPr>
              <w:t> </w:t>
            </w:r>
            <w:r w:rsidRPr="0001294A">
              <w:rPr>
                <w:rFonts w:ascii="Times New Roman" w:hAnsi="Times New Roman" w:cs="Times New Roman"/>
                <w:b/>
                <w:bCs/>
                <w:sz w:val="24"/>
                <w:szCs w:val="24"/>
                <w:lang w:val="en-US"/>
              </w:rPr>
              <w:t>1.6</w:t>
            </w:r>
          </w:p>
        </w:tc>
      </w:tr>
      <w:tr w:rsidR="00946425" w:rsidRPr="0001294A" w14:paraId="28CF94A8" w14:textId="77777777" w:rsidTr="0001294A">
        <w:trPr>
          <w:trHeight w:val="465"/>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B6A709B"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B</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D6ED77B"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04D561D"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50</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21ED5481" w14:textId="6CB9D1D6" w:rsidR="0001294A" w:rsidRPr="0001294A" w:rsidRDefault="0001294A" w:rsidP="00946425">
            <w:pPr>
              <w:jc w:val="both"/>
              <w:rPr>
                <w:rFonts w:ascii="Times New Roman" w:hAnsi="Times New Roman" w:cs="Times New Roman"/>
                <w:sz w:val="24"/>
                <w:szCs w:val="24"/>
                <w:lang w:val="en-US"/>
              </w:rPr>
            </w:pPr>
            <m:oMath>
              <m:r>
                <w:rPr>
                  <w:rFonts w:ascii="Cambria Math" w:hAnsi="Cambria Math" w:cs="Times New Roman"/>
                  <w:sz w:val="24"/>
                  <w:szCs w:val="24"/>
                  <w:lang w:val="en-US"/>
                </w:rPr>
                <m:t>1.0</m:t>
              </m:r>
              <m:r>
                <m:rPr>
                  <m:sty m:val="p"/>
                </m:rPr>
                <w:rPr>
                  <w:rFonts w:ascii="Cambria Math" w:hAnsi="Cambria Math" w:cs="Times New Roman"/>
                  <w:sz w:val="24"/>
                  <w:szCs w:val="24"/>
                  <w:lang w:val="en-US"/>
                </w:rPr>
                <m:t>/</m:t>
              </m:r>
              <m:r>
                <w:rPr>
                  <w:rFonts w:ascii="Cambria Math" w:hAnsi="Cambria Math" w:cs="Times New Roman"/>
                  <w:sz w:val="24"/>
                  <w:szCs w:val="24"/>
                  <w:lang w:val="en-US"/>
                </w:rPr>
                <m:t>50×100=</m:t>
              </m:r>
            </m:oMath>
            <w:r w:rsidRPr="0001294A">
              <w:rPr>
                <w:rFonts w:ascii="Times New Roman" w:hAnsi="Times New Roman" w:cs="Times New Roman"/>
                <w:sz w:val="24"/>
                <w:szCs w:val="24"/>
                <w:lang w:val="en-US"/>
              </w:rPr>
              <w:t> </w:t>
            </w:r>
            <w:r w:rsidRPr="0001294A">
              <w:rPr>
                <w:rFonts w:ascii="Times New Roman" w:hAnsi="Times New Roman" w:cs="Times New Roman"/>
                <w:b/>
                <w:bCs/>
                <w:sz w:val="24"/>
                <w:szCs w:val="24"/>
                <w:lang w:val="en-US"/>
              </w:rPr>
              <w:t>2.0</w:t>
            </w:r>
          </w:p>
        </w:tc>
      </w:tr>
      <w:tr w:rsidR="00946425" w:rsidRPr="0001294A" w14:paraId="6F09C84F" w14:textId="77777777" w:rsidTr="0001294A">
        <w:trPr>
          <w:trHeight w:val="483"/>
          <w:tblCellSpacing w:w="15" w:type="dxa"/>
        </w:trPr>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3E86C8EC"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C</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53D6E20C"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3.0</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75AAB7CE"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50</w:t>
            </w:r>
          </w:p>
        </w:tc>
        <w:tc>
          <w:tcPr>
            <w:tcW w:w="0" w:type="auto"/>
            <w:tcBorders>
              <w:top w:val="single" w:sz="2" w:space="0" w:color="auto"/>
              <w:left w:val="single" w:sz="2" w:space="0" w:color="auto"/>
              <w:bottom w:val="single" w:sz="2" w:space="0" w:color="auto"/>
              <w:right w:val="single" w:sz="2" w:space="0" w:color="auto"/>
            </w:tcBorders>
            <w:tcMar>
              <w:top w:w="137" w:type="dxa"/>
              <w:left w:w="120" w:type="dxa"/>
              <w:bottom w:w="137" w:type="dxa"/>
              <w:right w:w="120" w:type="dxa"/>
            </w:tcMar>
            <w:vAlign w:val="bottom"/>
            <w:hideMark/>
          </w:tcPr>
          <w:p w14:paraId="315A44AF" w14:textId="3C2BC4C6" w:rsidR="0001294A" w:rsidRPr="0001294A" w:rsidRDefault="0001294A" w:rsidP="00946425">
            <w:pPr>
              <w:jc w:val="both"/>
              <w:rPr>
                <w:rFonts w:ascii="Times New Roman" w:hAnsi="Times New Roman" w:cs="Times New Roman"/>
                <w:sz w:val="24"/>
                <w:szCs w:val="24"/>
                <w:lang w:val="en-US"/>
              </w:rPr>
            </w:pPr>
            <m:oMath>
              <m:r>
                <w:rPr>
                  <w:rFonts w:ascii="Cambria Math" w:hAnsi="Cambria Math" w:cs="Times New Roman"/>
                  <w:sz w:val="24"/>
                  <w:szCs w:val="24"/>
                  <w:lang w:val="en-US"/>
                </w:rPr>
                <m:t>3.0</m:t>
              </m:r>
              <m:r>
                <m:rPr>
                  <m:sty m:val="p"/>
                </m:rPr>
                <w:rPr>
                  <w:rFonts w:ascii="Cambria Math" w:hAnsi="Cambria Math" w:cs="Times New Roman"/>
                  <w:sz w:val="24"/>
                  <w:szCs w:val="24"/>
                  <w:lang w:val="en-US"/>
                </w:rPr>
                <m:t>/</m:t>
              </m:r>
              <m:r>
                <w:rPr>
                  <w:rFonts w:ascii="Cambria Math" w:hAnsi="Cambria Math" w:cs="Times New Roman"/>
                  <w:sz w:val="24"/>
                  <w:szCs w:val="24"/>
                  <w:lang w:val="en-US"/>
                </w:rPr>
                <m:t>50×100=</m:t>
              </m:r>
            </m:oMath>
            <w:r w:rsidRPr="0001294A">
              <w:rPr>
                <w:rFonts w:ascii="Times New Roman" w:hAnsi="Times New Roman" w:cs="Times New Roman"/>
                <w:sz w:val="24"/>
                <w:szCs w:val="24"/>
                <w:lang w:val="en-US"/>
              </w:rPr>
              <w:t> </w:t>
            </w:r>
            <w:r w:rsidRPr="0001294A">
              <w:rPr>
                <w:rFonts w:ascii="Times New Roman" w:hAnsi="Times New Roman" w:cs="Times New Roman"/>
                <w:b/>
                <w:bCs/>
                <w:sz w:val="24"/>
                <w:szCs w:val="24"/>
                <w:lang w:val="en-US"/>
              </w:rPr>
              <w:t>6.0</w:t>
            </w:r>
          </w:p>
        </w:tc>
      </w:tr>
    </w:tbl>
    <w:p w14:paraId="65567DA0" w14:textId="78817481" w:rsidR="0001294A" w:rsidRPr="0001294A" w:rsidRDefault="0001294A" w:rsidP="00946425">
      <w:pPr>
        <w:jc w:val="both"/>
        <w:rPr>
          <w:rFonts w:ascii="Times New Roman" w:hAnsi="Times New Roman" w:cs="Times New Roman"/>
          <w:sz w:val="24"/>
          <w:szCs w:val="24"/>
          <w:lang w:val="en-US"/>
        </w:rPr>
      </w:pPr>
    </w:p>
    <w:p w14:paraId="421E57F0"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Appendix D4. NPV and PI Calculations</w:t>
      </w:r>
    </w:p>
    <w:p w14:paraId="212072D9" w14:textId="3064920A"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Discount rate </w:t>
      </w:r>
      <m:oMath>
        <m:r>
          <w:rPr>
            <w:rFonts w:ascii="Cambria Math" w:hAnsi="Cambria Math" w:cs="Times New Roman"/>
            <w:sz w:val="24"/>
            <w:szCs w:val="24"/>
            <w:lang w:val="en-US"/>
          </w:rPr>
          <m:t>r=10</m:t>
        </m:r>
        <m:r>
          <m:rPr>
            <m:sty m:val="p"/>
          </m:rPr>
          <w:rPr>
            <w:rFonts w:ascii="Cambria Math" w:hAnsi="Cambria Math" w:cs="Times New Roman"/>
            <w:sz w:val="24"/>
            <w:szCs w:val="24"/>
            <w:lang w:val="en-US"/>
          </w:rPr>
          <m:t>%</m:t>
        </m:r>
      </m:oMath>
      <w:r w:rsidRPr="0001294A">
        <w:rPr>
          <w:rFonts w:ascii="Times New Roman" w:hAnsi="Times New Roman" w:cs="Times New Roman"/>
          <w:sz w:val="24"/>
          <w:szCs w:val="24"/>
          <w:lang w:val="en-US"/>
        </w:rPr>
        <w:t>.</w:t>
      </w:r>
    </w:p>
    <w:p w14:paraId="74E2AE71"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Table D4.1 Present Value Factors at 10%</w:t>
      </w:r>
    </w:p>
    <w:tbl>
      <w:tblPr>
        <w:tblW w:w="9690"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3040"/>
        <w:gridCol w:w="1331"/>
        <w:gridCol w:w="1330"/>
        <w:gridCol w:w="1330"/>
        <w:gridCol w:w="1330"/>
        <w:gridCol w:w="1329"/>
      </w:tblGrid>
      <w:tr w:rsidR="00946425" w:rsidRPr="0001294A" w14:paraId="2F094C6E" w14:textId="77777777" w:rsidTr="0001294A">
        <w:trPr>
          <w:trHeight w:val="481"/>
          <w:tblHeader/>
          <w:tblCellSpacing w:w="15" w:type="dxa"/>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374B2D6C"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Year</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5A1A5230"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1</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3ECFDFFE"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2</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47D0E3F9"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3</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33C692FC"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4</w:t>
            </w:r>
          </w:p>
        </w:tc>
        <w:tc>
          <w:tcPr>
            <w:tcW w:w="0" w:type="auto"/>
            <w:tcBorders>
              <w:top w:val="single" w:sz="2" w:space="0" w:color="auto"/>
              <w:left w:val="single" w:sz="2" w:space="0" w:color="auto"/>
              <w:bottom w:val="single" w:sz="6" w:space="0" w:color="auto"/>
              <w:right w:val="single" w:sz="2" w:space="0" w:color="auto"/>
            </w:tcBorders>
            <w:tcMar>
              <w:top w:w="120" w:type="dxa"/>
              <w:left w:w="120" w:type="dxa"/>
              <w:bottom w:w="120" w:type="dxa"/>
              <w:right w:w="120" w:type="dxa"/>
            </w:tcMar>
            <w:vAlign w:val="bottom"/>
            <w:hideMark/>
          </w:tcPr>
          <w:p w14:paraId="6401AAFB"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5</w:t>
            </w:r>
          </w:p>
        </w:tc>
      </w:tr>
      <w:tr w:rsidR="00946425" w:rsidRPr="0001294A" w14:paraId="7826A7FB" w14:textId="77777777" w:rsidTr="0001294A">
        <w:trPr>
          <w:trHeight w:val="502"/>
          <w:tblCellSpacing w:w="15" w:type="dxa"/>
        </w:trPr>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12C5EB5C"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PV factor (10%)</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4DE2E244"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0.909</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140F2D3D"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0.826</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25472B2B"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0.751</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364FD854"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0.683</w:t>
            </w:r>
          </w:p>
        </w:tc>
        <w:tc>
          <w:tcPr>
            <w:tcW w:w="0" w:type="auto"/>
            <w:tcBorders>
              <w:top w:val="single" w:sz="2" w:space="0" w:color="auto"/>
              <w:left w:val="single" w:sz="2" w:space="0" w:color="auto"/>
              <w:bottom w:val="single" w:sz="2" w:space="0" w:color="auto"/>
              <w:right w:val="single" w:sz="2" w:space="0" w:color="auto"/>
            </w:tcBorders>
            <w:tcMar>
              <w:top w:w="137" w:type="dxa"/>
              <w:left w:w="120" w:type="dxa"/>
              <w:bottom w:w="137" w:type="dxa"/>
              <w:right w:w="120" w:type="dxa"/>
            </w:tcMar>
            <w:vAlign w:val="bottom"/>
            <w:hideMark/>
          </w:tcPr>
          <w:p w14:paraId="302AE1D6"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0.621</w:t>
            </w:r>
          </w:p>
        </w:tc>
      </w:tr>
    </w:tbl>
    <w:p w14:paraId="7E072ED5"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Table D4.2 Discounted Cash Flows and NPV</w:t>
      </w:r>
    </w:p>
    <w:tbl>
      <w:tblPr>
        <w:tblStyle w:val="TableGrid"/>
        <w:tblW w:w="9632" w:type="dxa"/>
        <w:tblLook w:val="04A0" w:firstRow="1" w:lastRow="0" w:firstColumn="1" w:lastColumn="0" w:noHBand="0" w:noVBand="1"/>
      </w:tblPr>
      <w:tblGrid>
        <w:gridCol w:w="1203"/>
        <w:gridCol w:w="873"/>
        <w:gridCol w:w="2229"/>
        <w:gridCol w:w="2384"/>
        <w:gridCol w:w="2943"/>
      </w:tblGrid>
      <w:tr w:rsidR="00946425" w:rsidRPr="0001294A" w14:paraId="0CDE42A2" w14:textId="77777777" w:rsidTr="0001294A">
        <w:trPr>
          <w:trHeight w:val="449"/>
        </w:trPr>
        <w:tc>
          <w:tcPr>
            <w:tcW w:w="0" w:type="auto"/>
            <w:hideMark/>
          </w:tcPr>
          <w:p w14:paraId="749C9BE2" w14:textId="77777777" w:rsidR="0001294A" w:rsidRPr="0001294A" w:rsidRDefault="0001294A" w:rsidP="00946425">
            <w:pPr>
              <w:spacing w:after="160" w:line="259" w:lineRule="auto"/>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Project</w:t>
            </w:r>
          </w:p>
        </w:tc>
        <w:tc>
          <w:tcPr>
            <w:tcW w:w="0" w:type="auto"/>
            <w:hideMark/>
          </w:tcPr>
          <w:p w14:paraId="37152CB5" w14:textId="77777777" w:rsidR="0001294A" w:rsidRPr="0001294A" w:rsidRDefault="0001294A" w:rsidP="00946425">
            <w:pPr>
              <w:spacing w:after="160" w:line="259" w:lineRule="auto"/>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Year</w:t>
            </w:r>
          </w:p>
        </w:tc>
        <w:tc>
          <w:tcPr>
            <w:tcW w:w="0" w:type="auto"/>
            <w:hideMark/>
          </w:tcPr>
          <w:p w14:paraId="4260DC1E" w14:textId="77777777" w:rsidR="0001294A" w:rsidRPr="0001294A" w:rsidRDefault="0001294A" w:rsidP="00946425">
            <w:pPr>
              <w:spacing w:after="160" w:line="259" w:lineRule="auto"/>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Cash flow (£m)</w:t>
            </w:r>
          </w:p>
        </w:tc>
        <w:tc>
          <w:tcPr>
            <w:tcW w:w="0" w:type="auto"/>
            <w:hideMark/>
          </w:tcPr>
          <w:p w14:paraId="18E945DD" w14:textId="77777777" w:rsidR="0001294A" w:rsidRPr="0001294A" w:rsidRDefault="0001294A" w:rsidP="00946425">
            <w:pPr>
              <w:spacing w:after="160" w:line="259" w:lineRule="auto"/>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PV factor (10%)</w:t>
            </w:r>
          </w:p>
        </w:tc>
        <w:tc>
          <w:tcPr>
            <w:tcW w:w="0" w:type="auto"/>
            <w:hideMark/>
          </w:tcPr>
          <w:p w14:paraId="4829F664" w14:textId="77777777" w:rsidR="0001294A" w:rsidRPr="0001294A" w:rsidRDefault="0001294A" w:rsidP="00946425">
            <w:pPr>
              <w:spacing w:after="160" w:line="259" w:lineRule="auto"/>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PV of cash flow (£m)</w:t>
            </w:r>
          </w:p>
        </w:tc>
      </w:tr>
      <w:tr w:rsidR="00946425" w:rsidRPr="0001294A" w14:paraId="20E4EE42" w14:textId="77777777" w:rsidTr="0001294A">
        <w:trPr>
          <w:trHeight w:val="449"/>
        </w:trPr>
        <w:tc>
          <w:tcPr>
            <w:tcW w:w="0" w:type="auto"/>
            <w:hideMark/>
          </w:tcPr>
          <w:p w14:paraId="45AEEE55"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lastRenderedPageBreak/>
              <w:t>A</w:t>
            </w:r>
          </w:p>
        </w:tc>
        <w:tc>
          <w:tcPr>
            <w:tcW w:w="0" w:type="auto"/>
            <w:hideMark/>
          </w:tcPr>
          <w:p w14:paraId="62FA1688"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w:t>
            </w:r>
          </w:p>
        </w:tc>
        <w:tc>
          <w:tcPr>
            <w:tcW w:w="0" w:type="auto"/>
            <w:hideMark/>
          </w:tcPr>
          <w:p w14:paraId="2F3F4F93"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-50</w:t>
            </w:r>
          </w:p>
        </w:tc>
        <w:tc>
          <w:tcPr>
            <w:tcW w:w="0" w:type="auto"/>
            <w:hideMark/>
          </w:tcPr>
          <w:p w14:paraId="2ADC9105"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1.000</w:t>
            </w:r>
          </w:p>
        </w:tc>
        <w:tc>
          <w:tcPr>
            <w:tcW w:w="0" w:type="auto"/>
            <w:hideMark/>
          </w:tcPr>
          <w:p w14:paraId="6AB445C1"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-50.00</w:t>
            </w:r>
          </w:p>
        </w:tc>
      </w:tr>
      <w:tr w:rsidR="00946425" w:rsidRPr="0001294A" w14:paraId="73CBB61B" w14:textId="77777777" w:rsidTr="0001294A">
        <w:trPr>
          <w:trHeight w:val="449"/>
        </w:trPr>
        <w:tc>
          <w:tcPr>
            <w:tcW w:w="0" w:type="auto"/>
            <w:hideMark/>
          </w:tcPr>
          <w:p w14:paraId="09951819"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A</w:t>
            </w:r>
          </w:p>
        </w:tc>
        <w:tc>
          <w:tcPr>
            <w:tcW w:w="0" w:type="auto"/>
            <w:hideMark/>
          </w:tcPr>
          <w:p w14:paraId="37CA1A73"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w:t>
            </w:r>
          </w:p>
        </w:tc>
        <w:tc>
          <w:tcPr>
            <w:tcW w:w="0" w:type="auto"/>
            <w:hideMark/>
          </w:tcPr>
          <w:p w14:paraId="5F657D6D"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10</w:t>
            </w:r>
          </w:p>
        </w:tc>
        <w:tc>
          <w:tcPr>
            <w:tcW w:w="0" w:type="auto"/>
            <w:hideMark/>
          </w:tcPr>
          <w:p w14:paraId="53899BA8"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0.909</w:t>
            </w:r>
          </w:p>
        </w:tc>
        <w:tc>
          <w:tcPr>
            <w:tcW w:w="0" w:type="auto"/>
            <w:hideMark/>
          </w:tcPr>
          <w:p w14:paraId="61256CCC"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9.09</w:t>
            </w:r>
          </w:p>
        </w:tc>
      </w:tr>
      <w:tr w:rsidR="00946425" w:rsidRPr="0001294A" w14:paraId="3D607369" w14:textId="77777777" w:rsidTr="0001294A">
        <w:trPr>
          <w:trHeight w:val="449"/>
        </w:trPr>
        <w:tc>
          <w:tcPr>
            <w:tcW w:w="0" w:type="auto"/>
            <w:hideMark/>
          </w:tcPr>
          <w:p w14:paraId="69162E81"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A</w:t>
            </w:r>
          </w:p>
        </w:tc>
        <w:tc>
          <w:tcPr>
            <w:tcW w:w="0" w:type="auto"/>
            <w:hideMark/>
          </w:tcPr>
          <w:p w14:paraId="1302FF15"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2</w:t>
            </w:r>
          </w:p>
        </w:tc>
        <w:tc>
          <w:tcPr>
            <w:tcW w:w="0" w:type="auto"/>
            <w:hideMark/>
          </w:tcPr>
          <w:p w14:paraId="75007189"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12</w:t>
            </w:r>
          </w:p>
        </w:tc>
        <w:tc>
          <w:tcPr>
            <w:tcW w:w="0" w:type="auto"/>
            <w:hideMark/>
          </w:tcPr>
          <w:p w14:paraId="2D109BB8"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0.826</w:t>
            </w:r>
          </w:p>
        </w:tc>
        <w:tc>
          <w:tcPr>
            <w:tcW w:w="0" w:type="auto"/>
            <w:hideMark/>
          </w:tcPr>
          <w:p w14:paraId="71329A90"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9.91</w:t>
            </w:r>
          </w:p>
        </w:tc>
      </w:tr>
      <w:tr w:rsidR="00946425" w:rsidRPr="0001294A" w14:paraId="107403C1" w14:textId="77777777" w:rsidTr="0001294A">
        <w:trPr>
          <w:trHeight w:val="449"/>
        </w:trPr>
        <w:tc>
          <w:tcPr>
            <w:tcW w:w="0" w:type="auto"/>
            <w:hideMark/>
          </w:tcPr>
          <w:p w14:paraId="3838489B"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A</w:t>
            </w:r>
          </w:p>
        </w:tc>
        <w:tc>
          <w:tcPr>
            <w:tcW w:w="0" w:type="auto"/>
            <w:hideMark/>
          </w:tcPr>
          <w:p w14:paraId="62462465"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3</w:t>
            </w:r>
          </w:p>
        </w:tc>
        <w:tc>
          <w:tcPr>
            <w:tcW w:w="0" w:type="auto"/>
            <w:hideMark/>
          </w:tcPr>
          <w:p w14:paraId="37EF1879"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14</w:t>
            </w:r>
          </w:p>
        </w:tc>
        <w:tc>
          <w:tcPr>
            <w:tcW w:w="0" w:type="auto"/>
            <w:hideMark/>
          </w:tcPr>
          <w:p w14:paraId="6A8AB55E"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0.751</w:t>
            </w:r>
          </w:p>
        </w:tc>
        <w:tc>
          <w:tcPr>
            <w:tcW w:w="0" w:type="auto"/>
            <w:hideMark/>
          </w:tcPr>
          <w:p w14:paraId="665CC810"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10.51</w:t>
            </w:r>
          </w:p>
        </w:tc>
      </w:tr>
      <w:tr w:rsidR="00946425" w:rsidRPr="0001294A" w14:paraId="1ACB3B5E" w14:textId="77777777" w:rsidTr="0001294A">
        <w:trPr>
          <w:trHeight w:val="449"/>
        </w:trPr>
        <w:tc>
          <w:tcPr>
            <w:tcW w:w="0" w:type="auto"/>
            <w:hideMark/>
          </w:tcPr>
          <w:p w14:paraId="4DC0B2D8"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A</w:t>
            </w:r>
          </w:p>
        </w:tc>
        <w:tc>
          <w:tcPr>
            <w:tcW w:w="0" w:type="auto"/>
            <w:hideMark/>
          </w:tcPr>
          <w:p w14:paraId="7499D6FE"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4</w:t>
            </w:r>
          </w:p>
        </w:tc>
        <w:tc>
          <w:tcPr>
            <w:tcW w:w="0" w:type="auto"/>
            <w:hideMark/>
          </w:tcPr>
          <w:p w14:paraId="4CD9B5E6"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10</w:t>
            </w:r>
          </w:p>
        </w:tc>
        <w:tc>
          <w:tcPr>
            <w:tcW w:w="0" w:type="auto"/>
            <w:hideMark/>
          </w:tcPr>
          <w:p w14:paraId="57241A7C"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0.683</w:t>
            </w:r>
          </w:p>
        </w:tc>
        <w:tc>
          <w:tcPr>
            <w:tcW w:w="0" w:type="auto"/>
            <w:hideMark/>
          </w:tcPr>
          <w:p w14:paraId="1F18F066"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6.83</w:t>
            </w:r>
          </w:p>
        </w:tc>
      </w:tr>
      <w:tr w:rsidR="00946425" w:rsidRPr="0001294A" w14:paraId="43349B6E" w14:textId="77777777" w:rsidTr="0001294A">
        <w:trPr>
          <w:trHeight w:val="449"/>
        </w:trPr>
        <w:tc>
          <w:tcPr>
            <w:tcW w:w="0" w:type="auto"/>
            <w:hideMark/>
          </w:tcPr>
          <w:p w14:paraId="01B1557A"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A</w:t>
            </w:r>
          </w:p>
        </w:tc>
        <w:tc>
          <w:tcPr>
            <w:tcW w:w="0" w:type="auto"/>
            <w:hideMark/>
          </w:tcPr>
          <w:p w14:paraId="0B28D203"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w:t>
            </w:r>
          </w:p>
        </w:tc>
        <w:tc>
          <w:tcPr>
            <w:tcW w:w="0" w:type="auto"/>
            <w:hideMark/>
          </w:tcPr>
          <w:p w14:paraId="380D6268"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8</w:t>
            </w:r>
          </w:p>
        </w:tc>
        <w:tc>
          <w:tcPr>
            <w:tcW w:w="0" w:type="auto"/>
            <w:hideMark/>
          </w:tcPr>
          <w:p w14:paraId="74850BC8"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0.621</w:t>
            </w:r>
          </w:p>
        </w:tc>
        <w:tc>
          <w:tcPr>
            <w:tcW w:w="0" w:type="auto"/>
            <w:hideMark/>
          </w:tcPr>
          <w:p w14:paraId="2F21EAAC"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4.97</w:t>
            </w:r>
          </w:p>
        </w:tc>
      </w:tr>
      <w:tr w:rsidR="00946425" w:rsidRPr="0001294A" w14:paraId="3D844424" w14:textId="77777777" w:rsidTr="0001294A">
        <w:trPr>
          <w:trHeight w:val="449"/>
        </w:trPr>
        <w:tc>
          <w:tcPr>
            <w:tcW w:w="0" w:type="auto"/>
            <w:hideMark/>
          </w:tcPr>
          <w:p w14:paraId="543BA7B9" w14:textId="77777777" w:rsidR="0001294A" w:rsidRPr="0001294A" w:rsidRDefault="0001294A" w:rsidP="00946425">
            <w:pPr>
              <w:spacing w:after="160" w:line="259" w:lineRule="auto"/>
              <w:jc w:val="both"/>
              <w:rPr>
                <w:rFonts w:ascii="Times New Roman" w:hAnsi="Times New Roman" w:cs="Times New Roman"/>
                <w:sz w:val="24"/>
                <w:szCs w:val="24"/>
                <w:lang w:val="en-US"/>
              </w:rPr>
            </w:pPr>
          </w:p>
        </w:tc>
        <w:tc>
          <w:tcPr>
            <w:tcW w:w="0" w:type="auto"/>
            <w:hideMark/>
          </w:tcPr>
          <w:p w14:paraId="0F9E391B" w14:textId="77777777" w:rsidR="0001294A" w:rsidRPr="0001294A" w:rsidRDefault="0001294A" w:rsidP="00946425">
            <w:pPr>
              <w:spacing w:after="160" w:line="259" w:lineRule="auto"/>
              <w:jc w:val="both"/>
              <w:rPr>
                <w:rFonts w:ascii="Times New Roman" w:hAnsi="Times New Roman" w:cs="Times New Roman"/>
                <w:sz w:val="24"/>
                <w:szCs w:val="24"/>
                <w:lang w:val="en-US"/>
              </w:rPr>
            </w:pPr>
          </w:p>
        </w:tc>
        <w:tc>
          <w:tcPr>
            <w:tcW w:w="0" w:type="auto"/>
            <w:hideMark/>
          </w:tcPr>
          <w:p w14:paraId="44016C91" w14:textId="77777777" w:rsidR="0001294A" w:rsidRPr="0001294A" w:rsidRDefault="0001294A" w:rsidP="00946425">
            <w:pPr>
              <w:spacing w:after="160" w:line="259" w:lineRule="auto"/>
              <w:jc w:val="both"/>
              <w:rPr>
                <w:rFonts w:ascii="Times New Roman" w:hAnsi="Times New Roman" w:cs="Times New Roman"/>
                <w:sz w:val="24"/>
                <w:szCs w:val="24"/>
                <w:lang w:val="en-US"/>
              </w:rPr>
            </w:pPr>
          </w:p>
        </w:tc>
        <w:tc>
          <w:tcPr>
            <w:tcW w:w="0" w:type="auto"/>
            <w:hideMark/>
          </w:tcPr>
          <w:p w14:paraId="05AED384" w14:textId="77777777" w:rsidR="0001294A" w:rsidRPr="0001294A" w:rsidRDefault="0001294A" w:rsidP="00946425">
            <w:pPr>
              <w:spacing w:after="160" w:line="259" w:lineRule="auto"/>
              <w:jc w:val="both"/>
              <w:rPr>
                <w:rFonts w:ascii="Times New Roman" w:hAnsi="Times New Roman" w:cs="Times New Roman"/>
                <w:sz w:val="24"/>
                <w:szCs w:val="24"/>
                <w:lang w:val="en-US"/>
              </w:rPr>
            </w:pPr>
          </w:p>
        </w:tc>
        <w:tc>
          <w:tcPr>
            <w:tcW w:w="0" w:type="auto"/>
            <w:hideMark/>
          </w:tcPr>
          <w:p w14:paraId="1EF52474"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b/>
                <w:bCs/>
                <w:sz w:val="24"/>
                <w:szCs w:val="24"/>
                <w:lang w:val="en-US"/>
              </w:rPr>
              <w:t>NPV(A) ≈ -8.68</w:t>
            </w:r>
          </w:p>
        </w:tc>
      </w:tr>
      <w:tr w:rsidR="00946425" w:rsidRPr="0001294A" w14:paraId="49532F5B" w14:textId="77777777" w:rsidTr="0001294A">
        <w:trPr>
          <w:trHeight w:val="449"/>
        </w:trPr>
        <w:tc>
          <w:tcPr>
            <w:tcW w:w="0" w:type="auto"/>
            <w:hideMark/>
          </w:tcPr>
          <w:p w14:paraId="1636F64B"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B</w:t>
            </w:r>
          </w:p>
        </w:tc>
        <w:tc>
          <w:tcPr>
            <w:tcW w:w="0" w:type="auto"/>
            <w:hideMark/>
          </w:tcPr>
          <w:p w14:paraId="55934D39"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w:t>
            </w:r>
          </w:p>
        </w:tc>
        <w:tc>
          <w:tcPr>
            <w:tcW w:w="0" w:type="auto"/>
            <w:hideMark/>
          </w:tcPr>
          <w:p w14:paraId="0F066378"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-50</w:t>
            </w:r>
          </w:p>
        </w:tc>
        <w:tc>
          <w:tcPr>
            <w:tcW w:w="0" w:type="auto"/>
            <w:hideMark/>
          </w:tcPr>
          <w:p w14:paraId="0322AB52"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1.000</w:t>
            </w:r>
          </w:p>
        </w:tc>
        <w:tc>
          <w:tcPr>
            <w:tcW w:w="0" w:type="auto"/>
            <w:hideMark/>
          </w:tcPr>
          <w:p w14:paraId="64130928"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-50.00</w:t>
            </w:r>
          </w:p>
        </w:tc>
      </w:tr>
      <w:tr w:rsidR="00946425" w:rsidRPr="0001294A" w14:paraId="7785E1C2" w14:textId="77777777" w:rsidTr="0001294A">
        <w:trPr>
          <w:trHeight w:val="449"/>
        </w:trPr>
        <w:tc>
          <w:tcPr>
            <w:tcW w:w="0" w:type="auto"/>
            <w:hideMark/>
          </w:tcPr>
          <w:p w14:paraId="174C8F27"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B</w:t>
            </w:r>
          </w:p>
        </w:tc>
        <w:tc>
          <w:tcPr>
            <w:tcW w:w="0" w:type="auto"/>
            <w:hideMark/>
          </w:tcPr>
          <w:p w14:paraId="6F1C7D84"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w:t>
            </w:r>
          </w:p>
        </w:tc>
        <w:tc>
          <w:tcPr>
            <w:tcW w:w="0" w:type="auto"/>
            <w:hideMark/>
          </w:tcPr>
          <w:p w14:paraId="3308338E"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11</w:t>
            </w:r>
          </w:p>
        </w:tc>
        <w:tc>
          <w:tcPr>
            <w:tcW w:w="0" w:type="auto"/>
            <w:hideMark/>
          </w:tcPr>
          <w:p w14:paraId="5CAE9923"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0.909</w:t>
            </w:r>
          </w:p>
        </w:tc>
        <w:tc>
          <w:tcPr>
            <w:tcW w:w="0" w:type="auto"/>
            <w:hideMark/>
          </w:tcPr>
          <w:p w14:paraId="3135C9A7"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10.00</w:t>
            </w:r>
          </w:p>
        </w:tc>
      </w:tr>
      <w:tr w:rsidR="00946425" w:rsidRPr="0001294A" w14:paraId="6CDC8A37" w14:textId="77777777" w:rsidTr="0001294A">
        <w:trPr>
          <w:trHeight w:val="449"/>
        </w:trPr>
        <w:tc>
          <w:tcPr>
            <w:tcW w:w="0" w:type="auto"/>
            <w:hideMark/>
          </w:tcPr>
          <w:p w14:paraId="6632C45D"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B</w:t>
            </w:r>
          </w:p>
        </w:tc>
        <w:tc>
          <w:tcPr>
            <w:tcW w:w="0" w:type="auto"/>
            <w:hideMark/>
          </w:tcPr>
          <w:p w14:paraId="44A40B69"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2</w:t>
            </w:r>
          </w:p>
        </w:tc>
        <w:tc>
          <w:tcPr>
            <w:tcW w:w="0" w:type="auto"/>
            <w:hideMark/>
          </w:tcPr>
          <w:p w14:paraId="64569D00"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11</w:t>
            </w:r>
          </w:p>
        </w:tc>
        <w:tc>
          <w:tcPr>
            <w:tcW w:w="0" w:type="auto"/>
            <w:hideMark/>
          </w:tcPr>
          <w:p w14:paraId="69D1EB61"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0.826</w:t>
            </w:r>
          </w:p>
        </w:tc>
        <w:tc>
          <w:tcPr>
            <w:tcW w:w="0" w:type="auto"/>
            <w:hideMark/>
          </w:tcPr>
          <w:p w14:paraId="353FD509"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9.09</w:t>
            </w:r>
          </w:p>
        </w:tc>
      </w:tr>
      <w:tr w:rsidR="00946425" w:rsidRPr="0001294A" w14:paraId="5ED1B933" w14:textId="77777777" w:rsidTr="0001294A">
        <w:trPr>
          <w:trHeight w:val="449"/>
        </w:trPr>
        <w:tc>
          <w:tcPr>
            <w:tcW w:w="0" w:type="auto"/>
            <w:hideMark/>
          </w:tcPr>
          <w:p w14:paraId="63AF58EA"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B</w:t>
            </w:r>
          </w:p>
        </w:tc>
        <w:tc>
          <w:tcPr>
            <w:tcW w:w="0" w:type="auto"/>
            <w:hideMark/>
          </w:tcPr>
          <w:p w14:paraId="58F2E970"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3</w:t>
            </w:r>
          </w:p>
        </w:tc>
        <w:tc>
          <w:tcPr>
            <w:tcW w:w="0" w:type="auto"/>
            <w:hideMark/>
          </w:tcPr>
          <w:p w14:paraId="79F2651F"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11</w:t>
            </w:r>
          </w:p>
        </w:tc>
        <w:tc>
          <w:tcPr>
            <w:tcW w:w="0" w:type="auto"/>
            <w:hideMark/>
          </w:tcPr>
          <w:p w14:paraId="631E44A1"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0.751</w:t>
            </w:r>
          </w:p>
        </w:tc>
        <w:tc>
          <w:tcPr>
            <w:tcW w:w="0" w:type="auto"/>
            <w:hideMark/>
          </w:tcPr>
          <w:p w14:paraId="1B3BC3C2"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8.26</w:t>
            </w:r>
          </w:p>
        </w:tc>
      </w:tr>
      <w:tr w:rsidR="00946425" w:rsidRPr="0001294A" w14:paraId="7A24964D" w14:textId="77777777" w:rsidTr="0001294A">
        <w:trPr>
          <w:trHeight w:val="449"/>
        </w:trPr>
        <w:tc>
          <w:tcPr>
            <w:tcW w:w="0" w:type="auto"/>
            <w:hideMark/>
          </w:tcPr>
          <w:p w14:paraId="2EBABD8F"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B</w:t>
            </w:r>
          </w:p>
        </w:tc>
        <w:tc>
          <w:tcPr>
            <w:tcW w:w="0" w:type="auto"/>
            <w:hideMark/>
          </w:tcPr>
          <w:p w14:paraId="4D06DD3B"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4</w:t>
            </w:r>
          </w:p>
        </w:tc>
        <w:tc>
          <w:tcPr>
            <w:tcW w:w="0" w:type="auto"/>
            <w:hideMark/>
          </w:tcPr>
          <w:p w14:paraId="1B6208D0"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11</w:t>
            </w:r>
          </w:p>
        </w:tc>
        <w:tc>
          <w:tcPr>
            <w:tcW w:w="0" w:type="auto"/>
            <w:hideMark/>
          </w:tcPr>
          <w:p w14:paraId="1AF8C804"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0.683</w:t>
            </w:r>
          </w:p>
        </w:tc>
        <w:tc>
          <w:tcPr>
            <w:tcW w:w="0" w:type="auto"/>
            <w:hideMark/>
          </w:tcPr>
          <w:p w14:paraId="551DFA9F"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7.51</w:t>
            </w:r>
          </w:p>
        </w:tc>
      </w:tr>
      <w:tr w:rsidR="00946425" w:rsidRPr="0001294A" w14:paraId="7842E49A" w14:textId="77777777" w:rsidTr="0001294A">
        <w:trPr>
          <w:trHeight w:val="449"/>
        </w:trPr>
        <w:tc>
          <w:tcPr>
            <w:tcW w:w="0" w:type="auto"/>
            <w:hideMark/>
          </w:tcPr>
          <w:p w14:paraId="68A7016E"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B</w:t>
            </w:r>
          </w:p>
        </w:tc>
        <w:tc>
          <w:tcPr>
            <w:tcW w:w="0" w:type="auto"/>
            <w:hideMark/>
          </w:tcPr>
          <w:p w14:paraId="69EEC3BB"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w:t>
            </w:r>
          </w:p>
        </w:tc>
        <w:tc>
          <w:tcPr>
            <w:tcW w:w="0" w:type="auto"/>
            <w:hideMark/>
          </w:tcPr>
          <w:p w14:paraId="07D7D6EC"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11</w:t>
            </w:r>
          </w:p>
        </w:tc>
        <w:tc>
          <w:tcPr>
            <w:tcW w:w="0" w:type="auto"/>
            <w:hideMark/>
          </w:tcPr>
          <w:p w14:paraId="7E5CC41E"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0.621</w:t>
            </w:r>
          </w:p>
        </w:tc>
        <w:tc>
          <w:tcPr>
            <w:tcW w:w="0" w:type="auto"/>
            <w:hideMark/>
          </w:tcPr>
          <w:p w14:paraId="47DCAF6E"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6.83</w:t>
            </w:r>
          </w:p>
        </w:tc>
      </w:tr>
      <w:tr w:rsidR="00946425" w:rsidRPr="0001294A" w14:paraId="36BAFA5B" w14:textId="77777777" w:rsidTr="0001294A">
        <w:trPr>
          <w:trHeight w:val="449"/>
        </w:trPr>
        <w:tc>
          <w:tcPr>
            <w:tcW w:w="0" w:type="auto"/>
            <w:hideMark/>
          </w:tcPr>
          <w:p w14:paraId="3948D963" w14:textId="77777777" w:rsidR="0001294A" w:rsidRPr="0001294A" w:rsidRDefault="0001294A" w:rsidP="00946425">
            <w:pPr>
              <w:spacing w:after="160" w:line="259" w:lineRule="auto"/>
              <w:jc w:val="both"/>
              <w:rPr>
                <w:rFonts w:ascii="Times New Roman" w:hAnsi="Times New Roman" w:cs="Times New Roman"/>
                <w:sz w:val="24"/>
                <w:szCs w:val="24"/>
                <w:lang w:val="en-US"/>
              </w:rPr>
            </w:pPr>
          </w:p>
        </w:tc>
        <w:tc>
          <w:tcPr>
            <w:tcW w:w="0" w:type="auto"/>
            <w:hideMark/>
          </w:tcPr>
          <w:p w14:paraId="3AC8851B" w14:textId="77777777" w:rsidR="0001294A" w:rsidRPr="0001294A" w:rsidRDefault="0001294A" w:rsidP="00946425">
            <w:pPr>
              <w:spacing w:after="160" w:line="259" w:lineRule="auto"/>
              <w:jc w:val="both"/>
              <w:rPr>
                <w:rFonts w:ascii="Times New Roman" w:hAnsi="Times New Roman" w:cs="Times New Roman"/>
                <w:sz w:val="24"/>
                <w:szCs w:val="24"/>
                <w:lang w:val="en-US"/>
              </w:rPr>
            </w:pPr>
          </w:p>
        </w:tc>
        <w:tc>
          <w:tcPr>
            <w:tcW w:w="0" w:type="auto"/>
            <w:hideMark/>
          </w:tcPr>
          <w:p w14:paraId="39A723FE" w14:textId="77777777" w:rsidR="0001294A" w:rsidRPr="0001294A" w:rsidRDefault="0001294A" w:rsidP="00946425">
            <w:pPr>
              <w:spacing w:after="160" w:line="259" w:lineRule="auto"/>
              <w:jc w:val="both"/>
              <w:rPr>
                <w:rFonts w:ascii="Times New Roman" w:hAnsi="Times New Roman" w:cs="Times New Roman"/>
                <w:sz w:val="24"/>
                <w:szCs w:val="24"/>
                <w:lang w:val="en-US"/>
              </w:rPr>
            </w:pPr>
          </w:p>
        </w:tc>
        <w:tc>
          <w:tcPr>
            <w:tcW w:w="0" w:type="auto"/>
            <w:hideMark/>
          </w:tcPr>
          <w:p w14:paraId="5C1C902D" w14:textId="77777777" w:rsidR="0001294A" w:rsidRPr="0001294A" w:rsidRDefault="0001294A" w:rsidP="00946425">
            <w:pPr>
              <w:spacing w:after="160" w:line="259" w:lineRule="auto"/>
              <w:jc w:val="both"/>
              <w:rPr>
                <w:rFonts w:ascii="Times New Roman" w:hAnsi="Times New Roman" w:cs="Times New Roman"/>
                <w:sz w:val="24"/>
                <w:szCs w:val="24"/>
                <w:lang w:val="en-US"/>
              </w:rPr>
            </w:pPr>
          </w:p>
        </w:tc>
        <w:tc>
          <w:tcPr>
            <w:tcW w:w="0" w:type="auto"/>
            <w:hideMark/>
          </w:tcPr>
          <w:p w14:paraId="4ED4046F"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b/>
                <w:bCs/>
                <w:sz w:val="24"/>
                <w:szCs w:val="24"/>
                <w:lang w:val="en-US"/>
              </w:rPr>
              <w:t>NPV(B) ≈ -8.30</w:t>
            </w:r>
          </w:p>
        </w:tc>
      </w:tr>
      <w:tr w:rsidR="00946425" w:rsidRPr="0001294A" w14:paraId="080EB15B" w14:textId="77777777" w:rsidTr="0001294A">
        <w:trPr>
          <w:trHeight w:val="449"/>
        </w:trPr>
        <w:tc>
          <w:tcPr>
            <w:tcW w:w="0" w:type="auto"/>
            <w:hideMark/>
          </w:tcPr>
          <w:p w14:paraId="3E233B57"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C</w:t>
            </w:r>
          </w:p>
        </w:tc>
        <w:tc>
          <w:tcPr>
            <w:tcW w:w="0" w:type="auto"/>
            <w:hideMark/>
          </w:tcPr>
          <w:p w14:paraId="68A860FA"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w:t>
            </w:r>
          </w:p>
        </w:tc>
        <w:tc>
          <w:tcPr>
            <w:tcW w:w="0" w:type="auto"/>
            <w:hideMark/>
          </w:tcPr>
          <w:p w14:paraId="1E9D5800"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-50</w:t>
            </w:r>
          </w:p>
        </w:tc>
        <w:tc>
          <w:tcPr>
            <w:tcW w:w="0" w:type="auto"/>
            <w:hideMark/>
          </w:tcPr>
          <w:p w14:paraId="1545B12C"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1.000</w:t>
            </w:r>
          </w:p>
        </w:tc>
        <w:tc>
          <w:tcPr>
            <w:tcW w:w="0" w:type="auto"/>
            <w:hideMark/>
          </w:tcPr>
          <w:p w14:paraId="2DAAAF2A"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-50.00</w:t>
            </w:r>
          </w:p>
        </w:tc>
      </w:tr>
      <w:tr w:rsidR="00946425" w:rsidRPr="0001294A" w14:paraId="3688C4C9" w14:textId="77777777" w:rsidTr="0001294A">
        <w:trPr>
          <w:trHeight w:val="449"/>
        </w:trPr>
        <w:tc>
          <w:tcPr>
            <w:tcW w:w="0" w:type="auto"/>
            <w:hideMark/>
          </w:tcPr>
          <w:p w14:paraId="36B6B465"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C</w:t>
            </w:r>
          </w:p>
        </w:tc>
        <w:tc>
          <w:tcPr>
            <w:tcW w:w="0" w:type="auto"/>
            <w:hideMark/>
          </w:tcPr>
          <w:p w14:paraId="1A335358"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w:t>
            </w:r>
          </w:p>
        </w:tc>
        <w:tc>
          <w:tcPr>
            <w:tcW w:w="0" w:type="auto"/>
            <w:hideMark/>
          </w:tcPr>
          <w:p w14:paraId="3E1129D7"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w:t>
            </w:r>
          </w:p>
        </w:tc>
        <w:tc>
          <w:tcPr>
            <w:tcW w:w="0" w:type="auto"/>
            <w:hideMark/>
          </w:tcPr>
          <w:p w14:paraId="337EF2E6"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0.909</w:t>
            </w:r>
          </w:p>
        </w:tc>
        <w:tc>
          <w:tcPr>
            <w:tcW w:w="0" w:type="auto"/>
            <w:hideMark/>
          </w:tcPr>
          <w:p w14:paraId="28393A92"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4.55</w:t>
            </w:r>
          </w:p>
        </w:tc>
      </w:tr>
      <w:tr w:rsidR="00946425" w:rsidRPr="0001294A" w14:paraId="75C9C989" w14:textId="77777777" w:rsidTr="0001294A">
        <w:trPr>
          <w:trHeight w:val="449"/>
        </w:trPr>
        <w:tc>
          <w:tcPr>
            <w:tcW w:w="0" w:type="auto"/>
            <w:hideMark/>
          </w:tcPr>
          <w:p w14:paraId="37F23361"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C</w:t>
            </w:r>
          </w:p>
        </w:tc>
        <w:tc>
          <w:tcPr>
            <w:tcW w:w="0" w:type="auto"/>
            <w:hideMark/>
          </w:tcPr>
          <w:p w14:paraId="61A9DA57"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2</w:t>
            </w:r>
          </w:p>
        </w:tc>
        <w:tc>
          <w:tcPr>
            <w:tcW w:w="0" w:type="auto"/>
            <w:hideMark/>
          </w:tcPr>
          <w:p w14:paraId="4C2A2E18"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10</w:t>
            </w:r>
          </w:p>
        </w:tc>
        <w:tc>
          <w:tcPr>
            <w:tcW w:w="0" w:type="auto"/>
            <w:hideMark/>
          </w:tcPr>
          <w:p w14:paraId="09373D8B"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0.826</w:t>
            </w:r>
          </w:p>
        </w:tc>
        <w:tc>
          <w:tcPr>
            <w:tcW w:w="0" w:type="auto"/>
            <w:hideMark/>
          </w:tcPr>
          <w:p w14:paraId="2740A369"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8.26</w:t>
            </w:r>
          </w:p>
        </w:tc>
      </w:tr>
      <w:tr w:rsidR="00946425" w:rsidRPr="0001294A" w14:paraId="5449259F" w14:textId="77777777" w:rsidTr="0001294A">
        <w:trPr>
          <w:trHeight w:val="449"/>
        </w:trPr>
        <w:tc>
          <w:tcPr>
            <w:tcW w:w="0" w:type="auto"/>
            <w:hideMark/>
          </w:tcPr>
          <w:p w14:paraId="5945772B"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C</w:t>
            </w:r>
          </w:p>
        </w:tc>
        <w:tc>
          <w:tcPr>
            <w:tcW w:w="0" w:type="auto"/>
            <w:hideMark/>
          </w:tcPr>
          <w:p w14:paraId="58F983C3"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3</w:t>
            </w:r>
          </w:p>
        </w:tc>
        <w:tc>
          <w:tcPr>
            <w:tcW w:w="0" w:type="auto"/>
            <w:hideMark/>
          </w:tcPr>
          <w:p w14:paraId="7740B331"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20</w:t>
            </w:r>
          </w:p>
        </w:tc>
        <w:tc>
          <w:tcPr>
            <w:tcW w:w="0" w:type="auto"/>
            <w:hideMark/>
          </w:tcPr>
          <w:p w14:paraId="08275976"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0.751</w:t>
            </w:r>
          </w:p>
        </w:tc>
        <w:tc>
          <w:tcPr>
            <w:tcW w:w="0" w:type="auto"/>
            <w:hideMark/>
          </w:tcPr>
          <w:p w14:paraId="689FC4AE"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15.02</w:t>
            </w:r>
          </w:p>
        </w:tc>
      </w:tr>
      <w:tr w:rsidR="00946425" w:rsidRPr="0001294A" w14:paraId="2D849BF0" w14:textId="77777777" w:rsidTr="0001294A">
        <w:trPr>
          <w:trHeight w:val="449"/>
        </w:trPr>
        <w:tc>
          <w:tcPr>
            <w:tcW w:w="0" w:type="auto"/>
            <w:hideMark/>
          </w:tcPr>
          <w:p w14:paraId="15351982"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C</w:t>
            </w:r>
          </w:p>
        </w:tc>
        <w:tc>
          <w:tcPr>
            <w:tcW w:w="0" w:type="auto"/>
            <w:hideMark/>
          </w:tcPr>
          <w:p w14:paraId="3120546A"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4</w:t>
            </w:r>
          </w:p>
        </w:tc>
        <w:tc>
          <w:tcPr>
            <w:tcW w:w="0" w:type="auto"/>
            <w:hideMark/>
          </w:tcPr>
          <w:p w14:paraId="40532539"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25</w:t>
            </w:r>
          </w:p>
        </w:tc>
        <w:tc>
          <w:tcPr>
            <w:tcW w:w="0" w:type="auto"/>
            <w:hideMark/>
          </w:tcPr>
          <w:p w14:paraId="50C7D6D2"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0.683</w:t>
            </w:r>
          </w:p>
        </w:tc>
        <w:tc>
          <w:tcPr>
            <w:tcW w:w="0" w:type="auto"/>
            <w:hideMark/>
          </w:tcPr>
          <w:p w14:paraId="1D890B56"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17.08</w:t>
            </w:r>
          </w:p>
        </w:tc>
      </w:tr>
      <w:tr w:rsidR="00946425" w:rsidRPr="0001294A" w14:paraId="2B2FEC55" w14:textId="77777777" w:rsidTr="0001294A">
        <w:trPr>
          <w:trHeight w:val="449"/>
        </w:trPr>
        <w:tc>
          <w:tcPr>
            <w:tcW w:w="0" w:type="auto"/>
            <w:hideMark/>
          </w:tcPr>
          <w:p w14:paraId="535F1AC8"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C</w:t>
            </w:r>
          </w:p>
        </w:tc>
        <w:tc>
          <w:tcPr>
            <w:tcW w:w="0" w:type="auto"/>
            <w:hideMark/>
          </w:tcPr>
          <w:p w14:paraId="02934746"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w:t>
            </w:r>
          </w:p>
        </w:tc>
        <w:tc>
          <w:tcPr>
            <w:tcW w:w="0" w:type="auto"/>
            <w:hideMark/>
          </w:tcPr>
          <w:p w14:paraId="6721E905"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w:t>
            </w:r>
          </w:p>
        </w:tc>
        <w:tc>
          <w:tcPr>
            <w:tcW w:w="0" w:type="auto"/>
            <w:hideMark/>
          </w:tcPr>
          <w:p w14:paraId="1AF5658C"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0.621</w:t>
            </w:r>
          </w:p>
        </w:tc>
        <w:tc>
          <w:tcPr>
            <w:tcW w:w="0" w:type="auto"/>
            <w:hideMark/>
          </w:tcPr>
          <w:p w14:paraId="53457896"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3.11</w:t>
            </w:r>
          </w:p>
        </w:tc>
      </w:tr>
      <w:tr w:rsidR="00946425" w:rsidRPr="0001294A" w14:paraId="57AF2C8C" w14:textId="77777777" w:rsidTr="0001294A">
        <w:trPr>
          <w:trHeight w:val="449"/>
        </w:trPr>
        <w:tc>
          <w:tcPr>
            <w:tcW w:w="0" w:type="auto"/>
            <w:hideMark/>
          </w:tcPr>
          <w:p w14:paraId="688A4A8C" w14:textId="77777777" w:rsidR="0001294A" w:rsidRPr="0001294A" w:rsidRDefault="0001294A" w:rsidP="00946425">
            <w:pPr>
              <w:spacing w:after="160" w:line="259" w:lineRule="auto"/>
              <w:jc w:val="both"/>
              <w:rPr>
                <w:rFonts w:ascii="Times New Roman" w:hAnsi="Times New Roman" w:cs="Times New Roman"/>
                <w:sz w:val="24"/>
                <w:szCs w:val="24"/>
                <w:lang w:val="en-US"/>
              </w:rPr>
            </w:pPr>
          </w:p>
        </w:tc>
        <w:tc>
          <w:tcPr>
            <w:tcW w:w="0" w:type="auto"/>
            <w:hideMark/>
          </w:tcPr>
          <w:p w14:paraId="1C5ADC9D" w14:textId="77777777" w:rsidR="0001294A" w:rsidRPr="0001294A" w:rsidRDefault="0001294A" w:rsidP="00946425">
            <w:pPr>
              <w:spacing w:after="160" w:line="259" w:lineRule="auto"/>
              <w:jc w:val="both"/>
              <w:rPr>
                <w:rFonts w:ascii="Times New Roman" w:hAnsi="Times New Roman" w:cs="Times New Roman"/>
                <w:sz w:val="24"/>
                <w:szCs w:val="24"/>
                <w:lang w:val="en-US"/>
              </w:rPr>
            </w:pPr>
          </w:p>
        </w:tc>
        <w:tc>
          <w:tcPr>
            <w:tcW w:w="0" w:type="auto"/>
            <w:hideMark/>
          </w:tcPr>
          <w:p w14:paraId="64CE4142" w14:textId="77777777" w:rsidR="0001294A" w:rsidRPr="0001294A" w:rsidRDefault="0001294A" w:rsidP="00946425">
            <w:pPr>
              <w:spacing w:after="160" w:line="259" w:lineRule="auto"/>
              <w:jc w:val="both"/>
              <w:rPr>
                <w:rFonts w:ascii="Times New Roman" w:hAnsi="Times New Roman" w:cs="Times New Roman"/>
                <w:sz w:val="24"/>
                <w:szCs w:val="24"/>
                <w:lang w:val="en-US"/>
              </w:rPr>
            </w:pPr>
          </w:p>
        </w:tc>
        <w:tc>
          <w:tcPr>
            <w:tcW w:w="0" w:type="auto"/>
            <w:hideMark/>
          </w:tcPr>
          <w:p w14:paraId="57AA7317" w14:textId="77777777" w:rsidR="0001294A" w:rsidRPr="0001294A" w:rsidRDefault="0001294A" w:rsidP="00946425">
            <w:pPr>
              <w:spacing w:after="160" w:line="259" w:lineRule="auto"/>
              <w:jc w:val="both"/>
              <w:rPr>
                <w:rFonts w:ascii="Times New Roman" w:hAnsi="Times New Roman" w:cs="Times New Roman"/>
                <w:sz w:val="24"/>
                <w:szCs w:val="24"/>
                <w:lang w:val="en-US"/>
              </w:rPr>
            </w:pPr>
          </w:p>
        </w:tc>
        <w:tc>
          <w:tcPr>
            <w:tcW w:w="0" w:type="auto"/>
            <w:hideMark/>
          </w:tcPr>
          <w:p w14:paraId="410E2BB2" w14:textId="77777777" w:rsidR="0001294A" w:rsidRPr="0001294A" w:rsidRDefault="0001294A" w:rsidP="00946425">
            <w:pPr>
              <w:spacing w:after="160" w:line="259" w:lineRule="auto"/>
              <w:jc w:val="both"/>
              <w:rPr>
                <w:rFonts w:ascii="Times New Roman" w:hAnsi="Times New Roman" w:cs="Times New Roman"/>
                <w:sz w:val="24"/>
                <w:szCs w:val="24"/>
                <w:lang w:val="en-US"/>
              </w:rPr>
            </w:pPr>
            <w:r w:rsidRPr="0001294A">
              <w:rPr>
                <w:rFonts w:ascii="Times New Roman" w:hAnsi="Times New Roman" w:cs="Times New Roman"/>
                <w:b/>
                <w:bCs/>
                <w:sz w:val="24"/>
                <w:szCs w:val="24"/>
                <w:lang w:val="en-US"/>
              </w:rPr>
              <w:t>NPV(C) ≈ -1.98</w:t>
            </w:r>
          </w:p>
        </w:tc>
      </w:tr>
    </w:tbl>
    <w:p w14:paraId="117B4E25" w14:textId="77777777" w:rsidR="0001294A" w:rsidRPr="00946425" w:rsidRDefault="0001294A" w:rsidP="00946425">
      <w:pPr>
        <w:jc w:val="both"/>
        <w:rPr>
          <w:rFonts w:ascii="Times New Roman" w:hAnsi="Times New Roman" w:cs="Times New Roman"/>
          <w:b/>
          <w:bCs/>
          <w:sz w:val="24"/>
          <w:szCs w:val="24"/>
          <w:lang w:val="en-US"/>
        </w:rPr>
      </w:pPr>
    </w:p>
    <w:p w14:paraId="764CCB60" w14:textId="2C59F0E5"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Table D4.3 Present Value of Inflows and PI</w:t>
      </w:r>
    </w:p>
    <w:tbl>
      <w:tblPr>
        <w:tblW w:w="9430"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047"/>
        <w:gridCol w:w="2115"/>
        <w:gridCol w:w="2550"/>
        <w:gridCol w:w="3718"/>
      </w:tblGrid>
      <w:tr w:rsidR="00946425" w:rsidRPr="0001294A" w14:paraId="759CCA74" w14:textId="77777777" w:rsidTr="0001294A">
        <w:trPr>
          <w:trHeight w:val="470"/>
          <w:tblHeader/>
          <w:tblCellSpacing w:w="15" w:type="dxa"/>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7B231DE1"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Project</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0D3E3242"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PV of inflows (£m)</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261AC8A6"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Initial investment (£m)</w:t>
            </w:r>
          </w:p>
        </w:tc>
        <w:tc>
          <w:tcPr>
            <w:tcW w:w="0" w:type="auto"/>
            <w:tcBorders>
              <w:top w:val="single" w:sz="2" w:space="0" w:color="auto"/>
              <w:left w:val="single" w:sz="2" w:space="0" w:color="auto"/>
              <w:bottom w:val="single" w:sz="6" w:space="0" w:color="auto"/>
              <w:right w:val="single" w:sz="2" w:space="0" w:color="auto"/>
            </w:tcBorders>
            <w:tcMar>
              <w:top w:w="120" w:type="dxa"/>
              <w:left w:w="120" w:type="dxa"/>
              <w:bottom w:w="120" w:type="dxa"/>
              <w:right w:w="120" w:type="dxa"/>
            </w:tcMar>
            <w:vAlign w:val="bottom"/>
            <w:hideMark/>
          </w:tcPr>
          <w:p w14:paraId="6C904465"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PI = PV inflows / Initial investment</w:t>
            </w:r>
          </w:p>
        </w:tc>
      </w:tr>
      <w:tr w:rsidR="00946425" w:rsidRPr="0001294A" w14:paraId="39A2D81D" w14:textId="77777777" w:rsidTr="0001294A">
        <w:trPr>
          <w:trHeight w:val="490"/>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B0FB669"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A</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4D58DC5"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40.0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FAC9E2D"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50</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2C3CF57F"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b/>
                <w:bCs/>
                <w:sz w:val="24"/>
                <w:szCs w:val="24"/>
                <w:lang w:val="en-US"/>
              </w:rPr>
              <w:t>0.83</w:t>
            </w:r>
          </w:p>
        </w:tc>
      </w:tr>
      <w:tr w:rsidR="00946425" w:rsidRPr="0001294A" w14:paraId="15D7C905" w14:textId="77777777" w:rsidTr="0001294A">
        <w:trPr>
          <w:trHeight w:val="490"/>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749953F"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lastRenderedPageBreak/>
              <w:t>B</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CEF5B05"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41.7</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5838D15"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50</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42C8364C"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b/>
                <w:bCs/>
                <w:sz w:val="24"/>
                <w:szCs w:val="24"/>
                <w:lang w:val="en-US"/>
              </w:rPr>
              <w:t>0.83</w:t>
            </w:r>
          </w:p>
        </w:tc>
      </w:tr>
      <w:tr w:rsidR="00946425" w:rsidRPr="0001294A" w14:paraId="6440478F" w14:textId="77777777" w:rsidTr="0001294A">
        <w:trPr>
          <w:trHeight w:val="490"/>
          <w:tblCellSpacing w:w="15" w:type="dxa"/>
        </w:trPr>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12477C44"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C</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5B770010"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48.0</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7F4A4AF6"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50</w:t>
            </w:r>
          </w:p>
        </w:tc>
        <w:tc>
          <w:tcPr>
            <w:tcW w:w="0" w:type="auto"/>
            <w:tcBorders>
              <w:top w:val="single" w:sz="2" w:space="0" w:color="auto"/>
              <w:left w:val="single" w:sz="2" w:space="0" w:color="auto"/>
              <w:bottom w:val="single" w:sz="2" w:space="0" w:color="auto"/>
              <w:right w:val="single" w:sz="2" w:space="0" w:color="auto"/>
            </w:tcBorders>
            <w:tcMar>
              <w:top w:w="137" w:type="dxa"/>
              <w:left w:w="120" w:type="dxa"/>
              <w:bottom w:w="137" w:type="dxa"/>
              <w:right w:w="120" w:type="dxa"/>
            </w:tcMar>
            <w:vAlign w:val="bottom"/>
            <w:hideMark/>
          </w:tcPr>
          <w:p w14:paraId="602AC7CF"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b/>
                <w:bCs/>
                <w:sz w:val="24"/>
                <w:szCs w:val="24"/>
                <w:lang w:val="en-US"/>
              </w:rPr>
              <w:t>0.96</w:t>
            </w:r>
          </w:p>
        </w:tc>
      </w:tr>
    </w:tbl>
    <w:p w14:paraId="3313E9A6" w14:textId="77777777" w:rsidR="0001294A" w:rsidRPr="0001294A" w:rsidRDefault="00000000" w:rsidP="00946425">
      <w:pPr>
        <w:jc w:val="both"/>
        <w:rPr>
          <w:rFonts w:ascii="Times New Roman" w:hAnsi="Times New Roman" w:cs="Times New Roman"/>
          <w:sz w:val="24"/>
          <w:szCs w:val="24"/>
          <w:lang w:val="en-US"/>
        </w:rPr>
      </w:pPr>
      <w:r>
        <w:rPr>
          <w:rFonts w:ascii="Times New Roman" w:hAnsi="Times New Roman" w:cs="Times New Roman"/>
          <w:sz w:val="24"/>
          <w:szCs w:val="24"/>
          <w:lang w:val="en-US"/>
        </w:rPr>
        <w:pict w14:anchorId="61CEC6F6">
          <v:rect id="_x0000_i1029" style="width:0;height:.75pt" o:hralign="center" o:hrstd="t" o:hr="t" fillcolor="#a0a0a0" stroked="f"/>
        </w:pict>
      </w:r>
    </w:p>
    <w:p w14:paraId="1DF74DB0"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Appendix D5. Capital Rationing Calculations</w:t>
      </w:r>
    </w:p>
    <w:p w14:paraId="336C1E3F"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Maximum total investment: £100 million.</w:t>
      </w:r>
    </w:p>
    <w:p w14:paraId="55D13166"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Table D5.1 Combined NPV for Two-Project Combinations</w:t>
      </w:r>
    </w:p>
    <w:tbl>
      <w:tblPr>
        <w:tblW w:w="9486"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758"/>
        <w:gridCol w:w="2560"/>
        <w:gridCol w:w="2560"/>
        <w:gridCol w:w="2608"/>
      </w:tblGrid>
      <w:tr w:rsidR="00946425" w:rsidRPr="0001294A" w14:paraId="53D3035B" w14:textId="77777777" w:rsidTr="0001294A">
        <w:trPr>
          <w:trHeight w:val="451"/>
          <w:tblHeader/>
          <w:tblCellSpacing w:w="15" w:type="dxa"/>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55610014"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Combination</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054CD9EF"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NPV(Project 1) (£m)</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7051510E"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NPV(Project 2) (£m)</w:t>
            </w:r>
          </w:p>
        </w:tc>
        <w:tc>
          <w:tcPr>
            <w:tcW w:w="0" w:type="auto"/>
            <w:tcBorders>
              <w:top w:val="single" w:sz="2" w:space="0" w:color="auto"/>
              <w:left w:val="single" w:sz="2" w:space="0" w:color="auto"/>
              <w:bottom w:val="single" w:sz="6" w:space="0" w:color="auto"/>
              <w:right w:val="single" w:sz="2" w:space="0" w:color="auto"/>
            </w:tcBorders>
            <w:tcMar>
              <w:top w:w="120" w:type="dxa"/>
              <w:left w:w="120" w:type="dxa"/>
              <w:bottom w:w="120" w:type="dxa"/>
              <w:right w:w="120" w:type="dxa"/>
            </w:tcMar>
            <w:vAlign w:val="bottom"/>
            <w:hideMark/>
          </w:tcPr>
          <w:p w14:paraId="7A9F7EDE" w14:textId="77777777" w:rsidR="0001294A" w:rsidRPr="0001294A" w:rsidRDefault="0001294A" w:rsidP="00946425">
            <w:pPr>
              <w:jc w:val="both"/>
              <w:rPr>
                <w:rFonts w:ascii="Times New Roman" w:hAnsi="Times New Roman" w:cs="Times New Roman"/>
                <w:b/>
                <w:bCs/>
                <w:sz w:val="24"/>
                <w:szCs w:val="24"/>
                <w:lang w:val="en-US"/>
              </w:rPr>
            </w:pPr>
            <w:r w:rsidRPr="0001294A">
              <w:rPr>
                <w:rFonts w:ascii="Times New Roman" w:hAnsi="Times New Roman" w:cs="Times New Roman"/>
                <w:b/>
                <w:bCs/>
                <w:sz w:val="24"/>
                <w:szCs w:val="24"/>
                <w:lang w:val="en-US"/>
              </w:rPr>
              <w:t>Combined NPV (£m)</w:t>
            </w:r>
          </w:p>
        </w:tc>
      </w:tr>
      <w:tr w:rsidR="00946425" w:rsidRPr="0001294A" w14:paraId="6C8FCD8C" w14:textId="77777777" w:rsidTr="0001294A">
        <w:trPr>
          <w:trHeight w:val="470"/>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134ABDF"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A + B</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CB286D8"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-8.68</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7EBD779"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-8.30</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1DB60FFB"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b/>
                <w:bCs/>
                <w:sz w:val="24"/>
                <w:szCs w:val="24"/>
                <w:lang w:val="en-US"/>
              </w:rPr>
              <w:t>-16.98</w:t>
            </w:r>
          </w:p>
        </w:tc>
      </w:tr>
      <w:tr w:rsidR="00946425" w:rsidRPr="0001294A" w14:paraId="33555485" w14:textId="77777777" w:rsidTr="0001294A">
        <w:trPr>
          <w:trHeight w:val="470"/>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3CD6AFE"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A + C</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A8E8B48"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-8.68</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9823069"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-1.98</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0287EB2A"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b/>
                <w:bCs/>
                <w:sz w:val="24"/>
                <w:szCs w:val="24"/>
                <w:lang w:val="en-US"/>
              </w:rPr>
              <w:t>-10.66</w:t>
            </w:r>
          </w:p>
        </w:tc>
      </w:tr>
      <w:tr w:rsidR="00946425" w:rsidRPr="0001294A" w14:paraId="1FAA3EB4" w14:textId="77777777" w:rsidTr="0001294A">
        <w:trPr>
          <w:trHeight w:val="470"/>
          <w:tblCellSpacing w:w="15" w:type="dxa"/>
        </w:trPr>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6B9836E0"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B + C</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497E27EF"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-8.30</w:t>
            </w:r>
          </w:p>
        </w:tc>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07CEDFB5"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-1.98</w:t>
            </w:r>
          </w:p>
        </w:tc>
        <w:tc>
          <w:tcPr>
            <w:tcW w:w="0" w:type="auto"/>
            <w:tcBorders>
              <w:top w:val="single" w:sz="2" w:space="0" w:color="auto"/>
              <w:left w:val="single" w:sz="2" w:space="0" w:color="auto"/>
              <w:bottom w:val="single" w:sz="2" w:space="0" w:color="auto"/>
              <w:right w:val="single" w:sz="2" w:space="0" w:color="auto"/>
            </w:tcBorders>
            <w:tcMar>
              <w:top w:w="137" w:type="dxa"/>
              <w:left w:w="120" w:type="dxa"/>
              <w:bottom w:w="137" w:type="dxa"/>
              <w:right w:w="120" w:type="dxa"/>
            </w:tcMar>
            <w:vAlign w:val="bottom"/>
            <w:hideMark/>
          </w:tcPr>
          <w:p w14:paraId="2668DB1A" w14:textId="77777777"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b/>
                <w:bCs/>
                <w:sz w:val="24"/>
                <w:szCs w:val="24"/>
                <w:lang w:val="en-US"/>
              </w:rPr>
              <w:t>-10.28</w:t>
            </w:r>
          </w:p>
        </w:tc>
      </w:tr>
    </w:tbl>
    <w:p w14:paraId="1D8CC8F7" w14:textId="77777777" w:rsidR="0001294A" w:rsidRPr="00946425" w:rsidRDefault="0001294A" w:rsidP="00946425">
      <w:pPr>
        <w:jc w:val="both"/>
        <w:rPr>
          <w:rFonts w:ascii="Times New Roman" w:hAnsi="Times New Roman" w:cs="Times New Roman"/>
          <w:sz w:val="24"/>
          <w:szCs w:val="24"/>
          <w:lang w:val="en-US"/>
        </w:rPr>
      </w:pPr>
    </w:p>
    <w:p w14:paraId="61343317" w14:textId="4271A9D3" w:rsidR="0001294A" w:rsidRPr="0001294A" w:rsidRDefault="0001294A" w:rsidP="00946425">
      <w:pPr>
        <w:jc w:val="both"/>
        <w:rPr>
          <w:rFonts w:ascii="Times New Roman" w:hAnsi="Times New Roman" w:cs="Times New Roman"/>
          <w:sz w:val="24"/>
          <w:szCs w:val="24"/>
          <w:lang w:val="en-US"/>
        </w:rPr>
      </w:pPr>
      <w:r w:rsidRPr="0001294A">
        <w:rPr>
          <w:rFonts w:ascii="Times New Roman" w:hAnsi="Times New Roman" w:cs="Times New Roman"/>
          <w:sz w:val="24"/>
          <w:szCs w:val="24"/>
          <w:lang w:val="en-US"/>
        </w:rPr>
        <w:t>Under capital rationing, the combination with the highest (least negative) combined NPV is </w:t>
      </w:r>
      <w:r w:rsidRPr="0001294A">
        <w:rPr>
          <w:rFonts w:ascii="Times New Roman" w:hAnsi="Times New Roman" w:cs="Times New Roman"/>
          <w:b/>
          <w:bCs/>
          <w:sz w:val="24"/>
          <w:szCs w:val="24"/>
          <w:lang w:val="en-US"/>
        </w:rPr>
        <w:t>B + C</w:t>
      </w:r>
      <w:r w:rsidRPr="0001294A">
        <w:rPr>
          <w:rFonts w:ascii="Times New Roman" w:hAnsi="Times New Roman" w:cs="Times New Roman"/>
          <w:sz w:val="24"/>
          <w:szCs w:val="24"/>
          <w:lang w:val="en-US"/>
        </w:rPr>
        <w:t>, so this is the preferred two-project choice if BYD must invest £100 million.</w:t>
      </w:r>
    </w:p>
    <w:p w14:paraId="0CC6F797" w14:textId="77777777" w:rsidR="0001294A" w:rsidRPr="00946425" w:rsidRDefault="0001294A" w:rsidP="00946425">
      <w:pPr>
        <w:jc w:val="both"/>
        <w:rPr>
          <w:rFonts w:ascii="Times New Roman" w:hAnsi="Times New Roman" w:cs="Times New Roman"/>
          <w:sz w:val="24"/>
          <w:szCs w:val="24"/>
        </w:rPr>
      </w:pPr>
    </w:p>
    <w:sectPr w:rsidR="0001294A" w:rsidRPr="00946425" w:rsidSect="00575986">
      <w:footerReference w:type="default" r:id="rId1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E50DCB" w14:textId="77777777" w:rsidR="00AB7ACF" w:rsidRDefault="00AB7ACF" w:rsidP="00946425">
      <w:pPr>
        <w:spacing w:after="0" w:line="240" w:lineRule="auto"/>
      </w:pPr>
      <w:r>
        <w:separator/>
      </w:r>
    </w:p>
  </w:endnote>
  <w:endnote w:type="continuationSeparator" w:id="0">
    <w:p w14:paraId="28F3C1DF" w14:textId="77777777" w:rsidR="00AB7ACF" w:rsidRDefault="00AB7ACF" w:rsidP="009464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7510426"/>
      <w:docPartObj>
        <w:docPartGallery w:val="Page Numbers (Bottom of Page)"/>
        <w:docPartUnique/>
      </w:docPartObj>
    </w:sdtPr>
    <w:sdtEndPr>
      <w:rPr>
        <w:color w:val="7F7F7F" w:themeColor="background1" w:themeShade="7F"/>
        <w:spacing w:val="60"/>
      </w:rPr>
    </w:sdtEndPr>
    <w:sdtContent>
      <w:p w14:paraId="0072DC2F" w14:textId="0D276434" w:rsidR="00946425" w:rsidRDefault="0094642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5C735AF" w14:textId="77777777" w:rsidR="00946425" w:rsidRDefault="009464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90AF69" w14:textId="77777777" w:rsidR="00AB7ACF" w:rsidRDefault="00AB7ACF" w:rsidP="00946425">
      <w:pPr>
        <w:spacing w:after="0" w:line="240" w:lineRule="auto"/>
      </w:pPr>
      <w:r>
        <w:separator/>
      </w:r>
    </w:p>
  </w:footnote>
  <w:footnote w:type="continuationSeparator" w:id="0">
    <w:p w14:paraId="5BC9D9DB" w14:textId="77777777" w:rsidR="00AB7ACF" w:rsidRDefault="00AB7ACF" w:rsidP="009464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A6374B"/>
    <w:multiLevelType w:val="multilevel"/>
    <w:tmpl w:val="CC1E1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2086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2B7"/>
    <w:rsid w:val="0001294A"/>
    <w:rsid w:val="00016012"/>
    <w:rsid w:val="000362C1"/>
    <w:rsid w:val="0004476B"/>
    <w:rsid w:val="00063A0E"/>
    <w:rsid w:val="001908EE"/>
    <w:rsid w:val="00202E6E"/>
    <w:rsid w:val="002B204A"/>
    <w:rsid w:val="002C2A30"/>
    <w:rsid w:val="0038712C"/>
    <w:rsid w:val="0039084E"/>
    <w:rsid w:val="00412ECC"/>
    <w:rsid w:val="00437F50"/>
    <w:rsid w:val="004531C5"/>
    <w:rsid w:val="00491D08"/>
    <w:rsid w:val="004D433B"/>
    <w:rsid w:val="004D6AB4"/>
    <w:rsid w:val="00575986"/>
    <w:rsid w:val="0058332C"/>
    <w:rsid w:val="005B3E57"/>
    <w:rsid w:val="00641ACD"/>
    <w:rsid w:val="0069078E"/>
    <w:rsid w:val="006B3BC0"/>
    <w:rsid w:val="00754375"/>
    <w:rsid w:val="007968D2"/>
    <w:rsid w:val="007D6B88"/>
    <w:rsid w:val="0083746C"/>
    <w:rsid w:val="00864840"/>
    <w:rsid w:val="00891F69"/>
    <w:rsid w:val="008F6AA6"/>
    <w:rsid w:val="009416FD"/>
    <w:rsid w:val="00946425"/>
    <w:rsid w:val="00A053E2"/>
    <w:rsid w:val="00A21E4B"/>
    <w:rsid w:val="00AB7ACF"/>
    <w:rsid w:val="00AD186B"/>
    <w:rsid w:val="00C77A31"/>
    <w:rsid w:val="00C832B7"/>
    <w:rsid w:val="00CA7B65"/>
    <w:rsid w:val="00CF2B0F"/>
    <w:rsid w:val="00D02810"/>
    <w:rsid w:val="00D77502"/>
    <w:rsid w:val="00DA6D67"/>
    <w:rsid w:val="00DB7B20"/>
    <w:rsid w:val="00EF3A84"/>
    <w:rsid w:val="00F0046F"/>
    <w:rsid w:val="00F213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A309F"/>
  <w15:chartTrackingRefBased/>
  <w15:docId w15:val="{03A81483-9D6C-4695-AA9D-332822198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832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832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32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32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32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32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32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32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32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32B7"/>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C832B7"/>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C832B7"/>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C832B7"/>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C832B7"/>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C832B7"/>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832B7"/>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C832B7"/>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832B7"/>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C832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32B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832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32B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832B7"/>
    <w:pPr>
      <w:spacing w:before="160"/>
      <w:jc w:val="center"/>
    </w:pPr>
    <w:rPr>
      <w:i/>
      <w:iCs/>
      <w:color w:val="404040" w:themeColor="text1" w:themeTint="BF"/>
    </w:rPr>
  </w:style>
  <w:style w:type="character" w:customStyle="1" w:styleId="QuoteChar">
    <w:name w:val="Quote Char"/>
    <w:basedOn w:val="DefaultParagraphFont"/>
    <w:link w:val="Quote"/>
    <w:uiPriority w:val="29"/>
    <w:rsid w:val="00C832B7"/>
    <w:rPr>
      <w:i/>
      <w:iCs/>
      <w:color w:val="404040" w:themeColor="text1" w:themeTint="BF"/>
      <w:lang w:val="en-GB"/>
    </w:rPr>
  </w:style>
  <w:style w:type="paragraph" w:styleId="ListParagraph">
    <w:name w:val="List Paragraph"/>
    <w:basedOn w:val="Normal"/>
    <w:uiPriority w:val="34"/>
    <w:qFormat/>
    <w:rsid w:val="00C832B7"/>
    <w:pPr>
      <w:ind w:left="720"/>
      <w:contextualSpacing/>
    </w:pPr>
  </w:style>
  <w:style w:type="character" w:styleId="IntenseEmphasis">
    <w:name w:val="Intense Emphasis"/>
    <w:basedOn w:val="DefaultParagraphFont"/>
    <w:uiPriority w:val="21"/>
    <w:qFormat/>
    <w:rsid w:val="00C832B7"/>
    <w:rPr>
      <w:i/>
      <w:iCs/>
      <w:color w:val="0F4761" w:themeColor="accent1" w:themeShade="BF"/>
    </w:rPr>
  </w:style>
  <w:style w:type="paragraph" w:styleId="IntenseQuote">
    <w:name w:val="Intense Quote"/>
    <w:basedOn w:val="Normal"/>
    <w:next w:val="Normal"/>
    <w:link w:val="IntenseQuoteChar"/>
    <w:uiPriority w:val="30"/>
    <w:qFormat/>
    <w:rsid w:val="00C832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32B7"/>
    <w:rPr>
      <w:i/>
      <w:iCs/>
      <w:color w:val="0F4761" w:themeColor="accent1" w:themeShade="BF"/>
      <w:lang w:val="en-GB"/>
    </w:rPr>
  </w:style>
  <w:style w:type="character" w:styleId="IntenseReference">
    <w:name w:val="Intense Reference"/>
    <w:basedOn w:val="DefaultParagraphFont"/>
    <w:uiPriority w:val="32"/>
    <w:qFormat/>
    <w:rsid w:val="00C832B7"/>
    <w:rPr>
      <w:b/>
      <w:bCs/>
      <w:smallCaps/>
      <w:color w:val="0F4761" w:themeColor="accent1" w:themeShade="BF"/>
      <w:spacing w:val="5"/>
    </w:rPr>
  </w:style>
  <w:style w:type="table" w:styleId="TableGrid">
    <w:name w:val="Table Grid"/>
    <w:basedOn w:val="TableNormal"/>
    <w:uiPriority w:val="39"/>
    <w:rsid w:val="007968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4642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46425"/>
    <w:pPr>
      <w:spacing w:after="100"/>
    </w:pPr>
  </w:style>
  <w:style w:type="paragraph" w:styleId="TOC2">
    <w:name w:val="toc 2"/>
    <w:basedOn w:val="Normal"/>
    <w:next w:val="Normal"/>
    <w:autoRedefine/>
    <w:uiPriority w:val="39"/>
    <w:unhideWhenUsed/>
    <w:rsid w:val="00946425"/>
    <w:pPr>
      <w:spacing w:after="100"/>
      <w:ind w:left="220"/>
    </w:pPr>
  </w:style>
  <w:style w:type="character" w:styleId="Hyperlink">
    <w:name w:val="Hyperlink"/>
    <w:basedOn w:val="DefaultParagraphFont"/>
    <w:uiPriority w:val="99"/>
    <w:unhideWhenUsed/>
    <w:rsid w:val="00946425"/>
    <w:rPr>
      <w:color w:val="467886" w:themeColor="hyperlink"/>
      <w:u w:val="single"/>
    </w:rPr>
  </w:style>
  <w:style w:type="paragraph" w:styleId="Header">
    <w:name w:val="header"/>
    <w:basedOn w:val="Normal"/>
    <w:link w:val="HeaderChar"/>
    <w:uiPriority w:val="99"/>
    <w:unhideWhenUsed/>
    <w:rsid w:val="009464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6425"/>
    <w:rPr>
      <w:lang w:val="en-GB"/>
    </w:rPr>
  </w:style>
  <w:style w:type="paragraph" w:styleId="Footer">
    <w:name w:val="footer"/>
    <w:basedOn w:val="Normal"/>
    <w:link w:val="FooterChar"/>
    <w:uiPriority w:val="99"/>
    <w:unhideWhenUsed/>
    <w:rsid w:val="009464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642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45624EA3-B047-4D02-B041-53B5BC02ED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42</Pages>
  <Words>8837</Words>
  <Characters>50375</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 Hirpara</dc:creator>
  <cp:keywords/>
  <dc:description/>
  <cp:lastModifiedBy>raj hirpara</cp:lastModifiedBy>
  <cp:revision>2</cp:revision>
  <dcterms:created xsi:type="dcterms:W3CDTF">2026-04-24T08:47:00Z</dcterms:created>
  <dcterms:modified xsi:type="dcterms:W3CDTF">2026-04-24T08:47:00Z</dcterms:modified>
</cp:coreProperties>
</file>