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rPr>
          <w:rStyle w:val="Ninguno"/>
        </w:rPr>
      </w:pPr>
      <w:r>
        <w:rPr>
          <w:rStyle w:val="Ninguno"/>
          <w:rtl w:val="0"/>
          <w:lang w:val="en-US"/>
        </w:rPr>
        <w:t>Data Handling and Business Intelligence</w:t>
      </w:r>
    </w:p>
    <w:p>
      <w:pPr>
        <w:pStyle w:val="Cuerpo"/>
        <w:jc w:val="center"/>
        <w:rPr>
          <w:rStyle w:val="Ninguno"/>
          <w:sz w:val="32"/>
          <w:szCs w:val="32"/>
          <w:u w:val="single"/>
        </w:rPr>
      </w:pPr>
      <w:r>
        <w:rPr>
          <w:rStyle w:val="Ninguno"/>
          <w:rtl w:val="0"/>
          <w:lang w:val="en-US"/>
        </w:rPr>
        <w:t>Raluca Selena Stanciu 2132773</w:t>
      </w:r>
    </w:p>
    <w:p>
      <w:pPr>
        <w:pStyle w:val="Cuerpo"/>
      </w:pPr>
      <w:r>
        <w:rPr>
          <w:rStyle w:val="Ninguno"/>
          <w:rFonts w:ascii="Arial Unicode MS" w:cs="Arial Unicode MS" w:hAnsi="Arial Unicode MS" w:eastAsia="Arial Unicode MS"/>
          <w:b w:val="0"/>
          <w:bCs w:val="0"/>
          <w:i w:val="0"/>
          <w:iCs w:val="0"/>
        </w:rPr>
        <w:br w:type="page"/>
      </w:r>
    </w:p>
    <w:p>
      <w:pPr>
        <w:pStyle w:val="TOC Heading"/>
        <w:jc w:val="center"/>
        <w:rPr>
          <w:rStyle w:val="Ninguno"/>
          <w:rFonts w:ascii="Arial" w:cs="Arial" w:hAnsi="Arial" w:eastAsia="Arial"/>
          <w:b w:val="1"/>
          <w:bCs w:val="1"/>
          <w:outline w:val="0"/>
          <w:color w:val="000000"/>
          <w:sz w:val="24"/>
          <w:szCs w:val="24"/>
          <w:u w:color="000000"/>
          <w14:textFill>
            <w14:solidFill>
              <w14:srgbClr w14:val="000000"/>
            </w14:solidFill>
          </w14:textFill>
        </w:rPr>
      </w:pPr>
      <w:r>
        <w:rPr>
          <w:rStyle w:val="Ninguno"/>
          <w:rFonts w:ascii="Arial" w:hAnsi="Arial"/>
          <w:b w:val="1"/>
          <w:bCs w:val="1"/>
          <w:outline w:val="0"/>
          <w:color w:val="000000"/>
          <w:sz w:val="24"/>
          <w:szCs w:val="24"/>
          <w:u w:color="000000"/>
          <w:rtl w:val="0"/>
          <w:lang w:val="en-US"/>
          <w14:textFill>
            <w14:solidFill>
              <w14:srgbClr w14:val="000000"/>
            </w14:solidFill>
          </w14:textFill>
        </w:rPr>
        <w:t>Table of Contents</w:t>
      </w:r>
    </w:p>
    <w:p>
      <w:pPr>
        <w:pStyle w:val="Cuerpo"/>
      </w:pPr>
      <w:r>
        <w:rPr>
          <w:rStyle w:val="Ninguno"/>
          <w:b w:val="1"/>
          <w:bCs w:val="1"/>
          <w:outline w:val="0"/>
          <w:color w:val="000000"/>
          <w:sz w:val="24"/>
          <w:szCs w:val="24"/>
          <w:u w:color="000000"/>
          <w14:textFill>
            <w14:solidFill>
              <w14:srgbClr w14:val="000000"/>
            </w14:solidFill>
          </w14:textFill>
        </w:rPr>
        <w:fldChar w:fldCharType="begin" w:fldLock="0"/>
      </w:r>
      <w:r>
        <w:rPr>
          <w:rStyle w:val="Ninguno"/>
          <w:b w:val="1"/>
          <w:bCs w:val="1"/>
          <w:outline w:val="0"/>
          <w:color w:val="000000"/>
          <w:sz w:val="24"/>
          <w:szCs w:val="24"/>
          <w:u w:color="000000"/>
          <w14:textFill>
            <w14:solidFill>
              <w14:srgbClr w14:val="000000"/>
            </w14:solidFill>
          </w14:textFill>
        </w:rPr>
        <w:instrText xml:space="preserve"> TOC \t "Encabezam. 2, 1,Encabezamiento, 2"</w:instrText>
      </w:r>
      <w:r>
        <w:rPr>
          <w:rStyle w:val="Ninguno"/>
          <w:b w:val="1"/>
          <w:bCs w:val="1"/>
          <w:outline w:val="0"/>
          <w:color w:val="000000"/>
          <w:sz w:val="24"/>
          <w:szCs w:val="24"/>
          <w:u w:color="000000"/>
          <w14:textFill>
            <w14:solidFill>
              <w14:srgbClr w14:val="000000"/>
            </w14:solidFill>
          </w14:textFill>
        </w:rPr>
        <w:fldChar w:fldCharType="separate" w:fldLock="0"/>
      </w:r>
    </w:p>
    <w:p>
      <w:pPr>
        <w:pStyle w:val="TOC 2"/>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Aim</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Objectives</w:t>
        <w:tab/>
      </w:r>
      <w:r>
        <w:rPr/>
        <w:fldChar w:fldCharType="begin" w:fldLock="0"/>
      </w:r>
      <w:r>
        <w:instrText xml:space="preserve"> PAGEREF _Toc2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Data Cleaning and Preparation</w:t>
        <w:tab/>
      </w:r>
      <w:r>
        <w:rPr/>
        <w:fldChar w:fldCharType="begin" w:fldLock="0"/>
      </w:r>
      <w:r>
        <w:instrText xml:space="preserve"> PAGEREF _Toc3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Descriptive Statistics and Summary</w:t>
        <w:tab/>
      </w:r>
      <w:r>
        <w:rPr/>
        <w:fldChar w:fldCharType="begin" w:fldLock="0"/>
      </w:r>
      <w:r>
        <w:instrText xml:space="preserve"> PAGEREF _Toc4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Trend Analysis and Visualisation</w:t>
        <w:tab/>
      </w:r>
      <w:r>
        <w:rPr/>
        <w:fldChar w:fldCharType="begin" w:fldLock="0"/>
      </w:r>
      <w:r>
        <w:instrText xml:space="preserve"> PAGEREF _Toc5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Statistical Analysis using SPSS</w:t>
        <w:tab/>
      </w:r>
      <w:r>
        <w:rPr/>
        <w:fldChar w:fldCharType="begin" w:fldLock="0"/>
      </w:r>
      <w:r>
        <w:instrText xml:space="preserve"> PAGEREF _Toc6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Insights and Recommendations</w:t>
        <w:tab/>
      </w:r>
      <w:r>
        <w:rPr/>
        <w:fldChar w:fldCharType="begin" w:fldLock="0"/>
      </w:r>
      <w:r>
        <w:instrText xml:space="preserve"> PAGEREF _Toc7 \h </w:instrText>
      </w:r>
      <w:r>
        <w:rPr/>
        <w:fldChar w:fldCharType="separate" w:fldLock="0"/>
      </w:r>
      <w:r>
        <w:rPr>
          <w:rFonts w:cs="Arial Unicode MS" w:eastAsia="Arial Unicode MS"/>
          <w:rtl w:val="0"/>
        </w:rPr>
        <w:t>14</w:t>
      </w:r>
      <w:r>
        <w:rPr/>
        <w:fldChar w:fldCharType="end" w:fldLock="0"/>
      </w:r>
    </w:p>
    <w:p>
      <w:pPr>
        <w:pStyle w:val="TOC 1"/>
      </w:pPr>
      <w:r>
        <w:rPr>
          <w:rFonts w:cs="Arial Unicode MS" w:eastAsia="Arial Unicode MS"/>
          <w:rtl w:val="0"/>
        </w:rPr>
        <w:t>Summarising the findings</w:t>
        <w:tab/>
      </w:r>
      <w:r>
        <w:rPr/>
        <w:fldChar w:fldCharType="begin" w:fldLock="0"/>
      </w:r>
      <w:r>
        <w:instrText xml:space="preserve"> PAGEREF _Toc8 \h </w:instrText>
      </w:r>
      <w:r>
        <w:rPr/>
        <w:fldChar w:fldCharType="separate" w:fldLock="0"/>
      </w:r>
      <w:r>
        <w:rPr>
          <w:rFonts w:cs="Arial Unicode MS" w:eastAsia="Arial Unicode MS"/>
          <w:rtl w:val="0"/>
        </w:rPr>
        <w:t>14</w:t>
      </w:r>
      <w:r>
        <w:rPr/>
        <w:fldChar w:fldCharType="end" w:fldLock="0"/>
      </w:r>
    </w:p>
    <w:p>
      <w:pPr>
        <w:pStyle w:val="TOC 1"/>
      </w:pPr>
      <w:r>
        <w:rPr>
          <w:rFonts w:cs="Arial Unicode MS" w:eastAsia="Arial Unicode MS"/>
          <w:rtl w:val="0"/>
        </w:rPr>
        <w:t>Data-driven recommendations</w:t>
        <w:tab/>
      </w:r>
      <w:r>
        <w:rPr/>
        <w:fldChar w:fldCharType="begin" w:fldLock="0"/>
      </w:r>
      <w:r>
        <w:instrText xml:space="preserve"> PAGEREF _Toc9 \h </w:instrText>
      </w:r>
      <w:r>
        <w:rPr/>
        <w:fldChar w:fldCharType="separate" w:fldLock="0"/>
      </w:r>
      <w:r>
        <w:rPr>
          <w:rFonts w:cs="Arial Unicode MS" w:eastAsia="Arial Unicode MS"/>
          <w:rtl w:val="0"/>
        </w:rPr>
        <w:t>14</w:t>
      </w:r>
      <w:r>
        <w:rPr/>
        <w:fldChar w:fldCharType="end" w:fldLock="0"/>
      </w:r>
    </w:p>
    <w:p>
      <w:pPr>
        <w:pStyle w:val="TOC 1"/>
      </w:pPr>
      <w:r>
        <w:rPr>
          <w:rFonts w:cs="Arial Unicode MS" w:eastAsia="Arial Unicode MS"/>
          <w:rtl w:val="0"/>
        </w:rPr>
        <w:t>Study limitations</w:t>
        <w:tab/>
      </w:r>
      <w:r>
        <w:rPr/>
        <w:fldChar w:fldCharType="begin" w:fldLock="0"/>
      </w:r>
      <w:r>
        <w:instrText xml:space="preserve"> PAGEREF _Toc10 \h </w:instrText>
      </w:r>
      <w:r>
        <w:rPr/>
        <w:fldChar w:fldCharType="separate" w:fldLock="0"/>
      </w:r>
      <w:r>
        <w:rPr>
          <w:rFonts w:cs="Arial Unicode MS" w:eastAsia="Arial Unicode MS"/>
          <w:rtl w:val="0"/>
        </w:rPr>
        <w:t>15</w:t>
      </w:r>
      <w:r>
        <w:rPr/>
        <w:fldChar w:fldCharType="end" w:fldLock="0"/>
      </w:r>
    </w:p>
    <w:p>
      <w:pPr>
        <w:pStyle w:val="TOC 2"/>
      </w:pPr>
      <w:r>
        <w:rPr>
          <w:rFonts w:cs="Arial Unicode MS" w:eastAsia="Arial Unicode MS"/>
          <w:rtl w:val="0"/>
        </w:rPr>
        <w:t>Reference</w:t>
        <w:tab/>
      </w:r>
      <w:r>
        <w:rPr/>
        <w:fldChar w:fldCharType="begin" w:fldLock="0"/>
      </w:r>
      <w:r>
        <w:instrText xml:space="preserve"> PAGEREF _Toc11 \h </w:instrText>
      </w:r>
      <w:r>
        <w:rPr/>
        <w:fldChar w:fldCharType="separate" w:fldLock="0"/>
      </w:r>
      <w:r>
        <w:rPr>
          <w:rFonts w:cs="Arial Unicode MS" w:eastAsia="Arial Unicode MS"/>
          <w:rtl w:val="0"/>
        </w:rPr>
        <w:t>16</w:t>
      </w:r>
      <w:r>
        <w:rPr/>
        <w:fldChar w:fldCharType="end" w:fldLock="0"/>
      </w:r>
    </w:p>
    <w:p>
      <w:pPr>
        <w:pStyle w:val="Cuerpo"/>
        <w:rPr>
          <w:rStyle w:val="Ninguno"/>
        </w:rPr>
      </w:pPr>
      <w:r>
        <w:rPr>
          <w:rStyle w:val="Ninguno"/>
          <w:b w:val="1"/>
          <w:bCs w:val="1"/>
          <w:outline w:val="0"/>
          <w:color w:val="000000"/>
          <w:sz w:val="24"/>
          <w:szCs w:val="24"/>
          <w:u w:color="000000"/>
          <w14:textFill>
            <w14:solidFill>
              <w14:srgbClr w14:val="000000"/>
            </w14:solidFill>
          </w14:textFill>
        </w:rPr>
        <w:fldChar w:fldCharType="end" w:fldLock="0"/>
      </w:r>
    </w:p>
    <w:p>
      <w:pPr>
        <w:pStyle w:val="Cuerpo"/>
      </w:pPr>
      <w:r>
        <w:rPr>
          <w:rStyle w:val="Ninguno"/>
          <w:rFonts w:ascii="Arial Unicode MS" w:cs="Arial Unicode MS" w:hAnsi="Arial Unicode MS" w:eastAsia="Arial Unicode MS"/>
          <w:b w:val="0"/>
          <w:bCs w:val="0"/>
          <w:i w:val="0"/>
          <w:iCs w:val="0"/>
        </w:rPr>
        <w:br w:type="page"/>
      </w:r>
    </w:p>
    <w:p>
      <w:pPr>
        <w:pStyle w:val="Encabezamiento"/>
        <w:rPr>
          <w:rStyle w:val="Ninguno"/>
        </w:rPr>
      </w:pPr>
      <w:bookmarkStart w:name="_Toc" w:id="0"/>
      <w:r>
        <w:rPr>
          <w:rStyle w:val="Ninguno"/>
          <w:rFonts w:cs="Arial Unicode MS" w:eastAsia="Arial Unicode MS"/>
          <w:rtl w:val="0"/>
          <w:lang w:val="fr-FR"/>
        </w:rPr>
        <w:t>Introduction</w:t>
      </w:r>
      <w:bookmarkEnd w:id="0"/>
    </w:p>
    <w:p>
      <w:pPr>
        <w:pStyle w:val="Cuerpo"/>
        <w:rPr>
          <w:rStyle w:val="Ninguno"/>
        </w:rPr>
      </w:pPr>
      <w:r>
        <w:rPr>
          <w:rStyle w:val="Ninguno"/>
          <w:rtl w:val="0"/>
          <w:lang w:val="en-US"/>
        </w:rPr>
        <w:t>This dataset encapsulates a bunch of details about some well-known films. The dataset contains variables like the title, director, average rating, genres, runtime, language, a short description, and the production studio for each movie. The dataset is meant to record how people react</w:t>
      </w:r>
      <w:r>
        <w:rPr>
          <w:rStyle w:val="Ninguno"/>
          <w:rtl w:val="0"/>
          <w:lang w:val="en-US"/>
        </w:rPr>
        <w:t>—</w:t>
      </w:r>
      <w:r>
        <w:rPr>
          <w:rStyle w:val="Ninguno"/>
          <w:rtl w:val="0"/>
          <w:lang w:val="en-US"/>
        </w:rPr>
        <w:t xml:space="preserve">things like the watching amount, how often people use such films on various platform lists, and a full breakdown of ratings from worst to best. With all this information, researchers and analysts can dig into the trends in the entertainment industry and the global audience reactions. With this information, businesses are able to make strategic decisions in the context of genre or language and how these variables affect popularity. Quantitative analysis has been used in this report on the chosen dataset about films, specifically for spotting patterns in what makes a movie take off and comprehending engagement drivers of people from various backgrounds. </w:t>
      </w:r>
    </w:p>
    <w:p>
      <w:pPr>
        <w:pStyle w:val="Encabezam. 2"/>
      </w:pPr>
      <w:bookmarkStart w:name="_Toc1" w:id="1"/>
      <w:r>
        <w:rPr>
          <w:rStyle w:val="Ninguno"/>
          <w:rFonts w:cs="Arial Unicode MS" w:eastAsia="Arial Unicode MS"/>
          <w:rtl w:val="0"/>
        </w:rPr>
        <w:t>Aim</w:t>
      </w:r>
      <w:bookmarkEnd w:id="1"/>
    </w:p>
    <w:p>
      <w:pPr>
        <w:pStyle w:val="Cuerpo"/>
        <w:rPr>
          <w:rStyle w:val="Ninguno"/>
        </w:rPr>
      </w:pPr>
      <w:r>
        <w:rPr>
          <w:rStyle w:val="Ninguno"/>
          <w:rtl w:val="0"/>
          <w:lang w:val="en-US"/>
        </w:rPr>
        <w:t>The study aims to develop pragmatic and actionable strategies and insights in data analytics by exploring, cleaning and statistically visualising the Letterbox Movie Classification Dataset, with the purpose of extracting movie trends, sentiment analysis, and driving factors behind high ratings and popularity in the media industry.</w:t>
      </w:r>
    </w:p>
    <w:p>
      <w:pPr>
        <w:pStyle w:val="Encabezam. 2"/>
      </w:pPr>
      <w:bookmarkStart w:name="_Toc2" w:id="2"/>
      <w:r>
        <w:rPr>
          <w:rStyle w:val="Ninguno"/>
          <w:rFonts w:cs="Arial Unicode MS" w:eastAsia="Arial Unicode MS"/>
          <w:rtl w:val="0"/>
          <w:lang w:val="fr-FR"/>
        </w:rPr>
        <w:t>Objectives</w:t>
      </w:r>
      <w:bookmarkEnd w:id="2"/>
    </w:p>
    <w:p>
      <w:pPr>
        <w:pStyle w:val="List Paragraph"/>
        <w:numPr>
          <w:ilvl w:val="0"/>
          <w:numId w:val="2"/>
        </w:numPr>
        <w:bidi w:val="0"/>
        <w:ind w:right="0"/>
        <w:jc w:val="both"/>
        <w:rPr>
          <w:rtl w:val="0"/>
          <w:lang w:val="en-US"/>
        </w:rPr>
      </w:pPr>
      <w:r>
        <w:rPr>
          <w:rStyle w:val="Ninguno"/>
          <w:rtl w:val="0"/>
          <w:lang w:val="en-US"/>
        </w:rPr>
        <w:t xml:space="preserve">To prepare the dataset by solving data inconsistencies and standardising data formats for consistent analysis and reliable insights. </w:t>
      </w:r>
    </w:p>
    <w:p>
      <w:pPr>
        <w:pStyle w:val="List Paragraph"/>
        <w:numPr>
          <w:ilvl w:val="0"/>
          <w:numId w:val="2"/>
        </w:numPr>
        <w:bidi w:val="0"/>
        <w:ind w:right="0"/>
        <w:jc w:val="both"/>
        <w:rPr>
          <w:rtl w:val="0"/>
          <w:lang w:val="en-US"/>
        </w:rPr>
      </w:pPr>
      <w:r>
        <w:rPr>
          <w:rStyle w:val="Ninguno"/>
          <w:rtl w:val="0"/>
          <w:lang w:val="en-US"/>
        </w:rPr>
        <w:t xml:space="preserve">To generate descriptive statistics through summarising the crucial variables such as Average Rating, Fans, Watches, Runtime, and so on for examining distributions against categories like Language and Genre. </w:t>
      </w:r>
    </w:p>
    <w:p>
      <w:pPr>
        <w:pStyle w:val="List Paragraph"/>
        <w:numPr>
          <w:ilvl w:val="0"/>
          <w:numId w:val="2"/>
        </w:numPr>
        <w:bidi w:val="0"/>
        <w:ind w:right="0"/>
        <w:jc w:val="both"/>
        <w:rPr>
          <w:rtl w:val="0"/>
          <w:lang w:val="en-US"/>
        </w:rPr>
      </w:pPr>
      <w:r>
        <w:rPr>
          <w:rStyle w:val="Ninguno"/>
          <w:rtl w:val="0"/>
          <w:lang w:val="en-US"/>
        </w:rPr>
        <w:t xml:space="preserve">To explore trends in metrics such as Likes and Ratings across films with various Languages and Genres to dive into audience preferences. </w:t>
      </w:r>
    </w:p>
    <w:p>
      <w:pPr>
        <w:pStyle w:val="List Paragraph"/>
        <w:numPr>
          <w:ilvl w:val="0"/>
          <w:numId w:val="2"/>
        </w:numPr>
        <w:bidi w:val="0"/>
        <w:ind w:right="0"/>
        <w:jc w:val="both"/>
        <w:rPr>
          <w:rtl w:val="0"/>
          <w:lang w:val="en-US"/>
        </w:rPr>
      </w:pPr>
      <w:r>
        <w:rPr>
          <w:rStyle w:val="Ninguno"/>
          <w:rtl w:val="0"/>
          <w:lang w:val="en-US"/>
        </w:rPr>
        <w:t>To employ hypothesis testing to determine whether there is a significant difference between average ratings for English and Non-English films.</w:t>
      </w:r>
    </w:p>
    <w:p>
      <w:pPr>
        <w:pStyle w:val="List Paragraph"/>
        <w:numPr>
          <w:ilvl w:val="0"/>
          <w:numId w:val="2"/>
        </w:numPr>
        <w:bidi w:val="0"/>
        <w:ind w:right="0"/>
        <w:jc w:val="both"/>
        <w:rPr>
          <w:rtl w:val="0"/>
          <w:lang w:val="en-US"/>
        </w:rPr>
      </w:pPr>
      <w:r>
        <w:rPr>
          <w:rStyle w:val="Ninguno"/>
          <w:rtl w:val="0"/>
          <w:lang w:val="en-US"/>
        </w:rPr>
        <w:t xml:space="preserve">To interpret the findings and recommend actionable strategies to enhance performance and efficiency for the media industry. </w:t>
      </w:r>
    </w:p>
    <w:p>
      <w:pPr>
        <w:pStyle w:val="Encabezamiento"/>
        <w:rPr>
          <w:rStyle w:val="Ninguno"/>
        </w:rPr>
      </w:pPr>
      <w:bookmarkStart w:name="_Toc3" w:id="3"/>
      <w:bookmarkStart w:name="_wknuii71xdfi" w:id="4"/>
      <w:bookmarkEnd w:id="4"/>
      <w:r>
        <w:rPr>
          <w:rStyle w:val="Ninguno"/>
          <w:rFonts w:cs="Arial Unicode MS" w:eastAsia="Arial Unicode MS"/>
          <w:rtl w:val="0"/>
        </w:rPr>
        <w:t>D</w:t>
      </w:r>
      <w:r>
        <w:rPr>
          <w:rStyle w:val="Ninguno"/>
          <w:rFonts w:cs="Arial Unicode MS" w:eastAsia="Arial Unicode MS"/>
          <w:rtl w:val="0"/>
          <w:lang w:val="en-US"/>
        </w:rPr>
        <w:t>ata Cleaning and Preparation</w:t>
      </w:r>
      <w:bookmarkEnd w:id="3"/>
    </w:p>
    <w:p>
      <w:pPr>
        <w:pStyle w:val="Cuerpo"/>
      </w:pPr>
      <w:r>
        <w:rPr>
          <w:rStyle w:val="Ninguno"/>
          <w:rtl w:val="0"/>
          <w:lang w:val="en-US"/>
        </w:rPr>
        <w:t xml:space="preserve">Data cleaning is the step to prepare the data for analysis. In this process, the researcher clears the blank cells, get rid of duplicates, and ensures that each data point aligns with the required format. Although this step is repetitive, it is undoubtedly necessary as clean data keeps your results accurate and reliable. In Microsoft Excel, the filtering technique has been used which come in handy. This option allows the researcher to zero in on what actually matters. The filtering option can be selected in Microsoft Excel by clicking </w:t>
      </w:r>
      <w:r>
        <w:rPr>
          <w:rStyle w:val="Ninguno"/>
          <w:rtl w:val="1"/>
          <w:lang w:val="ar-SA" w:bidi="ar-SA"/>
        </w:rPr>
        <w:t>“</w:t>
      </w:r>
      <w:r>
        <w:rPr>
          <w:rStyle w:val="Ninguno"/>
          <w:rtl w:val="0"/>
        </w:rPr>
        <w:t>Ctrl + Shift + L</w:t>
      </w:r>
      <w:r>
        <w:rPr>
          <w:rStyle w:val="Ninguno"/>
          <w:rtl w:val="0"/>
        </w:rPr>
        <w:t xml:space="preserve">” </w:t>
      </w:r>
      <w:r>
        <w:rPr>
          <w:rStyle w:val="Ninguno"/>
          <w:rtl w:val="0"/>
          <w:lang w:val="en-US"/>
        </w:rPr>
        <w:t>or visiting the Home tab and selecting the Filter icon under Sort and Filter.</w:t>
      </w:r>
    </w:p>
    <w:p>
      <w:pPr>
        <w:pStyle w:val="Cuerpo"/>
        <w:jc w:val="center"/>
        <w:rPr>
          <w:rStyle w:val="Ninguno"/>
        </w:rPr>
      </w:pPr>
      <w:r>
        <w:rPr>
          <w:rStyle w:val="Ninguno"/>
          <w:lang w:val="en-US"/>
        </w:rPr>
        <w:drawing xmlns:a="http://schemas.openxmlformats.org/drawingml/2006/main">
          <wp:inline distT="0" distB="0" distL="0" distR="0">
            <wp:extent cx="3553322" cy="2991268"/>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4">
                      <a:extLst/>
                    </a:blip>
                    <a:stretch>
                      <a:fillRect/>
                    </a:stretch>
                  </pic:blipFill>
                  <pic:spPr>
                    <a:xfrm>
                      <a:off x="0" y="0"/>
                      <a:ext cx="3553322" cy="2991268"/>
                    </a:xfrm>
                    <a:prstGeom prst="rect">
                      <a:avLst/>
                    </a:prstGeom>
                    <a:ln w="12700" cap="flat">
                      <a:noFill/>
                      <a:miter lim="400000"/>
                    </a:ln>
                    <a:effectLst/>
                  </pic:spPr>
                </pic:pic>
              </a:graphicData>
            </a:graphic>
          </wp:inline>
        </w:drawing>
      </w:r>
    </w:p>
    <w:p>
      <w:pPr>
        <w:pStyle w:val="Cuerpo"/>
        <w:jc w:val="center"/>
        <w:rPr>
          <w:rStyle w:val="Ninguno"/>
          <w:b w:val="1"/>
          <w:bCs w:val="1"/>
        </w:rPr>
      </w:pPr>
      <w:r>
        <w:rPr>
          <w:rStyle w:val="Ninguno"/>
          <w:b w:val="1"/>
          <w:bCs w:val="1"/>
          <w:rtl w:val="0"/>
          <w:lang w:val="en-US"/>
        </w:rPr>
        <w:t xml:space="preserve">Figure 1: Data validation error </w:t>
      </w:r>
    </w:p>
    <w:p>
      <w:pPr>
        <w:pStyle w:val="Cuerpo"/>
        <w:rPr>
          <w:rStyle w:val="Ninguno"/>
        </w:rPr>
      </w:pPr>
      <w:r>
        <w:rPr>
          <w:rStyle w:val="Ninguno"/>
          <w:rtl w:val="0"/>
          <w:lang w:val="en-US"/>
        </w:rPr>
        <w:t xml:space="preserve">The first and only inconsistency noticed in the Letterbox Movie Classification dataset is the missing data error. This is a type of inconsistency in which certain missing rows are found within a variable. For instance, the case study found certain variables such as Language, Genre or Studios in which a sub-category is </w:t>
      </w:r>
      <w:r>
        <w:rPr>
          <w:rStyle w:val="Ninguno"/>
          <w:rtl w:val="0"/>
          <w:lang w:val="en-US"/>
        </w:rPr>
        <w:t>“</w:t>
      </w:r>
      <w:r>
        <w:rPr>
          <w:rStyle w:val="Ninguno"/>
          <w:rtl w:val="0"/>
          <w:lang w:val="en-US"/>
        </w:rPr>
        <w:t>unknown</w:t>
      </w:r>
      <w:r>
        <w:rPr>
          <w:rStyle w:val="Ninguno"/>
          <w:rtl w:val="0"/>
          <w:lang w:val="en-US"/>
        </w:rPr>
        <w:t>”</w:t>
      </w:r>
      <w:r>
        <w:rPr>
          <w:rStyle w:val="Ninguno"/>
          <w:rtl w:val="0"/>
          <w:lang w:val="en-US"/>
        </w:rPr>
        <w:t xml:space="preserve">. This can be categorized as missing data. </w:t>
      </w:r>
    </w:p>
    <w:p>
      <w:pPr>
        <w:pStyle w:val="Cuerpo"/>
        <w:jc w:val="center"/>
        <w:rPr>
          <w:rStyle w:val="Ninguno"/>
        </w:rPr>
      </w:pPr>
      <w:r>
        <w:rPr>
          <w:rStyle w:val="Ninguno"/>
          <w:lang w:val="en-US"/>
        </w:rPr>
        <w:drawing xmlns:a="http://schemas.openxmlformats.org/drawingml/2006/main">
          <wp:inline distT="0" distB="0" distL="0" distR="0">
            <wp:extent cx="5943600" cy="1956436"/>
            <wp:effectExtent l="0" t="0" r="0" b="0"/>
            <wp:docPr id="1073741826" name="officeArt object" descr="Picture 1"/>
            <wp:cNvGraphicFramePr/>
            <a:graphic xmlns:a="http://schemas.openxmlformats.org/drawingml/2006/main">
              <a:graphicData uri="http://schemas.openxmlformats.org/drawingml/2006/picture">
                <pic:pic xmlns:pic="http://schemas.openxmlformats.org/drawingml/2006/picture">
                  <pic:nvPicPr>
                    <pic:cNvPr id="1073741826" name="Picture 1" descr="Picture 1"/>
                    <pic:cNvPicPr>
                      <a:picLocks noChangeAspect="1"/>
                    </pic:cNvPicPr>
                  </pic:nvPicPr>
                  <pic:blipFill>
                    <a:blip r:embed="rId5">
                      <a:extLst/>
                    </a:blip>
                    <a:stretch>
                      <a:fillRect/>
                    </a:stretch>
                  </pic:blipFill>
                  <pic:spPr>
                    <a:xfrm>
                      <a:off x="0" y="0"/>
                      <a:ext cx="5943600" cy="1956436"/>
                    </a:xfrm>
                    <a:prstGeom prst="rect">
                      <a:avLst/>
                    </a:prstGeom>
                    <a:ln w="12700" cap="flat">
                      <a:noFill/>
                      <a:miter lim="400000"/>
                    </a:ln>
                    <a:effectLst/>
                  </pic:spPr>
                </pic:pic>
              </a:graphicData>
            </a:graphic>
          </wp:inline>
        </w:drawing>
      </w:r>
    </w:p>
    <w:p>
      <w:pPr>
        <w:pStyle w:val="Cuerpo"/>
        <w:jc w:val="center"/>
        <w:rPr>
          <w:rStyle w:val="Ninguno"/>
          <w:b w:val="1"/>
          <w:bCs w:val="1"/>
        </w:rPr>
      </w:pPr>
      <w:r>
        <w:rPr>
          <w:rStyle w:val="Ninguno"/>
          <w:b w:val="1"/>
          <w:bCs w:val="1"/>
          <w:rtl w:val="0"/>
          <w:lang w:val="en-US"/>
        </w:rPr>
        <w:t>Figure 2: Deleting rows with missing data</w:t>
      </w:r>
    </w:p>
    <w:p>
      <w:pPr>
        <w:pStyle w:val="Cuerpo"/>
        <w:rPr>
          <w:rStyle w:val="Ninguno"/>
        </w:rPr>
      </w:pPr>
      <w:r>
        <w:rPr>
          <w:rStyle w:val="Ninguno"/>
          <w:rtl w:val="0"/>
          <w:lang w:val="en-US"/>
        </w:rPr>
        <w:t xml:space="preserve">To address this problem, the researcher chose to delete the rows containing this </w:t>
      </w:r>
      <w:r>
        <w:rPr>
          <w:rStyle w:val="Ninguno"/>
          <w:rtl w:val="0"/>
          <w:lang w:val="en-US"/>
        </w:rPr>
        <w:t>“</w:t>
      </w:r>
      <w:r>
        <w:rPr>
          <w:rStyle w:val="Ninguno"/>
          <w:rtl w:val="0"/>
          <w:lang w:val="en-US"/>
        </w:rPr>
        <w:t>unknown</w:t>
      </w:r>
      <w:r>
        <w:rPr>
          <w:rStyle w:val="Ninguno"/>
          <w:rtl w:val="0"/>
          <w:lang w:val="en-US"/>
        </w:rPr>
        <w:t xml:space="preserve">” </w:t>
      </w:r>
      <w:r>
        <w:rPr>
          <w:rStyle w:val="Ninguno"/>
          <w:rtl w:val="0"/>
          <w:lang w:val="en-US"/>
        </w:rPr>
        <w:t xml:space="preserve">sub-category or missing data. This might not be considered as a best practice because any data is information (Medium, 2024). Even though other values are non-null, the entire row has to be deleted if there is at least one missing value identified from the filtering option in Excel. As shown in Figure 2, the rows containing any </w:t>
      </w:r>
      <w:r>
        <w:rPr>
          <w:rStyle w:val="Ninguno"/>
          <w:rtl w:val="0"/>
          <w:lang w:val="en-US"/>
        </w:rPr>
        <w:t>“</w:t>
      </w:r>
      <w:r>
        <w:rPr>
          <w:rStyle w:val="Ninguno"/>
          <w:rtl w:val="0"/>
          <w:lang w:val="en-US"/>
        </w:rPr>
        <w:t>unknown</w:t>
      </w:r>
      <w:r>
        <w:rPr>
          <w:rStyle w:val="Ninguno"/>
          <w:rtl w:val="0"/>
          <w:lang w:val="en-US"/>
        </w:rPr>
        <w:t xml:space="preserve">” </w:t>
      </w:r>
      <w:r>
        <w:rPr>
          <w:rStyle w:val="Ninguno"/>
          <w:rtl w:val="0"/>
          <w:lang w:val="en-US"/>
        </w:rPr>
        <w:t xml:space="preserve">values have been identified, selected and deleted using the </w:t>
      </w:r>
      <w:r>
        <w:rPr>
          <w:rStyle w:val="Ninguno"/>
          <w:rtl w:val="0"/>
          <w:lang w:val="en-US"/>
        </w:rPr>
        <w:t>“</w:t>
      </w:r>
      <w:r>
        <w:rPr>
          <w:rStyle w:val="Ninguno"/>
          <w:rtl w:val="0"/>
          <w:lang w:val="en-US"/>
        </w:rPr>
        <w:t>Delete Row</w:t>
      </w:r>
      <w:r>
        <w:rPr>
          <w:rStyle w:val="Ninguno"/>
          <w:rtl w:val="0"/>
          <w:lang w:val="en-US"/>
        </w:rPr>
        <w:t xml:space="preserve">” </w:t>
      </w:r>
      <w:r>
        <w:rPr>
          <w:rStyle w:val="Ninguno"/>
          <w:rtl w:val="0"/>
          <w:lang w:val="en-US"/>
        </w:rPr>
        <w:t xml:space="preserve">option. </w:t>
      </w:r>
    </w:p>
    <w:p>
      <w:pPr>
        <w:pStyle w:val="Encabezamiento"/>
        <w:rPr>
          <w:rStyle w:val="Ninguno"/>
        </w:rPr>
      </w:pPr>
      <w:bookmarkStart w:name="_Toc4" w:id="5"/>
      <w:bookmarkStart w:name="_kd4z29rbpwzq" w:id="6"/>
      <w:bookmarkEnd w:id="6"/>
      <w:r>
        <w:rPr>
          <w:rStyle w:val="Ninguno"/>
          <w:rFonts w:cs="Arial Unicode MS" w:eastAsia="Arial Unicode MS"/>
          <w:rtl w:val="0"/>
        </w:rPr>
        <w:t>D</w:t>
      </w:r>
      <w:r>
        <w:rPr>
          <w:rStyle w:val="Ninguno"/>
          <w:rFonts w:cs="Arial Unicode MS" w:eastAsia="Arial Unicode MS"/>
          <w:rtl w:val="0"/>
          <w:lang w:val="en-US"/>
        </w:rPr>
        <w:t>escriptive Statistics and Summary</w:t>
      </w:r>
      <w:bookmarkEnd w:id="5"/>
    </w:p>
    <w:tbl>
      <w:tblPr>
        <w:tblW w:w="8894"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10"/>
        <w:gridCol w:w="1964"/>
        <w:gridCol w:w="1660"/>
        <w:gridCol w:w="2200"/>
        <w:gridCol w:w="1760"/>
      </w:tblGrid>
      <w:tr>
        <w:tblPrEx>
          <w:shd w:val="clear" w:color="auto" w:fill="ced7e7"/>
        </w:tblPrEx>
        <w:trPr>
          <w:trHeight w:val="282" w:hRule="atLeast"/>
        </w:trPr>
        <w:tc>
          <w:tcPr>
            <w:tcW w:type="dxa" w:w="13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center"/>
            </w:pPr>
            <w:r>
              <w:rPr>
                <w:rStyle w:val="Ninguno"/>
                <w:i w:val="1"/>
                <w:iCs w:val="1"/>
                <w:shd w:val="nil" w:color="auto" w:fill="auto"/>
                <w:rtl w:val="0"/>
                <w:lang w:val="en-US"/>
              </w:rPr>
              <w:t> </w:t>
            </w:r>
          </w:p>
        </w:tc>
        <w:tc>
          <w:tcPr>
            <w:tcW w:type="dxa" w:w="1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dc0bf"/>
            <w:tcMar>
              <w:top w:type="dxa" w:w="80"/>
              <w:left w:type="dxa" w:w="80"/>
              <w:bottom w:type="dxa" w:w="80"/>
              <w:right w:type="dxa" w:w="80"/>
            </w:tcMar>
            <w:vAlign w:val="top"/>
          </w:tcPr>
          <w:p>
            <w:pPr>
              <w:pStyle w:val="Cuerpo"/>
              <w:jc w:val="left"/>
            </w:pPr>
            <w:r>
              <w:rPr>
                <w:rStyle w:val="Ninguno"/>
                <w:b w:val="1"/>
                <w:bCs w:val="1"/>
                <w:shd w:val="nil" w:color="auto" w:fill="auto"/>
                <w:rtl w:val="0"/>
                <w:lang w:val="en-US"/>
              </w:rPr>
              <w:t>Average_rating</w:t>
            </w:r>
          </w:p>
        </w:tc>
        <w:tc>
          <w:tcPr>
            <w:tcW w:type="dxa" w:w="16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dc0bf"/>
            <w:tcMar>
              <w:top w:type="dxa" w:w="80"/>
              <w:left w:type="dxa" w:w="80"/>
              <w:bottom w:type="dxa" w:w="80"/>
              <w:right w:type="dxa" w:w="80"/>
            </w:tcMar>
            <w:vAlign w:val="top"/>
          </w:tcPr>
          <w:p>
            <w:pPr>
              <w:pStyle w:val="Cuerpo"/>
              <w:jc w:val="left"/>
            </w:pPr>
            <w:r>
              <w:rPr>
                <w:rStyle w:val="Ninguno"/>
                <w:b w:val="1"/>
                <w:bCs w:val="1"/>
                <w:shd w:val="nil" w:color="auto" w:fill="auto"/>
                <w:rtl w:val="0"/>
                <w:lang w:val="en-US"/>
              </w:rPr>
              <w:t>Runtime</w:t>
            </w:r>
          </w:p>
        </w:tc>
        <w:tc>
          <w:tcPr>
            <w:tcW w:type="dxa" w:w="22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dc0bf"/>
            <w:tcMar>
              <w:top w:type="dxa" w:w="80"/>
              <w:left w:type="dxa" w:w="80"/>
              <w:bottom w:type="dxa" w:w="80"/>
              <w:right w:type="dxa" w:w="80"/>
            </w:tcMar>
            <w:vAlign w:val="top"/>
          </w:tcPr>
          <w:p>
            <w:pPr>
              <w:pStyle w:val="Cuerpo"/>
              <w:jc w:val="left"/>
            </w:pPr>
            <w:r>
              <w:rPr>
                <w:rStyle w:val="Ninguno"/>
                <w:b w:val="1"/>
                <w:bCs w:val="1"/>
                <w:shd w:val="nil" w:color="auto" w:fill="auto"/>
                <w:rtl w:val="0"/>
                <w:lang w:val="en-US"/>
              </w:rPr>
              <w:t>Watches</w:t>
            </w:r>
          </w:p>
        </w:tc>
        <w:tc>
          <w:tcPr>
            <w:tcW w:type="dxa" w:w="17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dc0bf"/>
            <w:tcMar>
              <w:top w:type="dxa" w:w="80"/>
              <w:left w:type="dxa" w:w="80"/>
              <w:bottom w:type="dxa" w:w="80"/>
              <w:right w:type="dxa" w:w="80"/>
            </w:tcMar>
            <w:vAlign w:val="top"/>
          </w:tcPr>
          <w:p>
            <w:pPr>
              <w:pStyle w:val="Cuerpo"/>
              <w:jc w:val="left"/>
            </w:pPr>
            <w:r>
              <w:rPr>
                <w:rStyle w:val="Ninguno"/>
                <w:b w:val="1"/>
                <w:bCs w:val="1"/>
                <w:shd w:val="nil" w:color="auto" w:fill="auto"/>
                <w:rtl w:val="0"/>
                <w:lang w:val="en-US"/>
              </w:rPr>
              <w:t>Fans</w:t>
            </w:r>
          </w:p>
        </w:tc>
      </w:tr>
      <w:tr>
        <w:tblPrEx>
          <w:shd w:val="clear" w:color="auto" w:fill="ced7e7"/>
        </w:tblPrEx>
        <w:trPr>
          <w:trHeight w:val="282" w:hRule="atLeast"/>
        </w:trPr>
        <w:tc>
          <w:tcPr>
            <w:tcW w:type="dxa" w:w="13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left"/>
            </w:pPr>
            <w:r>
              <w:rPr>
                <w:rStyle w:val="Ninguno"/>
                <w:shd w:val="nil" w:color="auto" w:fill="auto"/>
                <w:rtl w:val="0"/>
                <w:lang w:val="en-US"/>
              </w:rPr>
              <w:t>Mean</w:t>
            </w:r>
          </w:p>
        </w:tc>
        <w:tc>
          <w:tcPr>
            <w:tcW w:type="dxa" w:w="1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3.27</w:t>
            </w:r>
          </w:p>
        </w:tc>
        <w:tc>
          <w:tcPr>
            <w:tcW w:type="dxa" w:w="16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103.86</w:t>
            </w:r>
          </w:p>
        </w:tc>
        <w:tc>
          <w:tcPr>
            <w:tcW w:type="dxa" w:w="22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175591.98</w:t>
            </w:r>
          </w:p>
        </w:tc>
        <w:tc>
          <w:tcPr>
            <w:tcW w:type="dxa" w:w="17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1705.31</w:t>
            </w:r>
          </w:p>
        </w:tc>
      </w:tr>
      <w:tr>
        <w:tblPrEx>
          <w:shd w:val="clear" w:color="auto" w:fill="ced7e7"/>
        </w:tblPrEx>
        <w:trPr>
          <w:trHeight w:val="698" w:hRule="atLeast"/>
        </w:trPr>
        <w:tc>
          <w:tcPr>
            <w:tcW w:type="dxa" w:w="13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left"/>
            </w:pPr>
            <w:r>
              <w:rPr>
                <w:rStyle w:val="Ninguno"/>
                <w:shd w:val="nil" w:color="auto" w:fill="auto"/>
                <w:rtl w:val="0"/>
                <w:lang w:val="en-US"/>
              </w:rPr>
              <w:t>Standard Error</w:t>
            </w:r>
          </w:p>
        </w:tc>
        <w:tc>
          <w:tcPr>
            <w:tcW w:type="dxa" w:w="1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0.01</w:t>
            </w:r>
          </w:p>
        </w:tc>
        <w:tc>
          <w:tcPr>
            <w:tcW w:type="dxa" w:w="16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0.38</w:t>
            </w:r>
          </w:p>
        </w:tc>
        <w:tc>
          <w:tcPr>
            <w:tcW w:type="dxa" w:w="22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4723.58</w:t>
            </w:r>
          </w:p>
        </w:tc>
        <w:tc>
          <w:tcPr>
            <w:tcW w:type="dxa" w:w="17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96.67</w:t>
            </w:r>
          </w:p>
        </w:tc>
      </w:tr>
      <w:tr>
        <w:tblPrEx>
          <w:shd w:val="clear" w:color="auto" w:fill="ced7e7"/>
        </w:tblPrEx>
        <w:trPr>
          <w:trHeight w:val="282" w:hRule="atLeast"/>
        </w:trPr>
        <w:tc>
          <w:tcPr>
            <w:tcW w:type="dxa" w:w="13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left"/>
            </w:pPr>
            <w:r>
              <w:rPr>
                <w:rStyle w:val="Ninguno"/>
                <w:shd w:val="nil" w:color="auto" w:fill="auto"/>
                <w:rtl w:val="0"/>
                <w:lang w:val="en-US"/>
              </w:rPr>
              <w:t>Median</w:t>
            </w:r>
          </w:p>
        </w:tc>
        <w:tc>
          <w:tcPr>
            <w:tcW w:type="dxa" w:w="1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3.27</w:t>
            </w:r>
          </w:p>
        </w:tc>
        <w:tc>
          <w:tcPr>
            <w:tcW w:type="dxa" w:w="16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100.00</w:t>
            </w:r>
          </w:p>
        </w:tc>
        <w:tc>
          <w:tcPr>
            <w:tcW w:type="dxa" w:w="22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20782.50</w:t>
            </w:r>
          </w:p>
        </w:tc>
        <w:tc>
          <w:tcPr>
            <w:tcW w:type="dxa" w:w="17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27.50</w:t>
            </w:r>
          </w:p>
        </w:tc>
      </w:tr>
      <w:tr>
        <w:tblPrEx>
          <w:shd w:val="clear" w:color="auto" w:fill="ced7e7"/>
        </w:tblPrEx>
        <w:trPr>
          <w:trHeight w:val="282" w:hRule="atLeast"/>
        </w:trPr>
        <w:tc>
          <w:tcPr>
            <w:tcW w:type="dxa" w:w="13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left"/>
            </w:pPr>
            <w:r>
              <w:rPr>
                <w:rStyle w:val="Ninguno"/>
                <w:shd w:val="nil" w:color="auto" w:fill="auto"/>
                <w:rtl w:val="0"/>
                <w:lang w:val="en-US"/>
              </w:rPr>
              <w:t>Mode</w:t>
            </w:r>
          </w:p>
        </w:tc>
        <w:tc>
          <w:tcPr>
            <w:tcW w:type="dxa" w:w="1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3.27</w:t>
            </w:r>
          </w:p>
        </w:tc>
        <w:tc>
          <w:tcPr>
            <w:tcW w:type="dxa" w:w="16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90.00</w:t>
            </w:r>
          </w:p>
        </w:tc>
        <w:tc>
          <w:tcPr>
            <w:tcW w:type="dxa" w:w="22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226.00</w:t>
            </w:r>
          </w:p>
        </w:tc>
        <w:tc>
          <w:tcPr>
            <w:tcW w:type="dxa" w:w="17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0.00</w:t>
            </w:r>
          </w:p>
        </w:tc>
      </w:tr>
      <w:tr>
        <w:tblPrEx>
          <w:shd w:val="clear" w:color="auto" w:fill="ced7e7"/>
        </w:tblPrEx>
        <w:trPr>
          <w:trHeight w:val="698" w:hRule="atLeast"/>
        </w:trPr>
        <w:tc>
          <w:tcPr>
            <w:tcW w:type="dxa" w:w="13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left"/>
            </w:pPr>
            <w:r>
              <w:rPr>
                <w:rStyle w:val="Ninguno"/>
                <w:shd w:val="nil" w:color="auto" w:fill="auto"/>
                <w:rtl w:val="0"/>
                <w:lang w:val="en-US"/>
              </w:rPr>
              <w:t>Standard Deviation</w:t>
            </w:r>
          </w:p>
        </w:tc>
        <w:tc>
          <w:tcPr>
            <w:tcW w:type="dxa" w:w="1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0.53</w:t>
            </w:r>
          </w:p>
        </w:tc>
        <w:tc>
          <w:tcPr>
            <w:tcW w:type="dxa" w:w="16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37.57</w:t>
            </w:r>
          </w:p>
        </w:tc>
        <w:tc>
          <w:tcPr>
            <w:tcW w:type="dxa" w:w="22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464883.19</w:t>
            </w:r>
          </w:p>
        </w:tc>
        <w:tc>
          <w:tcPr>
            <w:tcW w:type="dxa" w:w="17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9514.06</w:t>
            </w:r>
          </w:p>
        </w:tc>
      </w:tr>
      <w:tr>
        <w:tblPrEx>
          <w:shd w:val="clear" w:color="auto" w:fill="ced7e7"/>
        </w:tblPrEx>
        <w:trPr>
          <w:trHeight w:val="698" w:hRule="atLeast"/>
        </w:trPr>
        <w:tc>
          <w:tcPr>
            <w:tcW w:type="dxa" w:w="13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left"/>
            </w:pPr>
            <w:r>
              <w:rPr>
                <w:rStyle w:val="Ninguno"/>
                <w:shd w:val="nil" w:color="auto" w:fill="auto"/>
                <w:rtl w:val="0"/>
                <w:lang w:val="en-US"/>
              </w:rPr>
              <w:t>Sample Variance</w:t>
            </w:r>
          </w:p>
        </w:tc>
        <w:tc>
          <w:tcPr>
            <w:tcW w:type="dxa" w:w="1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0.28</w:t>
            </w:r>
          </w:p>
        </w:tc>
        <w:tc>
          <w:tcPr>
            <w:tcW w:type="dxa" w:w="16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1411.26</w:t>
            </w:r>
          </w:p>
        </w:tc>
        <w:tc>
          <w:tcPr>
            <w:tcW w:type="dxa" w:w="22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216116382321.59</w:t>
            </w:r>
          </w:p>
        </w:tc>
        <w:tc>
          <w:tcPr>
            <w:tcW w:type="dxa" w:w="17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90517282.00</w:t>
            </w:r>
          </w:p>
        </w:tc>
      </w:tr>
      <w:tr>
        <w:tblPrEx>
          <w:shd w:val="clear" w:color="auto" w:fill="ced7e7"/>
        </w:tblPrEx>
        <w:trPr>
          <w:trHeight w:val="282" w:hRule="atLeast"/>
        </w:trPr>
        <w:tc>
          <w:tcPr>
            <w:tcW w:type="dxa" w:w="13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left"/>
            </w:pPr>
            <w:r>
              <w:rPr>
                <w:rStyle w:val="Ninguno"/>
                <w:shd w:val="nil" w:color="auto" w:fill="auto"/>
                <w:rtl w:val="0"/>
                <w:lang w:val="en-US"/>
              </w:rPr>
              <w:t>Kurtosis</w:t>
            </w:r>
          </w:p>
        </w:tc>
        <w:tc>
          <w:tcPr>
            <w:tcW w:type="dxa" w:w="1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0.35</w:t>
            </w:r>
          </w:p>
        </w:tc>
        <w:tc>
          <w:tcPr>
            <w:tcW w:type="dxa" w:w="16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78.18</w:t>
            </w:r>
          </w:p>
        </w:tc>
        <w:tc>
          <w:tcPr>
            <w:tcW w:type="dxa" w:w="22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31.50</w:t>
            </w:r>
          </w:p>
        </w:tc>
        <w:tc>
          <w:tcPr>
            <w:tcW w:type="dxa" w:w="17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314.85</w:t>
            </w:r>
          </w:p>
        </w:tc>
      </w:tr>
      <w:tr>
        <w:tblPrEx>
          <w:shd w:val="clear" w:color="auto" w:fill="ced7e7"/>
        </w:tblPrEx>
        <w:trPr>
          <w:trHeight w:val="350" w:hRule="atLeast"/>
        </w:trPr>
        <w:tc>
          <w:tcPr>
            <w:tcW w:type="dxa" w:w="13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left"/>
            </w:pPr>
            <w:r>
              <w:rPr>
                <w:rStyle w:val="Ninguno"/>
                <w:shd w:val="nil" w:color="auto" w:fill="auto"/>
                <w:rtl w:val="0"/>
                <w:lang w:val="en-US"/>
              </w:rPr>
              <w:t>Skewness</w:t>
            </w:r>
          </w:p>
        </w:tc>
        <w:tc>
          <w:tcPr>
            <w:tcW w:type="dxa" w:w="1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-0.41</w:t>
            </w:r>
          </w:p>
        </w:tc>
        <w:tc>
          <w:tcPr>
            <w:tcW w:type="dxa" w:w="16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5.99</w:t>
            </w:r>
          </w:p>
        </w:tc>
        <w:tc>
          <w:tcPr>
            <w:tcW w:type="dxa" w:w="22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5.05</w:t>
            </w:r>
          </w:p>
        </w:tc>
        <w:tc>
          <w:tcPr>
            <w:tcW w:type="dxa" w:w="17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14.40</w:t>
            </w:r>
          </w:p>
        </w:tc>
      </w:tr>
      <w:tr>
        <w:tblPrEx>
          <w:shd w:val="clear" w:color="auto" w:fill="ced7e7"/>
        </w:tblPrEx>
        <w:trPr>
          <w:trHeight w:val="282" w:hRule="atLeast"/>
        </w:trPr>
        <w:tc>
          <w:tcPr>
            <w:tcW w:type="dxa" w:w="13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left"/>
            </w:pPr>
            <w:r>
              <w:rPr>
                <w:rStyle w:val="Ninguno"/>
                <w:shd w:val="nil" w:color="auto" w:fill="auto"/>
                <w:rtl w:val="0"/>
                <w:lang w:val="en-US"/>
              </w:rPr>
              <w:t>Range</w:t>
            </w:r>
          </w:p>
        </w:tc>
        <w:tc>
          <w:tcPr>
            <w:tcW w:type="dxa" w:w="1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3.63</w:t>
            </w:r>
          </w:p>
        </w:tc>
        <w:tc>
          <w:tcPr>
            <w:tcW w:type="dxa" w:w="16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905.00</w:t>
            </w:r>
          </w:p>
        </w:tc>
        <w:tc>
          <w:tcPr>
            <w:tcW w:type="dxa" w:w="22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5195498.00</w:t>
            </w:r>
          </w:p>
        </w:tc>
        <w:tc>
          <w:tcPr>
            <w:tcW w:type="dxa" w:w="17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326000.00</w:t>
            </w:r>
          </w:p>
        </w:tc>
      </w:tr>
      <w:tr>
        <w:tblPrEx>
          <w:shd w:val="clear" w:color="auto" w:fill="ced7e7"/>
        </w:tblPrEx>
        <w:trPr>
          <w:trHeight w:val="282" w:hRule="atLeast"/>
        </w:trPr>
        <w:tc>
          <w:tcPr>
            <w:tcW w:type="dxa" w:w="13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left"/>
            </w:pPr>
            <w:r>
              <w:rPr>
                <w:rStyle w:val="Ninguno"/>
                <w:shd w:val="nil" w:color="auto" w:fill="auto"/>
                <w:rtl w:val="0"/>
                <w:lang w:val="en-US"/>
              </w:rPr>
              <w:t>Minimum</w:t>
            </w:r>
          </w:p>
        </w:tc>
        <w:tc>
          <w:tcPr>
            <w:tcW w:type="dxa" w:w="1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1.08</w:t>
            </w:r>
          </w:p>
        </w:tc>
        <w:tc>
          <w:tcPr>
            <w:tcW w:type="dxa" w:w="16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2.00</w:t>
            </w:r>
          </w:p>
        </w:tc>
        <w:tc>
          <w:tcPr>
            <w:tcW w:type="dxa" w:w="22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5.00</w:t>
            </w:r>
          </w:p>
        </w:tc>
        <w:tc>
          <w:tcPr>
            <w:tcW w:type="dxa" w:w="17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0.00</w:t>
            </w:r>
          </w:p>
        </w:tc>
      </w:tr>
      <w:tr>
        <w:tblPrEx>
          <w:shd w:val="clear" w:color="auto" w:fill="ced7e7"/>
        </w:tblPrEx>
        <w:trPr>
          <w:trHeight w:val="282" w:hRule="atLeast"/>
        </w:trPr>
        <w:tc>
          <w:tcPr>
            <w:tcW w:type="dxa" w:w="13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left"/>
            </w:pPr>
            <w:r>
              <w:rPr>
                <w:rStyle w:val="Ninguno"/>
                <w:shd w:val="nil" w:color="auto" w:fill="auto"/>
                <w:rtl w:val="0"/>
                <w:lang w:val="en-US"/>
              </w:rPr>
              <w:t>Maximum</w:t>
            </w:r>
          </w:p>
        </w:tc>
        <w:tc>
          <w:tcPr>
            <w:tcW w:type="dxa" w:w="1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4.71</w:t>
            </w:r>
          </w:p>
        </w:tc>
        <w:tc>
          <w:tcPr>
            <w:tcW w:type="dxa" w:w="16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907.00</w:t>
            </w:r>
          </w:p>
        </w:tc>
        <w:tc>
          <w:tcPr>
            <w:tcW w:type="dxa" w:w="22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5195503.00</w:t>
            </w:r>
          </w:p>
        </w:tc>
        <w:tc>
          <w:tcPr>
            <w:tcW w:type="dxa" w:w="17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326000.00</w:t>
            </w:r>
          </w:p>
        </w:tc>
      </w:tr>
      <w:tr>
        <w:tblPrEx>
          <w:shd w:val="clear" w:color="auto" w:fill="ced7e7"/>
        </w:tblPrEx>
        <w:trPr>
          <w:trHeight w:val="282" w:hRule="atLeast"/>
        </w:trPr>
        <w:tc>
          <w:tcPr>
            <w:tcW w:type="dxa" w:w="13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left"/>
            </w:pPr>
            <w:r>
              <w:rPr>
                <w:rStyle w:val="Ninguno"/>
                <w:shd w:val="nil" w:color="auto" w:fill="auto"/>
                <w:rtl w:val="0"/>
                <w:lang w:val="en-US"/>
              </w:rPr>
              <w:t>Sum</w:t>
            </w:r>
          </w:p>
        </w:tc>
        <w:tc>
          <w:tcPr>
            <w:tcW w:type="dxa" w:w="1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31676.07</w:t>
            </w:r>
          </w:p>
        </w:tc>
        <w:tc>
          <w:tcPr>
            <w:tcW w:type="dxa" w:w="16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1006023.18</w:t>
            </w:r>
          </w:p>
        </w:tc>
        <w:tc>
          <w:tcPr>
            <w:tcW w:type="dxa" w:w="22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1700783938.00</w:t>
            </w:r>
          </w:p>
        </w:tc>
        <w:tc>
          <w:tcPr>
            <w:tcW w:type="dxa" w:w="17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16517609.00</w:t>
            </w:r>
          </w:p>
        </w:tc>
      </w:tr>
      <w:tr>
        <w:tblPrEx>
          <w:shd w:val="clear" w:color="auto" w:fill="ced7e7"/>
        </w:tblPrEx>
        <w:trPr>
          <w:trHeight w:val="282" w:hRule="atLeast"/>
        </w:trPr>
        <w:tc>
          <w:tcPr>
            <w:tcW w:type="dxa" w:w="13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left"/>
            </w:pPr>
            <w:r>
              <w:rPr>
                <w:rStyle w:val="Ninguno"/>
                <w:shd w:val="nil" w:color="auto" w:fill="auto"/>
                <w:rtl w:val="0"/>
                <w:lang w:val="en-US"/>
              </w:rPr>
              <w:t>Count</w:t>
            </w:r>
          </w:p>
        </w:tc>
        <w:tc>
          <w:tcPr>
            <w:tcW w:type="dxa" w:w="1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9686.00</w:t>
            </w:r>
          </w:p>
        </w:tc>
        <w:tc>
          <w:tcPr>
            <w:tcW w:type="dxa" w:w="16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9686.00</w:t>
            </w:r>
          </w:p>
        </w:tc>
        <w:tc>
          <w:tcPr>
            <w:tcW w:type="dxa" w:w="22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9686.00</w:t>
            </w:r>
          </w:p>
        </w:tc>
        <w:tc>
          <w:tcPr>
            <w:tcW w:type="dxa" w:w="17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jc w:val="right"/>
            </w:pPr>
            <w:r>
              <w:rPr>
                <w:rStyle w:val="Ninguno"/>
                <w:shd w:val="nil" w:color="auto" w:fill="auto"/>
                <w:rtl w:val="0"/>
                <w:lang w:val="en-US"/>
              </w:rPr>
              <w:t>9686.00</w:t>
            </w:r>
          </w:p>
        </w:tc>
      </w:tr>
    </w:tbl>
    <w:p>
      <w:pPr>
        <w:pStyle w:val="Encabezamiento"/>
        <w:widowControl w:val="0"/>
        <w:spacing w:line="240" w:lineRule="auto"/>
        <w:jc w:val="center"/>
        <w:rPr>
          <w:rStyle w:val="Ninguno"/>
        </w:rPr>
      </w:pPr>
    </w:p>
    <w:p>
      <w:pPr>
        <w:pStyle w:val="Cuerpo"/>
        <w:jc w:val="center"/>
        <w:rPr>
          <w:rStyle w:val="Ninguno"/>
          <w:b w:val="1"/>
          <w:bCs w:val="1"/>
        </w:rPr>
      </w:pPr>
      <w:r>
        <w:rPr>
          <w:rStyle w:val="Ninguno"/>
          <w:b w:val="1"/>
          <w:bCs w:val="1"/>
          <w:rtl w:val="0"/>
          <w:lang w:val="en-US"/>
        </w:rPr>
        <w:t>Table 1: Summarisation using descriptive statistics</w:t>
      </w:r>
    </w:p>
    <w:p>
      <w:pPr>
        <w:pStyle w:val="Cuerpo"/>
        <w:rPr>
          <w:rStyle w:val="Ninguno"/>
        </w:rPr>
      </w:pPr>
      <w:r>
        <w:rPr>
          <w:rStyle w:val="Ninguno"/>
          <w:rtl w:val="0"/>
          <w:lang w:val="en-US"/>
        </w:rPr>
        <w:t>The descriptive analysis show that for the Letterbox Movie Classification dataset, a mean average rating of 3.27 out of 5 has been achieved for all the movies included, with a standard deviation of 0.53. The mean, median and modal average rating is similar for this dataset, indicating a perfectly normal distribution of the average rating variable (Laerd Statistics, n.d.). The mean runtime is given as 103 minutes with a standard deviation of 37.57. The mean views obtained for all the films in the dataset is 175591.98 with a standard deviation of 464883.19. A very large standard deviation indicates that some films were much more popular (and therefore, more views) than other films in the dataset. Similarly, the mean number of fans obtained is 1705.31, with a standard deviation of 9514.06. A large standard deviation in number of fans suggests that some films have an overwhelming fan base as compared to other films in the dataset.</w:t>
      </w:r>
    </w:p>
    <w:p>
      <w:pPr>
        <w:pStyle w:val="Encabezamiento"/>
      </w:pPr>
      <w:bookmarkStart w:name="_Toc5" w:id="7"/>
      <w:r>
        <w:rPr>
          <w:rStyle w:val="Ninguno"/>
          <w:rFonts w:cs="Arial Unicode MS" w:eastAsia="Arial Unicode MS"/>
          <w:rtl w:val="0"/>
          <w:lang w:val="en-US"/>
        </w:rPr>
        <w:t>Trend Analysis and Visualisation</w:t>
      </w:r>
      <w:bookmarkEnd w:id="7"/>
    </w:p>
    <w:p>
      <w:pPr>
        <w:pStyle w:val="Cuerpo"/>
        <w:jc w:val="center"/>
        <w:rPr>
          <w:rStyle w:val="Ninguno"/>
        </w:rPr>
      </w:pPr>
      <w:bookmarkStart w:name="_rok3njtz9d" w:id="8"/>
      <w:bookmarkEnd w:id="8"/>
      <w:r>
        <w:rPr>
          <w:rStyle w:val="Ninguno"/>
        </w:rPr>
        <w:drawing xmlns:a="http://schemas.openxmlformats.org/drawingml/2006/main">
          <wp:inline distT="0" distB="0" distL="0" distR="0">
            <wp:extent cx="5831205" cy="3190875"/>
            <wp:effectExtent l="0" t="0" r="0" b="0"/>
            <wp:docPr id="1073741827" name="officeArt object" descr="Picture 1"/>
            <wp:cNvGraphicFramePr/>
            <a:graphic xmlns:a="http://schemas.openxmlformats.org/drawingml/2006/main">
              <a:graphicData uri="http://schemas.openxmlformats.org/drawingml/2006/picture">
                <pic:pic xmlns:pic="http://schemas.openxmlformats.org/drawingml/2006/picture">
                  <pic:nvPicPr>
                    <pic:cNvPr id="1073741827" name="Picture 1" descr="Picture 1"/>
                    <pic:cNvPicPr>
                      <a:picLocks noChangeAspect="1"/>
                    </pic:cNvPicPr>
                  </pic:nvPicPr>
                  <pic:blipFill>
                    <a:blip r:embed="rId6">
                      <a:extLst/>
                    </a:blip>
                    <a:stretch>
                      <a:fillRect/>
                    </a:stretch>
                  </pic:blipFill>
                  <pic:spPr>
                    <a:xfrm>
                      <a:off x="0" y="0"/>
                      <a:ext cx="5831205" cy="3190875"/>
                    </a:xfrm>
                    <a:prstGeom prst="rect">
                      <a:avLst/>
                    </a:prstGeom>
                    <a:ln w="12700" cap="flat">
                      <a:noFill/>
                      <a:miter lim="400000"/>
                    </a:ln>
                    <a:effectLst/>
                  </pic:spPr>
                </pic:pic>
              </a:graphicData>
            </a:graphic>
          </wp:inline>
        </w:drawing>
      </w:r>
    </w:p>
    <w:p>
      <w:pPr>
        <w:pStyle w:val="Cuerpo"/>
        <w:jc w:val="center"/>
        <w:rPr>
          <w:rStyle w:val="Ninguno"/>
          <w:b w:val="1"/>
          <w:bCs w:val="1"/>
        </w:rPr>
      </w:pPr>
      <w:r>
        <w:rPr>
          <w:rStyle w:val="Ninguno"/>
          <w:b w:val="1"/>
          <w:bCs w:val="1"/>
          <w:rtl w:val="0"/>
          <w:lang w:val="en-US"/>
        </w:rPr>
        <w:t>Chart 1: Average ratings segmented by language of film</w:t>
      </w:r>
    </w:p>
    <w:p>
      <w:pPr>
        <w:pStyle w:val="Cuerpo"/>
      </w:pPr>
      <w:r>
        <w:rPr>
          <w:rStyle w:val="Ninguno"/>
          <w:rtl w:val="0"/>
          <w:lang w:val="en-US"/>
        </w:rPr>
        <w:t xml:space="preserve">The above line chart is a visual depiction of the average ratings by language in which the film is released. It is observed after considering all the major languages on average, the lowest average rating has been obtained by films made in the Serbian language (Mean = 1.83). On the other hand, on average the maximum average rating is obtained by films made in the Slovakian language (Mean = 4.20). Other languages where films have received a higher average rating are Armenian (Mean = 4.14), Tamil (Mean = 4.03) and Turkish (Mean = 4.07).  </w:t>
      </w:r>
    </w:p>
    <w:p>
      <w:pPr>
        <w:pStyle w:val="Cuerpo"/>
        <w:jc w:val="center"/>
      </w:pPr>
      <w:r>
        <w:rPr>
          <w:rStyle w:val="Ninguno"/>
        </w:rPr>
        <w:drawing xmlns:a="http://schemas.openxmlformats.org/drawingml/2006/main">
          <wp:inline distT="0" distB="0" distL="0" distR="0">
            <wp:extent cx="5943600" cy="2832100"/>
            <wp:effectExtent l="0" t="0" r="0" b="0"/>
            <wp:docPr id="1073741828" name="officeArt object" descr="Picture 1"/>
            <wp:cNvGraphicFramePr/>
            <a:graphic xmlns:a="http://schemas.openxmlformats.org/drawingml/2006/main">
              <a:graphicData uri="http://schemas.openxmlformats.org/drawingml/2006/picture">
                <pic:pic xmlns:pic="http://schemas.openxmlformats.org/drawingml/2006/picture">
                  <pic:nvPicPr>
                    <pic:cNvPr id="1073741828" name="Picture 1" descr="Picture 1"/>
                    <pic:cNvPicPr>
                      <a:picLocks noChangeAspect="1"/>
                    </pic:cNvPicPr>
                  </pic:nvPicPr>
                  <pic:blipFill>
                    <a:blip r:embed="rId7">
                      <a:extLst/>
                    </a:blip>
                    <a:stretch>
                      <a:fillRect/>
                    </a:stretch>
                  </pic:blipFill>
                  <pic:spPr>
                    <a:xfrm>
                      <a:off x="0" y="0"/>
                      <a:ext cx="5943600" cy="2832100"/>
                    </a:xfrm>
                    <a:prstGeom prst="rect">
                      <a:avLst/>
                    </a:prstGeom>
                    <a:ln w="12700" cap="flat">
                      <a:noFill/>
                      <a:miter lim="400000"/>
                    </a:ln>
                    <a:effectLst/>
                  </pic:spPr>
                </pic:pic>
              </a:graphicData>
            </a:graphic>
          </wp:inline>
        </w:drawing>
      </w:r>
    </w:p>
    <w:p>
      <w:pPr>
        <w:pStyle w:val="Cuerpo"/>
        <w:jc w:val="center"/>
        <w:rPr>
          <w:rStyle w:val="Ninguno"/>
          <w:b w:val="1"/>
          <w:bCs w:val="1"/>
        </w:rPr>
      </w:pPr>
      <w:r>
        <w:rPr>
          <w:rStyle w:val="Ninguno"/>
          <w:b w:val="1"/>
          <w:bCs w:val="1"/>
          <w:rtl w:val="0"/>
          <w:lang w:val="en-US"/>
        </w:rPr>
        <w:t>Chart 2: Views segmented by language of film</w:t>
      </w:r>
    </w:p>
    <w:p>
      <w:pPr>
        <w:pStyle w:val="Cuerpo"/>
      </w:pPr>
      <w:r>
        <w:rPr>
          <w:rStyle w:val="Ninguno"/>
          <w:rtl w:val="0"/>
          <w:lang w:val="en-US"/>
        </w:rPr>
        <w:t xml:space="preserve">The above pie chart is a visual depiction of the total number of views by the language in which the film is released. It is observed that an overwhelming number of views has been obtained by films made in the English language (Sum = 1584539261). This shows that huge exposure and popularity of English movies among global audiences. On the other hand, the minimum number of views have been obtained by films made in the Mongolian language (Sum = 14).  </w:t>
      </w:r>
    </w:p>
    <w:p>
      <w:pPr>
        <w:pStyle w:val="Cuerpo"/>
        <w:jc w:val="center"/>
        <w:rPr>
          <w:rStyle w:val="Ninguno"/>
          <w:b w:val="1"/>
          <w:bCs w:val="1"/>
        </w:rPr>
      </w:pPr>
      <w:r>
        <w:rPr>
          <w:rStyle w:val="Ninguno"/>
          <w:b w:val="1"/>
          <w:bCs w:val="1"/>
        </w:rPr>
        <w:drawing xmlns:a="http://schemas.openxmlformats.org/drawingml/2006/main">
          <wp:inline distT="0" distB="0" distL="0" distR="0">
            <wp:extent cx="5943600" cy="3131821"/>
            <wp:effectExtent l="0" t="0" r="0" b="0"/>
            <wp:docPr id="1073741829" name="officeArt object" descr="Picture 1"/>
            <wp:cNvGraphicFramePr/>
            <a:graphic xmlns:a="http://schemas.openxmlformats.org/drawingml/2006/main">
              <a:graphicData uri="http://schemas.openxmlformats.org/drawingml/2006/picture">
                <pic:pic xmlns:pic="http://schemas.openxmlformats.org/drawingml/2006/picture">
                  <pic:nvPicPr>
                    <pic:cNvPr id="1073741829" name="Picture 1" descr="Picture 1"/>
                    <pic:cNvPicPr>
                      <a:picLocks noChangeAspect="1"/>
                    </pic:cNvPicPr>
                  </pic:nvPicPr>
                  <pic:blipFill>
                    <a:blip r:embed="rId8">
                      <a:extLst/>
                    </a:blip>
                    <a:stretch>
                      <a:fillRect/>
                    </a:stretch>
                  </pic:blipFill>
                  <pic:spPr>
                    <a:xfrm>
                      <a:off x="0" y="0"/>
                      <a:ext cx="5943600" cy="3131821"/>
                    </a:xfrm>
                    <a:prstGeom prst="rect">
                      <a:avLst/>
                    </a:prstGeom>
                    <a:ln w="12700" cap="flat">
                      <a:noFill/>
                      <a:miter lim="400000"/>
                    </a:ln>
                    <a:effectLst/>
                  </pic:spPr>
                </pic:pic>
              </a:graphicData>
            </a:graphic>
          </wp:inline>
        </w:drawing>
      </w:r>
    </w:p>
    <w:p>
      <w:pPr>
        <w:pStyle w:val="Cuerpo"/>
        <w:jc w:val="center"/>
        <w:rPr>
          <w:rStyle w:val="Ninguno"/>
          <w:b w:val="1"/>
          <w:bCs w:val="1"/>
        </w:rPr>
      </w:pPr>
      <w:r>
        <w:rPr>
          <w:rStyle w:val="Ninguno"/>
          <w:b w:val="1"/>
          <w:bCs w:val="1"/>
          <w:rtl w:val="0"/>
          <w:lang w:val="en-US"/>
        </w:rPr>
        <w:t>Chart 3: Fans segmented by language of film</w:t>
      </w:r>
    </w:p>
    <w:p>
      <w:pPr>
        <w:pStyle w:val="Cuerpo"/>
      </w:pPr>
      <w:r>
        <w:rPr>
          <w:rStyle w:val="Ninguno"/>
          <w:rtl w:val="0"/>
          <w:lang w:val="en-US"/>
        </w:rPr>
        <w:t xml:space="preserve">The above pie chart is a visual depiction of the total number of fans by language in which the film is released. It is observed after considering all the major languages that an overwhelming amount of fan-following has been obtained by films made in the English language (Sum = 14300208). English movies are not only watched by a huge number of people, but English films also have a huge number of fans and popularity amongst global audience. On the other hand, the minimum number of fans is obtained for movies made in the Mongolian (Sum = 0) language. Other languages that have obtained the least amount of fan counts include Swahili (Sum = 1), Lithuanian (Sum = 3), Serbo-Croatian (Sum = 7), Eastern Punjabi (Sum = 2), and Albanian (Sum = 5).   </w:t>
      </w:r>
    </w:p>
    <w:p>
      <w:pPr>
        <w:pStyle w:val="Encabezamiento"/>
      </w:pPr>
      <w:bookmarkStart w:name="_Toc6" w:id="9"/>
      <w:r>
        <w:rPr>
          <w:rStyle w:val="Ninguno"/>
          <w:rFonts w:cs="Arial Unicode MS" w:eastAsia="Arial Unicode MS"/>
          <w:rtl w:val="0"/>
          <w:lang w:val="en-US"/>
        </w:rPr>
        <w:t>Statistical Analysis using SPSS</w:t>
      </w:r>
      <w:bookmarkEnd w:id="9"/>
    </w:p>
    <w:p>
      <w:pPr>
        <w:pStyle w:val="Cuerpo"/>
        <w:jc w:val="center"/>
      </w:pPr>
      <w:r>
        <w:rPr>
          <w:rStyle w:val="Ninguno"/>
        </w:rPr>
        <w:drawing xmlns:a="http://schemas.openxmlformats.org/drawingml/2006/main">
          <wp:inline distT="0" distB="0" distL="0" distR="0">
            <wp:extent cx="5391150" cy="1143000"/>
            <wp:effectExtent l="0" t="0" r="0" b="0"/>
            <wp:docPr id="1073741830" name="officeArt object" descr="Picture 9"/>
            <wp:cNvGraphicFramePr/>
            <a:graphic xmlns:a="http://schemas.openxmlformats.org/drawingml/2006/main">
              <a:graphicData uri="http://schemas.openxmlformats.org/drawingml/2006/picture">
                <pic:pic xmlns:pic="http://schemas.openxmlformats.org/drawingml/2006/picture">
                  <pic:nvPicPr>
                    <pic:cNvPr id="1073741830" name="Picture 9" descr="Picture 9"/>
                    <pic:cNvPicPr>
                      <a:picLocks noChangeAspect="1"/>
                    </pic:cNvPicPr>
                  </pic:nvPicPr>
                  <pic:blipFill>
                    <a:blip r:embed="rId9">
                      <a:extLst/>
                    </a:blip>
                    <a:stretch>
                      <a:fillRect/>
                    </a:stretch>
                  </pic:blipFill>
                  <pic:spPr>
                    <a:xfrm>
                      <a:off x="0" y="0"/>
                      <a:ext cx="5391150" cy="1143000"/>
                    </a:xfrm>
                    <a:prstGeom prst="rect">
                      <a:avLst/>
                    </a:prstGeom>
                    <a:ln w="12700" cap="flat">
                      <a:noFill/>
                      <a:miter lim="400000"/>
                    </a:ln>
                    <a:effectLst/>
                  </pic:spPr>
                </pic:pic>
              </a:graphicData>
            </a:graphic>
          </wp:inline>
        </w:drawing>
      </w:r>
    </w:p>
    <w:p>
      <w:pPr>
        <w:pStyle w:val="Cuerpo"/>
        <w:jc w:val="center"/>
        <w:rPr>
          <w:rStyle w:val="Ninguno"/>
          <w:b w:val="1"/>
          <w:bCs w:val="1"/>
        </w:rPr>
      </w:pPr>
      <w:r>
        <w:rPr>
          <w:rStyle w:val="Ninguno"/>
          <w:b w:val="1"/>
          <w:bCs w:val="1"/>
          <w:rtl w:val="0"/>
          <w:lang w:val="en-US"/>
        </w:rPr>
        <w:t>Table 2: Group Summary</w:t>
      </w:r>
    </w:p>
    <w:p>
      <w:pPr>
        <w:pStyle w:val="Cuerpo"/>
        <w:jc w:val="center"/>
        <w:rPr>
          <w:rStyle w:val="Ninguno"/>
          <w:b w:val="1"/>
          <w:bCs w:val="1"/>
        </w:rPr>
      </w:pPr>
      <w:r>
        <w:rPr>
          <w:rStyle w:val="Ninguno"/>
          <w:b w:val="1"/>
          <w:bCs w:val="1"/>
        </w:rPr>
        <w:drawing xmlns:a="http://schemas.openxmlformats.org/drawingml/2006/main">
          <wp:inline distT="0" distB="0" distL="0" distR="0">
            <wp:extent cx="5779981" cy="1504950"/>
            <wp:effectExtent l="0" t="0" r="0" b="0"/>
            <wp:docPr id="1073741831" name="officeArt object" descr="Picture 7"/>
            <wp:cNvGraphicFramePr/>
            <a:graphic xmlns:a="http://schemas.openxmlformats.org/drawingml/2006/main">
              <a:graphicData uri="http://schemas.openxmlformats.org/drawingml/2006/picture">
                <pic:pic xmlns:pic="http://schemas.openxmlformats.org/drawingml/2006/picture">
                  <pic:nvPicPr>
                    <pic:cNvPr id="1073741831" name="Picture 7" descr="Picture 7"/>
                    <pic:cNvPicPr>
                      <a:picLocks noChangeAspect="1"/>
                    </pic:cNvPicPr>
                  </pic:nvPicPr>
                  <pic:blipFill>
                    <a:blip r:embed="rId10">
                      <a:extLst/>
                    </a:blip>
                    <a:stretch>
                      <a:fillRect/>
                    </a:stretch>
                  </pic:blipFill>
                  <pic:spPr>
                    <a:xfrm>
                      <a:off x="0" y="0"/>
                      <a:ext cx="5779981" cy="1504950"/>
                    </a:xfrm>
                    <a:prstGeom prst="rect">
                      <a:avLst/>
                    </a:prstGeom>
                    <a:ln w="12700" cap="flat">
                      <a:noFill/>
                      <a:miter lim="400000"/>
                    </a:ln>
                    <a:effectLst/>
                  </pic:spPr>
                </pic:pic>
              </a:graphicData>
            </a:graphic>
          </wp:inline>
        </w:drawing>
      </w:r>
    </w:p>
    <w:p>
      <w:pPr>
        <w:pStyle w:val="Cuerpo"/>
        <w:jc w:val="center"/>
        <w:rPr>
          <w:rStyle w:val="Ninguno"/>
          <w:b w:val="1"/>
          <w:bCs w:val="1"/>
        </w:rPr>
      </w:pPr>
      <w:r>
        <w:rPr>
          <w:rStyle w:val="Ninguno"/>
          <w:b w:val="1"/>
          <w:bCs w:val="1"/>
          <w:rtl w:val="0"/>
          <w:lang w:val="en-US"/>
        </w:rPr>
        <w:t xml:space="preserve">Table 3: Independent Samples t-test results </w:t>
      </w:r>
    </w:p>
    <w:p>
      <w:pPr>
        <w:pStyle w:val="Cuerpo"/>
        <w:jc w:val="center"/>
        <w:rPr>
          <w:rStyle w:val="Ninguno"/>
          <w:b w:val="1"/>
          <w:bCs w:val="1"/>
        </w:rPr>
      </w:pPr>
      <w:r>
        <w:rPr>
          <w:rStyle w:val="Ninguno"/>
          <w:b w:val="1"/>
          <w:bCs w:val="1"/>
          <w:rtl w:val="0"/>
        </w:rPr>
        <w:t xml:space="preserve"> </w:t>
      </w:r>
      <w:r>
        <w:rPr>
          <w:rStyle w:val="Ninguno"/>
          <w:b w:val="1"/>
          <w:bCs w:val="1"/>
        </w:rPr>
        <w:drawing xmlns:a="http://schemas.openxmlformats.org/drawingml/2006/main">
          <wp:inline distT="0" distB="0" distL="0" distR="0">
            <wp:extent cx="5514975" cy="2047875"/>
            <wp:effectExtent l="0" t="0" r="0" b="0"/>
            <wp:docPr id="1073741832" name="officeArt object" descr="Picture 8"/>
            <wp:cNvGraphicFramePr/>
            <a:graphic xmlns:a="http://schemas.openxmlformats.org/drawingml/2006/main">
              <a:graphicData uri="http://schemas.openxmlformats.org/drawingml/2006/picture">
                <pic:pic xmlns:pic="http://schemas.openxmlformats.org/drawingml/2006/picture">
                  <pic:nvPicPr>
                    <pic:cNvPr id="1073741832" name="Picture 8" descr="Picture 8"/>
                    <pic:cNvPicPr>
                      <a:picLocks noChangeAspect="1"/>
                    </pic:cNvPicPr>
                  </pic:nvPicPr>
                  <pic:blipFill>
                    <a:blip r:embed="rId11">
                      <a:extLst/>
                    </a:blip>
                    <a:stretch>
                      <a:fillRect/>
                    </a:stretch>
                  </pic:blipFill>
                  <pic:spPr>
                    <a:xfrm>
                      <a:off x="0" y="0"/>
                      <a:ext cx="5514975" cy="2047875"/>
                    </a:xfrm>
                    <a:prstGeom prst="rect">
                      <a:avLst/>
                    </a:prstGeom>
                    <a:ln w="12700" cap="flat">
                      <a:noFill/>
                      <a:miter lim="400000"/>
                    </a:ln>
                    <a:effectLst/>
                  </pic:spPr>
                </pic:pic>
              </a:graphicData>
            </a:graphic>
          </wp:inline>
        </w:drawing>
      </w:r>
    </w:p>
    <w:p>
      <w:pPr>
        <w:pStyle w:val="Cuerpo"/>
        <w:jc w:val="center"/>
        <w:rPr>
          <w:rStyle w:val="Ninguno"/>
          <w:b w:val="1"/>
          <w:bCs w:val="1"/>
        </w:rPr>
      </w:pPr>
      <w:r>
        <w:rPr>
          <w:rStyle w:val="Ninguno"/>
          <w:b w:val="1"/>
          <w:bCs w:val="1"/>
          <w:rtl w:val="0"/>
          <w:lang w:val="en-US"/>
        </w:rPr>
        <w:t>Table 4: Independent Samples effect sizes</w:t>
      </w:r>
    </w:p>
    <w:p>
      <w:pPr>
        <w:pStyle w:val="Cuerpo"/>
      </w:pPr>
      <w:r>
        <w:rPr>
          <w:rStyle w:val="Ninguno"/>
          <w:rtl w:val="0"/>
          <w:lang w:val="en-US"/>
        </w:rPr>
        <w:t xml:space="preserve">The above tables contain the results of the independent samples t-test to observe a hypothesis made in this study. The hypothesis claimed to observe significant differences on average ratings between English and Non-English films. Table 2 shows the group summary statistics, where an overwhelming portion of the films in the chosen dataset are made in English. However, the average score of films made in the English (M = 3.21, SD = 0.52) language are lower as compared to films made in non-English (M = 3.51, SD = 0.46) languages. The independent samples t-test shows a significant difference between the groups (p &lt; 0.01), suggesting the fact that non-English films have a higher average score as compared to English films and not by coincidence. </w:t>
      </w:r>
    </w:p>
    <w:p>
      <w:pPr>
        <w:pStyle w:val="Cuerpo"/>
        <w:jc w:val="center"/>
      </w:pPr>
      <w:r>
        <w:rPr>
          <w:rStyle w:val="Ninguno"/>
        </w:rPr>
        <w:drawing xmlns:a="http://schemas.openxmlformats.org/drawingml/2006/main">
          <wp:inline distT="0" distB="0" distL="0" distR="0">
            <wp:extent cx="4095750" cy="2228850"/>
            <wp:effectExtent l="0" t="0" r="0" b="0"/>
            <wp:docPr id="1073741833" name="officeArt object" descr="Picture 15"/>
            <wp:cNvGraphicFramePr/>
            <a:graphic xmlns:a="http://schemas.openxmlformats.org/drawingml/2006/main">
              <a:graphicData uri="http://schemas.openxmlformats.org/drawingml/2006/picture">
                <pic:pic xmlns:pic="http://schemas.openxmlformats.org/drawingml/2006/picture">
                  <pic:nvPicPr>
                    <pic:cNvPr id="1073741833" name="Picture 15" descr="Picture 15"/>
                    <pic:cNvPicPr>
                      <a:picLocks noChangeAspect="1"/>
                    </pic:cNvPicPr>
                  </pic:nvPicPr>
                  <pic:blipFill>
                    <a:blip r:embed="rId12">
                      <a:extLst/>
                    </a:blip>
                    <a:stretch>
                      <a:fillRect/>
                    </a:stretch>
                  </pic:blipFill>
                  <pic:spPr>
                    <a:xfrm>
                      <a:off x="0" y="0"/>
                      <a:ext cx="4095750" cy="2228850"/>
                    </a:xfrm>
                    <a:prstGeom prst="rect">
                      <a:avLst/>
                    </a:prstGeom>
                    <a:ln w="12700" cap="flat">
                      <a:noFill/>
                      <a:miter lim="400000"/>
                    </a:ln>
                    <a:effectLst/>
                  </pic:spPr>
                </pic:pic>
              </a:graphicData>
            </a:graphic>
          </wp:inline>
        </w:drawing>
      </w:r>
    </w:p>
    <w:p>
      <w:pPr>
        <w:pStyle w:val="Cuerpo"/>
        <w:jc w:val="center"/>
        <w:rPr>
          <w:rStyle w:val="Ninguno"/>
          <w:b w:val="1"/>
          <w:bCs w:val="1"/>
        </w:rPr>
      </w:pPr>
      <w:r>
        <w:rPr>
          <w:rStyle w:val="Ninguno"/>
          <w:b w:val="1"/>
          <w:bCs w:val="1"/>
          <w:rtl w:val="0"/>
          <w:lang w:val="fr-FR"/>
        </w:rPr>
        <w:t xml:space="preserve">Table 5: Correlation Analysis </w:t>
      </w:r>
    </w:p>
    <w:p>
      <w:pPr>
        <w:pStyle w:val="Cuerpo"/>
        <w:jc w:val="center"/>
      </w:pPr>
      <w:r>
        <w:rPr>
          <w:rStyle w:val="Ninguno"/>
        </w:rPr>
        <w:drawing xmlns:a="http://schemas.openxmlformats.org/drawingml/2006/main">
          <wp:inline distT="0" distB="0" distL="0" distR="0">
            <wp:extent cx="5943473" cy="4068413"/>
            <wp:effectExtent l="0" t="0" r="0" b="0"/>
            <wp:docPr id="1073741834" name="officeArt object" descr="Picture 10"/>
            <wp:cNvGraphicFramePr/>
            <a:graphic xmlns:a="http://schemas.openxmlformats.org/drawingml/2006/main">
              <a:graphicData uri="http://schemas.openxmlformats.org/drawingml/2006/picture">
                <pic:pic xmlns:pic="http://schemas.openxmlformats.org/drawingml/2006/picture">
                  <pic:nvPicPr>
                    <pic:cNvPr id="1073741834" name="Picture 10" descr="Picture 10"/>
                    <pic:cNvPicPr>
                      <a:picLocks noChangeAspect="1"/>
                    </pic:cNvPicPr>
                  </pic:nvPicPr>
                  <pic:blipFill>
                    <a:blip r:embed="rId13">
                      <a:extLst/>
                    </a:blip>
                    <a:stretch>
                      <a:fillRect/>
                    </a:stretch>
                  </pic:blipFill>
                  <pic:spPr>
                    <a:xfrm>
                      <a:off x="0" y="0"/>
                      <a:ext cx="5943473" cy="4068413"/>
                    </a:xfrm>
                    <a:prstGeom prst="rect">
                      <a:avLst/>
                    </a:prstGeom>
                    <a:ln w="12700" cap="flat">
                      <a:noFill/>
                      <a:miter lim="400000"/>
                    </a:ln>
                    <a:effectLst/>
                  </pic:spPr>
                </pic:pic>
              </a:graphicData>
            </a:graphic>
          </wp:inline>
        </w:drawing>
      </w:r>
    </w:p>
    <w:p>
      <w:pPr>
        <w:pStyle w:val="Cuerpo"/>
        <w:jc w:val="center"/>
        <w:rPr>
          <w:rStyle w:val="Ninguno"/>
          <w:b w:val="1"/>
          <w:bCs w:val="1"/>
        </w:rPr>
      </w:pPr>
      <w:r>
        <w:rPr>
          <w:rStyle w:val="Ninguno"/>
          <w:b w:val="1"/>
          <w:bCs w:val="1"/>
          <w:rtl w:val="0"/>
          <w:lang w:val="it-IT"/>
        </w:rPr>
        <w:t>Chart 4: Scatter plot (Total Runtime vs. Total Fans)</w:t>
      </w:r>
      <w:bookmarkStart w:name="_mgubepzj4ci" w:id="10"/>
      <w:bookmarkEnd w:id="10"/>
    </w:p>
    <w:p>
      <w:pPr>
        <w:pStyle w:val="Cuerpo"/>
        <w:rPr>
          <w:rStyle w:val="Ninguno"/>
        </w:rPr>
      </w:pPr>
      <w:r>
        <w:rPr>
          <w:rStyle w:val="Ninguno"/>
          <w:rtl w:val="0"/>
          <w:lang w:val="en-US"/>
        </w:rPr>
        <w:t>Correlation analysis was conducted to estimate the measure of the relationship between the variables of the total run time and the total fans of the films. Here, the effect of run time (independent variable) is tested on the total fans (dependent variable) of the film. Table 5 shows a significant correlation (p &lt; 0.01) between the variables. However, the Peason</w:t>
      </w:r>
      <w:r>
        <w:rPr>
          <w:rStyle w:val="Ninguno"/>
          <w:rtl w:val="1"/>
        </w:rPr>
        <w:t>’</w:t>
      </w:r>
      <w:r>
        <w:rPr>
          <w:rStyle w:val="Ninguno"/>
          <w:rtl w:val="0"/>
          <w:lang w:val="en-US"/>
        </w:rPr>
        <w:t xml:space="preserve">s Correlation coefficient shows that the correlation between the variables is positive and weak (r = + 0.087). Chart 4 depicts the scatter plot highlighting the trend of the relationship between total run time and total fans of the movie. </w:t>
      </w:r>
    </w:p>
    <w:p>
      <w:pPr>
        <w:pStyle w:val="Cuerpo"/>
        <w:jc w:val="center"/>
        <w:rPr>
          <w:rStyle w:val="Ninguno"/>
        </w:rPr>
      </w:pPr>
      <w:r>
        <w:rPr>
          <w:rStyle w:val="Ninguno"/>
        </w:rPr>
        <w:drawing xmlns:a="http://schemas.openxmlformats.org/drawingml/2006/main">
          <wp:inline distT="0" distB="0" distL="0" distR="0">
            <wp:extent cx="5543071" cy="1543050"/>
            <wp:effectExtent l="0" t="0" r="0" b="0"/>
            <wp:docPr id="1073741835" name="officeArt object" descr="Picture 11"/>
            <wp:cNvGraphicFramePr/>
            <a:graphic xmlns:a="http://schemas.openxmlformats.org/drawingml/2006/main">
              <a:graphicData uri="http://schemas.openxmlformats.org/drawingml/2006/picture">
                <pic:pic xmlns:pic="http://schemas.openxmlformats.org/drawingml/2006/picture">
                  <pic:nvPicPr>
                    <pic:cNvPr id="1073741835" name="Picture 11" descr="Picture 11"/>
                    <pic:cNvPicPr>
                      <a:picLocks noChangeAspect="1"/>
                    </pic:cNvPicPr>
                  </pic:nvPicPr>
                  <pic:blipFill>
                    <a:blip r:embed="rId14">
                      <a:extLst/>
                    </a:blip>
                    <a:stretch>
                      <a:fillRect/>
                    </a:stretch>
                  </pic:blipFill>
                  <pic:spPr>
                    <a:xfrm>
                      <a:off x="0" y="0"/>
                      <a:ext cx="5543071" cy="1543050"/>
                    </a:xfrm>
                    <a:prstGeom prst="rect">
                      <a:avLst/>
                    </a:prstGeom>
                    <a:ln w="12700" cap="flat">
                      <a:noFill/>
                      <a:miter lim="400000"/>
                    </a:ln>
                    <a:effectLst/>
                  </pic:spPr>
                </pic:pic>
              </a:graphicData>
            </a:graphic>
          </wp:inline>
        </w:drawing>
      </w:r>
    </w:p>
    <w:p>
      <w:pPr>
        <w:pStyle w:val="Cuerpo"/>
        <w:jc w:val="center"/>
        <w:rPr>
          <w:rStyle w:val="Ninguno"/>
          <w:b w:val="1"/>
          <w:bCs w:val="1"/>
        </w:rPr>
      </w:pPr>
      <w:r>
        <w:rPr>
          <w:rStyle w:val="Ninguno"/>
          <w:b w:val="1"/>
          <w:bCs w:val="1"/>
          <w:rtl w:val="0"/>
          <w:lang w:val="it-IT"/>
        </w:rPr>
        <w:t>Table 6: Regression model summary</w:t>
      </w:r>
    </w:p>
    <w:p>
      <w:pPr>
        <w:pStyle w:val="Cuerpo"/>
        <w:jc w:val="center"/>
        <w:rPr>
          <w:rStyle w:val="Ninguno"/>
        </w:rPr>
      </w:pPr>
      <w:r>
        <w:rPr>
          <w:rStyle w:val="Ninguno"/>
        </w:rPr>
        <w:drawing xmlns:a="http://schemas.openxmlformats.org/drawingml/2006/main">
          <wp:inline distT="0" distB="0" distL="0" distR="0">
            <wp:extent cx="5086350" cy="1809750"/>
            <wp:effectExtent l="0" t="0" r="0" b="0"/>
            <wp:docPr id="1073741836" name="officeArt object" descr="Picture 12"/>
            <wp:cNvGraphicFramePr/>
            <a:graphic xmlns:a="http://schemas.openxmlformats.org/drawingml/2006/main">
              <a:graphicData uri="http://schemas.openxmlformats.org/drawingml/2006/picture">
                <pic:pic xmlns:pic="http://schemas.openxmlformats.org/drawingml/2006/picture">
                  <pic:nvPicPr>
                    <pic:cNvPr id="1073741836" name="Picture 12" descr="Picture 12"/>
                    <pic:cNvPicPr>
                      <a:picLocks noChangeAspect="1"/>
                    </pic:cNvPicPr>
                  </pic:nvPicPr>
                  <pic:blipFill>
                    <a:blip r:embed="rId15">
                      <a:extLst/>
                    </a:blip>
                    <a:stretch>
                      <a:fillRect/>
                    </a:stretch>
                  </pic:blipFill>
                  <pic:spPr>
                    <a:xfrm>
                      <a:off x="0" y="0"/>
                      <a:ext cx="5086350" cy="1809750"/>
                    </a:xfrm>
                    <a:prstGeom prst="rect">
                      <a:avLst/>
                    </a:prstGeom>
                    <a:ln w="12700" cap="flat">
                      <a:noFill/>
                      <a:miter lim="400000"/>
                    </a:ln>
                    <a:effectLst/>
                  </pic:spPr>
                </pic:pic>
              </a:graphicData>
            </a:graphic>
          </wp:inline>
        </w:drawing>
      </w:r>
    </w:p>
    <w:p>
      <w:pPr>
        <w:pStyle w:val="Cuerpo"/>
        <w:jc w:val="center"/>
        <w:rPr>
          <w:rStyle w:val="Ninguno"/>
          <w:b w:val="1"/>
          <w:bCs w:val="1"/>
        </w:rPr>
      </w:pPr>
      <w:r>
        <w:rPr>
          <w:rStyle w:val="Ninguno"/>
          <w:b w:val="1"/>
          <w:bCs w:val="1"/>
          <w:rtl w:val="0"/>
          <w:lang w:val="en-US"/>
        </w:rPr>
        <w:t>Table 7: ANOVA results</w:t>
      </w:r>
    </w:p>
    <w:p>
      <w:pPr>
        <w:pStyle w:val="Cuerpo"/>
        <w:jc w:val="center"/>
        <w:rPr>
          <w:rStyle w:val="Ninguno"/>
          <w:b w:val="1"/>
          <w:bCs w:val="1"/>
        </w:rPr>
      </w:pPr>
      <w:r>
        <w:rPr>
          <w:rStyle w:val="Ninguno"/>
          <w:b w:val="1"/>
          <w:bCs w:val="1"/>
        </w:rPr>
        <w:drawing xmlns:a="http://schemas.openxmlformats.org/drawingml/2006/main">
          <wp:inline distT="0" distB="0" distL="0" distR="0">
            <wp:extent cx="5553075" cy="1990725"/>
            <wp:effectExtent l="0" t="0" r="0" b="0"/>
            <wp:docPr id="1073741837" name="officeArt object" descr="Picture 13"/>
            <wp:cNvGraphicFramePr/>
            <a:graphic xmlns:a="http://schemas.openxmlformats.org/drawingml/2006/main">
              <a:graphicData uri="http://schemas.openxmlformats.org/drawingml/2006/picture">
                <pic:pic xmlns:pic="http://schemas.openxmlformats.org/drawingml/2006/picture">
                  <pic:nvPicPr>
                    <pic:cNvPr id="1073741837" name="Picture 13" descr="Picture 13"/>
                    <pic:cNvPicPr>
                      <a:picLocks noChangeAspect="1"/>
                    </pic:cNvPicPr>
                  </pic:nvPicPr>
                  <pic:blipFill>
                    <a:blip r:embed="rId16">
                      <a:extLst/>
                    </a:blip>
                    <a:stretch>
                      <a:fillRect/>
                    </a:stretch>
                  </pic:blipFill>
                  <pic:spPr>
                    <a:xfrm>
                      <a:off x="0" y="0"/>
                      <a:ext cx="5553075" cy="1990725"/>
                    </a:xfrm>
                    <a:prstGeom prst="rect">
                      <a:avLst/>
                    </a:prstGeom>
                    <a:ln w="12700" cap="flat">
                      <a:noFill/>
                      <a:miter lim="400000"/>
                    </a:ln>
                    <a:effectLst/>
                  </pic:spPr>
                </pic:pic>
              </a:graphicData>
            </a:graphic>
          </wp:inline>
        </w:drawing>
      </w:r>
    </w:p>
    <w:p>
      <w:pPr>
        <w:pStyle w:val="Cuerpo"/>
        <w:jc w:val="center"/>
        <w:rPr>
          <w:rStyle w:val="Ninguno"/>
          <w:b w:val="1"/>
          <w:bCs w:val="1"/>
        </w:rPr>
      </w:pPr>
      <w:r>
        <w:rPr>
          <w:rStyle w:val="Ninguno"/>
          <w:b w:val="1"/>
          <w:bCs w:val="1"/>
          <w:rtl w:val="0"/>
          <w:lang w:val="en-US"/>
        </w:rPr>
        <w:t>Table 8: Regression coefficients of variables</w:t>
      </w:r>
    </w:p>
    <w:p>
      <w:pPr>
        <w:pStyle w:val="Cuerpo"/>
        <w:jc w:val="center"/>
        <w:rPr>
          <w:rStyle w:val="Ninguno"/>
          <w:b w:val="1"/>
          <w:bCs w:val="1"/>
        </w:rPr>
      </w:pPr>
      <w:r>
        <w:rPr>
          <w:rStyle w:val="Ninguno"/>
          <w:b w:val="1"/>
          <w:bCs w:val="1"/>
        </w:rPr>
        <w:drawing xmlns:a="http://schemas.openxmlformats.org/drawingml/2006/main">
          <wp:inline distT="0" distB="0" distL="0" distR="0">
            <wp:extent cx="5636896" cy="3971925"/>
            <wp:effectExtent l="0" t="0" r="0" b="0"/>
            <wp:docPr id="1073741838" name="officeArt object" descr="Picture 14"/>
            <wp:cNvGraphicFramePr/>
            <a:graphic xmlns:a="http://schemas.openxmlformats.org/drawingml/2006/main">
              <a:graphicData uri="http://schemas.openxmlformats.org/drawingml/2006/picture">
                <pic:pic xmlns:pic="http://schemas.openxmlformats.org/drawingml/2006/picture">
                  <pic:nvPicPr>
                    <pic:cNvPr id="1073741838" name="Picture 14" descr="Picture 14"/>
                    <pic:cNvPicPr>
                      <a:picLocks noChangeAspect="1"/>
                    </pic:cNvPicPr>
                  </pic:nvPicPr>
                  <pic:blipFill>
                    <a:blip r:embed="rId17">
                      <a:extLst/>
                    </a:blip>
                    <a:stretch>
                      <a:fillRect/>
                    </a:stretch>
                  </pic:blipFill>
                  <pic:spPr>
                    <a:xfrm>
                      <a:off x="0" y="0"/>
                      <a:ext cx="5636896" cy="3971925"/>
                    </a:xfrm>
                    <a:prstGeom prst="rect">
                      <a:avLst/>
                    </a:prstGeom>
                    <a:ln w="12700" cap="flat">
                      <a:noFill/>
                      <a:miter lim="400000"/>
                    </a:ln>
                    <a:effectLst/>
                  </pic:spPr>
                </pic:pic>
              </a:graphicData>
            </a:graphic>
          </wp:inline>
        </w:drawing>
      </w:r>
    </w:p>
    <w:p>
      <w:pPr>
        <w:pStyle w:val="Cuerpo"/>
        <w:jc w:val="center"/>
        <w:rPr>
          <w:rStyle w:val="Ninguno"/>
          <w:b w:val="1"/>
          <w:bCs w:val="1"/>
        </w:rPr>
      </w:pPr>
      <w:r>
        <w:rPr>
          <w:rStyle w:val="Ninguno"/>
          <w:b w:val="1"/>
          <w:bCs w:val="1"/>
          <w:rtl w:val="0"/>
          <w:lang w:val="en-US"/>
        </w:rPr>
        <w:t>Chart 5: Scatter plot of the regression model for predicting average rating</w:t>
      </w:r>
    </w:p>
    <w:p>
      <w:pPr>
        <w:pStyle w:val="Cuerpo"/>
        <w:rPr>
          <w:rStyle w:val="Ninguno"/>
        </w:rPr>
      </w:pPr>
      <w:r>
        <w:rPr>
          <w:rStyle w:val="Ninguno"/>
          <w:rtl w:val="0"/>
          <w:lang w:val="en-US"/>
        </w:rPr>
        <w:t xml:space="preserve">Regression analysis was conducted to develop a linear model which is able to predict the average score obtained by a film, based on several factors related to the movie such as run time, fans and likes. Table 6 summarises the overall aspects of the regression model, highlighting a weak and positive relationship between the chosen factors on predicting average score (r = + 0.3). The model is able to predict nearly 11% of the variations in average score obtained by the film. However, Table 8 shows that all the chosen factors (run time, likes, fans) have a significant relationship in determining the average score of the film. Chart 5 is a scatter depiction of the relationship between the model predictors (likes, fans, run time) on the average score of the film. </w:t>
      </w:r>
    </w:p>
    <w:p>
      <w:pPr>
        <w:pStyle w:val="Cuerpo"/>
        <w:jc w:val="center"/>
        <w:rPr>
          <w:rStyle w:val="Ninguno"/>
          <w:b w:val="1"/>
          <w:bCs w:val="1"/>
        </w:rPr>
      </w:pPr>
    </w:p>
    <w:p>
      <w:pPr>
        <w:pStyle w:val="Encabezamiento"/>
        <w:rPr>
          <w:rStyle w:val="Ninguno"/>
        </w:rPr>
      </w:pPr>
      <w:bookmarkStart w:name="_Toc7" w:id="11"/>
      <w:bookmarkStart w:name="_kruwdq7ouzeg" w:id="12"/>
      <w:bookmarkEnd w:id="12"/>
      <w:r>
        <w:rPr>
          <w:rStyle w:val="Ninguno"/>
          <w:rFonts w:cs="Arial Unicode MS" w:eastAsia="Arial Unicode MS"/>
          <w:rtl w:val="0"/>
        </w:rPr>
        <w:t>I</w:t>
      </w:r>
      <w:r>
        <w:rPr>
          <w:rStyle w:val="Ninguno"/>
          <w:rFonts w:cs="Arial Unicode MS" w:eastAsia="Arial Unicode MS"/>
          <w:rtl w:val="0"/>
          <w:lang w:val="en-US"/>
        </w:rPr>
        <w:t>nsights and Recommendations</w:t>
      </w:r>
      <w:bookmarkEnd w:id="11"/>
    </w:p>
    <w:p>
      <w:pPr>
        <w:pStyle w:val="Encabezam. 2"/>
      </w:pPr>
      <w:bookmarkStart w:name="_Toc8" w:id="13"/>
      <w:r>
        <w:rPr>
          <w:rStyle w:val="Ninguno"/>
          <w:rFonts w:cs="Arial Unicode MS" w:eastAsia="Arial Unicode MS"/>
          <w:rtl w:val="0"/>
          <w:lang w:val="en-US"/>
        </w:rPr>
        <w:t>Summarising the findings</w:t>
      </w:r>
      <w:bookmarkEnd w:id="13"/>
    </w:p>
    <w:p>
      <w:pPr>
        <w:pStyle w:val="List Paragraph"/>
        <w:numPr>
          <w:ilvl w:val="0"/>
          <w:numId w:val="4"/>
        </w:numPr>
        <w:bidi w:val="0"/>
        <w:ind w:right="0"/>
        <w:jc w:val="both"/>
        <w:rPr>
          <w:rtl w:val="0"/>
          <w:lang w:val="en-US"/>
        </w:rPr>
      </w:pPr>
      <w:r>
        <w:rPr>
          <w:rStyle w:val="Ninguno"/>
          <w:rtl w:val="0"/>
          <w:lang w:val="en-US"/>
        </w:rPr>
        <w:t xml:space="preserve">The average rating of the movies given in the Letterbox Movie Classification is 3.27 on a five-point scale with a standard deviation of 0.53. The typical runtime of the movie is 103 minutes (SD = 37.57), and the mean number of views obtained by the films is 175,592. </w:t>
      </w:r>
    </w:p>
    <w:p>
      <w:pPr>
        <w:pStyle w:val="List Paragraph"/>
        <w:numPr>
          <w:ilvl w:val="0"/>
          <w:numId w:val="4"/>
        </w:numPr>
        <w:bidi w:val="0"/>
        <w:ind w:right="0"/>
        <w:jc w:val="both"/>
        <w:rPr>
          <w:rtl w:val="0"/>
          <w:lang w:val="en-US"/>
        </w:rPr>
      </w:pPr>
      <w:r>
        <w:rPr>
          <w:rStyle w:val="Ninguno"/>
          <w:rtl w:val="0"/>
          <w:lang w:val="en-US"/>
        </w:rPr>
        <w:t xml:space="preserve">Trend analysis shows that the movies made in the English language dominate in aspects of overall number of views and overall fan count. This highlights the global popularity of English movies. Larger volumes of high-rated content include Slovakian, Armenian, Tamil and Turkish movies. On the other hand, movies made in Mongolian, Swahili, Lithuanian, Serbo-Croatian, Eastern Punjabi, and Albanian languages are lagging far behind on views and fan count. </w:t>
      </w:r>
    </w:p>
    <w:p>
      <w:pPr>
        <w:pStyle w:val="List Paragraph"/>
        <w:numPr>
          <w:ilvl w:val="0"/>
          <w:numId w:val="4"/>
        </w:numPr>
        <w:bidi w:val="0"/>
        <w:ind w:right="0"/>
        <w:jc w:val="both"/>
        <w:rPr>
          <w:rtl w:val="0"/>
          <w:lang w:val="en-US"/>
        </w:rPr>
      </w:pPr>
      <w:r>
        <w:rPr>
          <w:rStyle w:val="Ninguno"/>
          <w:rtl w:val="0"/>
          <w:lang w:val="en-US"/>
        </w:rPr>
        <w:t xml:space="preserve">There is a significant difference in average scores or ratings between non-English and English movies. Non-English movies, in general, outperforms English movies in terms of ratings.  </w:t>
      </w:r>
    </w:p>
    <w:p>
      <w:pPr>
        <w:pStyle w:val="List Paragraph"/>
        <w:numPr>
          <w:ilvl w:val="0"/>
          <w:numId w:val="4"/>
        </w:numPr>
        <w:bidi w:val="0"/>
        <w:ind w:right="0"/>
        <w:jc w:val="both"/>
        <w:rPr>
          <w:rtl w:val="0"/>
          <w:lang w:val="en-US"/>
        </w:rPr>
      </w:pPr>
      <w:r>
        <w:rPr>
          <w:rStyle w:val="Ninguno"/>
          <w:rtl w:val="0"/>
          <w:lang w:val="en-US"/>
        </w:rPr>
        <w:t xml:space="preserve">Correlation analysis shows a significant but weak correlation between runtime of the movie and the fan count. </w:t>
      </w:r>
    </w:p>
    <w:p>
      <w:pPr>
        <w:pStyle w:val="List Paragraph"/>
        <w:numPr>
          <w:ilvl w:val="0"/>
          <w:numId w:val="4"/>
        </w:numPr>
        <w:bidi w:val="0"/>
        <w:ind w:right="0"/>
        <w:jc w:val="both"/>
        <w:rPr>
          <w:rtl w:val="0"/>
          <w:lang w:val="en-US"/>
        </w:rPr>
      </w:pPr>
      <w:r>
        <w:rPr>
          <w:rStyle w:val="Ninguno"/>
          <w:rtl w:val="0"/>
          <w:lang w:val="en-US"/>
        </w:rPr>
        <w:t xml:space="preserve">Regression analysis shows that factors or predictors like runtime, likes obtained by a movie, and the fan count significantly influence the average score obtained by a movie. These factors are able to explain nearly 11% of the variations in ratings obtained. </w:t>
      </w:r>
    </w:p>
    <w:p>
      <w:pPr>
        <w:pStyle w:val="Encabezam. 2"/>
      </w:pPr>
      <w:bookmarkStart w:name="_Toc9" w:id="14"/>
      <w:r>
        <w:rPr>
          <w:rStyle w:val="Ninguno"/>
          <w:rFonts w:cs="Arial Unicode MS" w:eastAsia="Arial Unicode MS"/>
          <w:rtl w:val="0"/>
          <w:lang w:val="en-US"/>
        </w:rPr>
        <w:t>Data-driven recommendations</w:t>
      </w:r>
      <w:bookmarkEnd w:id="14"/>
    </w:p>
    <w:p>
      <w:pPr>
        <w:pStyle w:val="List Paragraph"/>
        <w:numPr>
          <w:ilvl w:val="0"/>
          <w:numId w:val="6"/>
        </w:numPr>
        <w:bidi w:val="0"/>
        <w:ind w:right="0"/>
        <w:jc w:val="both"/>
        <w:rPr>
          <w:rtl w:val="0"/>
          <w:lang w:val="en-US"/>
        </w:rPr>
      </w:pPr>
      <w:r>
        <w:rPr>
          <w:rStyle w:val="Ninguno"/>
          <w:rtl w:val="0"/>
          <w:lang w:val="en-US"/>
        </w:rPr>
        <w:t xml:space="preserve">While films in non-English languages often receive higher average ratings than English movies, English movies dominate viewership and fan-base. Therefore, a wiser step would be making films made in non-English languages more accessible to the wider audience due to their superior quality and providing subtitles in the English language due to its popularity and more engagement. </w:t>
      </w:r>
    </w:p>
    <w:p>
      <w:pPr>
        <w:pStyle w:val="List Paragraph"/>
        <w:numPr>
          <w:ilvl w:val="0"/>
          <w:numId w:val="6"/>
        </w:numPr>
        <w:bidi w:val="0"/>
        <w:ind w:right="0"/>
        <w:jc w:val="both"/>
        <w:rPr>
          <w:rtl w:val="0"/>
          <w:lang w:val="en-US"/>
        </w:rPr>
      </w:pPr>
      <w:r>
        <w:rPr>
          <w:rStyle w:val="Ninguno"/>
          <w:rtl w:val="0"/>
          <w:lang w:val="en-US"/>
        </w:rPr>
        <w:t xml:space="preserve">Typically, the film length should be around 90 minutes to 120 minutes based on the runtime analysis for a good viewership and engagement. Optimal viewing window and genre-based segmentation of runtimes need to be analysed to increase fan count for less popular non-English language films. </w:t>
      </w:r>
    </w:p>
    <w:p>
      <w:pPr>
        <w:pStyle w:val="List Paragraph"/>
        <w:numPr>
          <w:ilvl w:val="0"/>
          <w:numId w:val="6"/>
        </w:numPr>
        <w:bidi w:val="0"/>
        <w:ind w:right="0"/>
        <w:jc w:val="both"/>
        <w:rPr>
          <w:rtl w:val="0"/>
          <w:lang w:val="en-US"/>
        </w:rPr>
      </w:pPr>
      <w:r>
        <w:rPr>
          <w:rStyle w:val="Ninguno"/>
          <w:rtl w:val="0"/>
          <w:lang w:val="en-US"/>
        </w:rPr>
        <w:t xml:space="preserve">Monitoring and analysing metrics such as runtime, likes and fan counts must be done constantly to boost user experience of films.  </w:t>
      </w:r>
    </w:p>
    <w:p>
      <w:pPr>
        <w:pStyle w:val="Encabezam. 2"/>
      </w:pPr>
      <w:bookmarkStart w:name="_Toc10" w:id="15"/>
      <w:r>
        <w:rPr>
          <w:rStyle w:val="Ninguno"/>
          <w:rFonts w:cs="Arial Unicode MS" w:eastAsia="Arial Unicode MS"/>
          <w:rtl w:val="0"/>
          <w:lang w:val="en-US"/>
        </w:rPr>
        <w:t>Study limitations</w:t>
      </w:r>
      <w:bookmarkEnd w:id="15"/>
    </w:p>
    <w:p>
      <w:pPr>
        <w:pStyle w:val="Cuerpo"/>
      </w:pPr>
      <w:r>
        <w:rPr>
          <w:rStyle w:val="Ninguno"/>
          <w:rtl w:val="0"/>
          <w:lang w:val="en-US"/>
        </w:rPr>
        <w:t xml:space="preserve">While metrics such as watches, likes and fans provide a superior quality of analysis in quantitative papers, these metrics are not adequate to understand the personal nuances of viewer appreciation or the causes behind the user providing a higher or lower rating to a particular movie. </w:t>
      </w:r>
    </w:p>
    <w:p>
      <w:pPr>
        <w:pStyle w:val="Cuerpo"/>
        <w:rPr>
          <w:rStyle w:val="Ninguno"/>
        </w:rPr>
      </w:pPr>
    </w:p>
    <w:p>
      <w:pPr>
        <w:pStyle w:val="Cuerpo"/>
      </w:pPr>
      <w:bookmarkStart w:name="_w72vxdptpfjg" w:id="16"/>
      <w:bookmarkEnd w:id="16"/>
      <w:r>
        <w:rPr>
          <w:rStyle w:val="Ninguno"/>
          <w:rFonts w:ascii="Arial Unicode MS" w:cs="Arial Unicode MS" w:hAnsi="Arial Unicode MS" w:eastAsia="Arial Unicode MS"/>
          <w:b w:val="0"/>
          <w:bCs w:val="0"/>
          <w:i w:val="0"/>
          <w:iCs w:val="0"/>
        </w:rPr>
        <w:br w:type="page"/>
      </w:r>
    </w:p>
    <w:p>
      <w:pPr>
        <w:pStyle w:val="Encabezamiento"/>
        <w:rPr>
          <w:rStyle w:val="Ninguno"/>
        </w:rPr>
      </w:pPr>
      <w:bookmarkStart w:name="_Toc11" w:id="17"/>
      <w:r>
        <w:rPr>
          <w:rStyle w:val="Ninguno"/>
          <w:rFonts w:cs="Arial Unicode MS" w:eastAsia="Arial Unicode MS"/>
          <w:rtl w:val="0"/>
          <w:lang w:val="fr-FR"/>
        </w:rPr>
        <w:t>Reference</w:t>
      </w:r>
      <w:bookmarkEnd w:id="17"/>
    </w:p>
    <w:p>
      <w:pPr>
        <w:pStyle w:val="Cuerpo"/>
        <w:rPr>
          <w:rStyle w:val="Ninguno"/>
        </w:rPr>
      </w:pPr>
      <w:r>
        <w:rPr>
          <w:rStyle w:val="Ninguno"/>
          <w:rtl w:val="0"/>
          <w:lang w:val="en-US"/>
        </w:rPr>
        <w:t>Kent State University. (2021). LibGuides: SPSS Tutorials: Getting Started with SPSS. [online] libguides.library.kent.edu. Available at: https://libguides.library.kent.edu/SPSS/GettingStarted.</w:t>
      </w:r>
    </w:p>
    <w:p>
      <w:pPr>
        <w:pStyle w:val="Cuerpo"/>
        <w:rPr>
          <w:rStyle w:val="Ninguno"/>
        </w:rPr>
      </w:pPr>
      <w:r>
        <w:rPr>
          <w:rStyle w:val="Ninguno"/>
          <w:rtl w:val="0"/>
          <w:lang w:val="en-US"/>
        </w:rPr>
        <w:t xml:space="preserve">Medium. (2024). Handling missing values in dataset </w:t>
      </w:r>
      <w:r>
        <w:rPr>
          <w:rStyle w:val="Ninguno"/>
          <w:rtl w:val="0"/>
          <w:lang w:val="en-US"/>
        </w:rPr>
        <w:t xml:space="preserve">— </w:t>
      </w:r>
      <w:r>
        <w:rPr>
          <w:rStyle w:val="Ninguno"/>
          <w:rtl w:val="0"/>
          <w:lang w:val="en-US"/>
        </w:rPr>
        <w:t>7 methods that you need to know. [online] Medium. Available at: https://medium.com/@pingsubhak/handling-missing-values-in-dataset-7-methods-that-you-need-to-know-5067d4e32b62.</w:t>
      </w:r>
    </w:p>
    <w:p>
      <w:pPr>
        <w:pStyle w:val="Cuerpo"/>
        <w:rPr>
          <w:rStyle w:val="Ninguno"/>
        </w:rPr>
      </w:pPr>
      <w:r>
        <w:rPr>
          <w:rStyle w:val="Ninguno"/>
          <w:rtl w:val="0"/>
          <w:lang w:val="en-US"/>
        </w:rPr>
        <w:t>Microsoft. (2025). Analyze Data in Excel. [online] support.microsoft.com. Available at: https://support.microsoft.com/en-us/office/analyze-data-in-excel-3223aab8-f543-4fda-85ed-76bb0295ffc4.</w:t>
      </w:r>
    </w:p>
    <w:p>
      <w:pPr>
        <w:pStyle w:val="Cuerpo"/>
        <w:rPr>
          <w:rStyle w:val="Ninguno"/>
        </w:rPr>
      </w:pPr>
      <w:r>
        <w:rPr>
          <w:rStyle w:val="Ninguno"/>
          <w:rtl w:val="0"/>
          <w:lang w:val="en-US"/>
        </w:rPr>
        <w:t>Simpli Learn. (2021). A Step by Step Guide on How to Sort Data in Excel. [online] Available at: https://www.simplilearn.com/tutorials/excel-tutorial/how-to-sort-data-in-excel.</w:t>
      </w:r>
    </w:p>
    <w:p>
      <w:pPr>
        <w:pStyle w:val="Cuerpo"/>
        <w:rPr>
          <w:rStyle w:val="Ninguno"/>
        </w:rPr>
      </w:pPr>
      <w:r>
        <w:rPr>
          <w:rStyle w:val="Ninguno"/>
          <w:rtl w:val="0"/>
          <w:lang w:val="en-US"/>
        </w:rPr>
        <w:t>University of Michigan. (2025). Research Guides: Using Microsoft Excel: Filtering and Sorting Data. [online] guides.lib.umich.edu. Available at: https://guides.lib.umich.edu/c.php?g=283162&amp;p=1886445.</w:t>
      </w:r>
    </w:p>
    <w:p>
      <w:pPr>
        <w:pStyle w:val="Cuerpo"/>
        <w:rPr>
          <w:rStyle w:val="Ninguno"/>
        </w:rPr>
      </w:pPr>
    </w:p>
    <w:p>
      <w:pPr>
        <w:pStyle w:val="Cuerpo"/>
        <w:rPr>
          <w:rStyle w:val="Ninguno"/>
        </w:rPr>
      </w:pPr>
      <w:r>
        <w:rPr>
          <w:rStyle w:val="Ninguno"/>
          <w:rtl w:val="1"/>
        </w:rPr>
        <w:t>‌</w:t>
      </w:r>
    </w:p>
    <w:p>
      <w:pPr>
        <w:pStyle w:val="Cuerpo"/>
        <w:rPr>
          <w:rStyle w:val="Ninguno"/>
        </w:rPr>
      </w:pPr>
      <w:r>
        <w:rPr>
          <w:rStyle w:val="Ninguno"/>
          <w:rtl w:val="1"/>
        </w:rPr>
        <w:t>‌</w:t>
      </w:r>
    </w:p>
    <w:p>
      <w:pPr>
        <w:pStyle w:val="Cuerpo"/>
        <w:rPr>
          <w:rStyle w:val="Ninguno"/>
        </w:rPr>
      </w:pPr>
      <w:r>
        <w:rPr>
          <w:rStyle w:val="Ninguno"/>
          <w:rtl w:val="1"/>
        </w:rPr>
        <w:t>‌</w:t>
      </w:r>
    </w:p>
    <w:p>
      <w:pPr>
        <w:pStyle w:val="Cuerpo"/>
        <w:rPr>
          <w:rStyle w:val="Ninguno"/>
        </w:rPr>
      </w:pPr>
      <w:r>
        <w:rPr>
          <w:rStyle w:val="Ninguno"/>
          <w:rtl w:val="1"/>
        </w:rPr>
        <w:t>‌</w:t>
      </w:r>
    </w:p>
    <w:p>
      <w:pPr>
        <w:pStyle w:val="Cuerpo"/>
        <w:rPr>
          <w:rStyle w:val="Ninguno"/>
        </w:rPr>
      </w:pPr>
      <w:r>
        <w:rPr>
          <w:rStyle w:val="Ninguno"/>
          <w:rtl w:val="1"/>
        </w:rPr>
        <w:t>‌</w:t>
      </w:r>
    </w:p>
    <w:p>
      <w:pPr>
        <w:pStyle w:val="Cuerpo"/>
        <w:rPr>
          <w:rStyle w:val="Ninguno"/>
        </w:rPr>
      </w:pPr>
    </w:p>
    <w:p>
      <w:pPr>
        <w:pStyle w:val="Cuerpo"/>
        <w:rPr>
          <w:rStyle w:val="Ninguno"/>
        </w:rPr>
      </w:pPr>
    </w:p>
    <w:p>
      <w:pPr>
        <w:pStyle w:val="Cuerpo"/>
        <w:rPr>
          <w:rStyle w:val="Ninguno"/>
        </w:rPr>
      </w:pPr>
    </w:p>
    <w:p>
      <w:pPr>
        <w:pStyle w:val="Cuerpo"/>
        <w:rPr>
          <w:rStyle w:val="Ninguno"/>
        </w:rPr>
      </w:pPr>
      <w:r>
        <w:rPr>
          <w:rStyle w:val="Ninguno"/>
          <w:rtl w:val="1"/>
        </w:rPr>
        <w:t>‌</w:t>
      </w:r>
    </w:p>
    <w:p>
      <w:pPr>
        <w:pStyle w:val="Cuerpo"/>
        <w:rPr>
          <w:rStyle w:val="Ninguno"/>
        </w:rPr>
      </w:pPr>
    </w:p>
    <w:p>
      <w:pPr>
        <w:pStyle w:val="Cuerpo"/>
        <w:rPr>
          <w:rStyle w:val="Ninguno"/>
        </w:rPr>
      </w:pPr>
      <w:r>
        <w:rPr>
          <w:rStyle w:val="Ninguno"/>
          <w:rtl w:val="1"/>
        </w:rPr>
        <w:t>‌</w:t>
      </w:r>
    </w:p>
    <w:p>
      <w:pPr>
        <w:pStyle w:val="Cuerpo"/>
        <w:rPr>
          <w:rStyle w:val="Ninguno"/>
        </w:rPr>
      </w:pPr>
    </w:p>
    <w:p>
      <w:pPr>
        <w:pStyle w:val="Cuerpo"/>
        <w:rPr>
          <w:rStyle w:val="Ninguno"/>
        </w:rPr>
      </w:pPr>
    </w:p>
    <w:p>
      <w:pPr>
        <w:pStyle w:val="Cuerpo"/>
      </w:pPr>
      <w:r>
        <w:rPr>
          <w:rStyle w:val="Ninguno"/>
          <w:rtl w:val="1"/>
        </w:rPr>
        <w:t>‌</w:t>
      </w:r>
    </w:p>
    <w:sectPr>
      <w:headerReference w:type="default" r:id="rId18"/>
      <w:footerReference w:type="default" r:id="rId19"/>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right"/>
    </w:pPr>
    <w:r>
      <w:rPr>
        <w:rStyle w:val="Ninguno"/>
        <w:rtl w:val="0"/>
      </w:rPr>
      <w:fldChar w:fldCharType="begin" w:fldLock="0"/>
    </w:r>
    <w:r>
      <w:rPr>
        <w:rStyle w:val="Ninguno"/>
        <w:rtl w:val="0"/>
      </w:rPr>
      <w:instrText xml:space="preserve"> PAGE </w:instrText>
    </w:r>
    <w:r>
      <w:rPr>
        <w:rStyle w:val="Ninguno"/>
        <w:rtl w:val="0"/>
      </w:rPr>
      <w:fldChar w:fldCharType="separate" w:fldLock="0"/>
    </w:r>
    <w:r>
      <w:rPr>
        <w:rStyle w:val="Ninguno"/>
        <w:rtl w:val="0"/>
      </w:rPr>
    </w:r>
    <w:r>
      <w:rPr>
        <w:rStyle w:val="Ninguno"/>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Cabecera y pie"/>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Estilo importado 1"/>
  </w:abstractNum>
  <w:abstractNum w:abstractNumId="1">
    <w:multiLevelType w:val="hybridMultilevel"/>
    <w:styleLink w:val="Estilo importado 1"/>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Estilo importado 2"/>
  </w:abstractNum>
  <w:abstractNum w:abstractNumId="3">
    <w:multiLevelType w:val="hybridMultilevel"/>
    <w:styleLink w:val="Estilo importado 2"/>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Estilo importado 3"/>
  </w:abstractNum>
  <w:abstractNum w:abstractNumId="5">
    <w:multiLevelType w:val="hybridMultilevel"/>
    <w:styleLink w:val="Estilo importado 3"/>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spañol" w:val="‘“(〔[{〈《「『【⦅〘〖«〝︵︷︹︻︽︿﹁﹃﹇﹙﹛﹝｢"/>
  <w:noLineBreaksBefore w:lang="español"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Cabecera y pie">
    <w:name w:val="Cabecera y pie"/>
    <w:next w:val="Cabecera y pie"/>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both"/>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Ninguno">
    <w:name w:val="Ninguno"/>
  </w:style>
  <w:style w:type="paragraph" w:styleId="Title">
    <w:name w:val="Title"/>
    <w:next w:val="Cuerpo"/>
    <w:pPr>
      <w:keepNext w:val="1"/>
      <w:keepLines w:val="1"/>
      <w:pageBreakBefore w:val="0"/>
      <w:widowControl w:val="1"/>
      <w:shd w:val="clear" w:color="auto" w:fill="auto"/>
      <w:suppressAutoHyphens w:val="0"/>
      <w:bidi w:val="0"/>
      <w:spacing w:before="0" w:after="60" w:line="360" w:lineRule="auto"/>
      <w:ind w:left="0" w:right="0" w:firstLine="0"/>
      <w:jc w:val="center"/>
      <w:outlineLvl w:val="9"/>
    </w:pPr>
    <w:rPr>
      <w:rFonts w:ascii="Arial" w:cs="Arial Unicode MS" w:hAnsi="Arial" w:eastAsia="Arial Unicode MS"/>
      <w:b w:val="1"/>
      <w:bCs w:val="1"/>
      <w:i w:val="0"/>
      <w:iCs w:val="0"/>
      <w:caps w:val="0"/>
      <w:smallCaps w:val="0"/>
      <w:strike w:val="0"/>
      <w:dstrike w:val="0"/>
      <w:outline w:val="0"/>
      <w:color w:val="000000"/>
      <w:spacing w:val="0"/>
      <w:kern w:val="0"/>
      <w:position w:val="0"/>
      <w:sz w:val="32"/>
      <w:szCs w:val="32"/>
      <w:u w:val="single" w:color="000000"/>
      <w:shd w:val="nil" w:color="auto" w:fill="auto"/>
      <w:vertAlign w:val="baseline"/>
      <w:lang w:val="en-US"/>
      <w14:textFill>
        <w14:solidFill>
          <w14:srgbClr w14:val="000000"/>
        </w14:solidFill>
      </w14:textFill>
    </w:rPr>
  </w:style>
  <w:style w:type="paragraph" w:styleId="Cuerpo">
    <w:name w:val="Cuerpo"/>
    <w:next w:val="Cuerpo"/>
    <w:pPr>
      <w:keepNext w:val="0"/>
      <w:keepLines w:val="0"/>
      <w:pageBreakBefore w:val="0"/>
      <w:widowControl w:val="1"/>
      <w:shd w:val="clear" w:color="auto" w:fill="auto"/>
      <w:suppressAutoHyphens w:val="0"/>
      <w:bidi w:val="0"/>
      <w:spacing w:before="0" w:after="0" w:line="360" w:lineRule="auto"/>
      <w:ind w:left="0" w:right="0" w:firstLine="0"/>
      <w:jc w:val="both"/>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TOC Heading">
    <w:name w:val="TOC Heading"/>
    <w:next w:val="Cuerpo"/>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360" w:lineRule="auto"/>
      <w:ind w:left="24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Encabezam. 2">
    <w:name w:val="Encabezam. 2"/>
    <w:next w:val="Cuerpo"/>
    <w:pPr>
      <w:keepNext w:val="1"/>
      <w:keepLines w:val="1"/>
      <w:pageBreakBefore w:val="0"/>
      <w:widowControl w:val="1"/>
      <w:shd w:val="clear" w:color="auto" w:fill="auto"/>
      <w:suppressAutoHyphens w:val="0"/>
      <w:bidi w:val="0"/>
      <w:spacing w:before="360" w:after="120" w:line="360" w:lineRule="auto"/>
      <w:ind w:left="0" w:right="0" w:firstLine="0"/>
      <w:jc w:val="both"/>
      <w:outlineLvl w:val="0"/>
    </w:pPr>
    <w:rPr>
      <w:rFonts w:ascii="Arial" w:cs="Arial" w:hAnsi="Arial" w:eastAsia="Arial"/>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Encabezamiento">
    <w:name w:val="Encabezamiento"/>
    <w:next w:val="Cuerpo"/>
    <w:pPr>
      <w:keepNext w:val="1"/>
      <w:keepLines w:val="1"/>
      <w:pageBreakBefore w:val="0"/>
      <w:widowControl w:val="1"/>
      <w:shd w:val="clear" w:color="auto" w:fill="auto"/>
      <w:suppressAutoHyphens w:val="0"/>
      <w:bidi w:val="0"/>
      <w:spacing w:before="400" w:after="120" w:line="360" w:lineRule="auto"/>
      <w:ind w:left="0" w:right="0" w:firstLine="0"/>
      <w:jc w:val="both"/>
      <w:outlineLvl w:val="1"/>
    </w:pPr>
    <w:rPr>
      <w:rFonts w:ascii="Arial" w:cs="Arial" w:hAnsi="Arial" w:eastAsia="Arial"/>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360" w:lineRule="auto"/>
      <w:ind w:left="720" w:right="0" w:firstLine="0"/>
      <w:jc w:val="both"/>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numbering" w:styleId="Estilo importado 1">
    <w:name w:val="Estilo importado 1"/>
    <w:pPr>
      <w:numPr>
        <w:numId w:val="1"/>
      </w:numPr>
    </w:pPr>
  </w:style>
  <w:style w:type="numbering" w:styleId="Estilo importado 2">
    <w:name w:val="Estilo importado 2"/>
    <w:pPr>
      <w:numPr>
        <w:numId w:val="3"/>
      </w:numPr>
    </w:pPr>
  </w:style>
  <w:style w:type="numbering" w:styleId="Estilo importado 3">
    <w:name w:val="Estilo importado 3"/>
    <w:pPr>
      <w:numPr>
        <w:numId w:val="5"/>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image" Target="media/image10.png"/><Relationship Id="rId14" Type="http://schemas.openxmlformats.org/officeDocument/2006/relationships/image" Target="media/image11.png"/><Relationship Id="rId15" Type="http://schemas.openxmlformats.org/officeDocument/2006/relationships/image" Target="media/image12.png"/><Relationship Id="rId16" Type="http://schemas.openxmlformats.org/officeDocument/2006/relationships/image" Target="media/image13.png"/><Relationship Id="rId17" Type="http://schemas.openxmlformats.org/officeDocument/2006/relationships/image" Target="media/image14.png"/><Relationship Id="rId18" Type="http://schemas.openxmlformats.org/officeDocument/2006/relationships/header" Target="header1.xml"/><Relationship Id="rId19" Type="http://schemas.openxmlformats.org/officeDocument/2006/relationships/footer" Target="footer1.xml"/><Relationship Id="rId20" Type="http://schemas.openxmlformats.org/officeDocument/2006/relationships/numbering" Target="numbering.xml"/><Relationship Id="rId2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