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B19DE4" w14:textId="77777777" w:rsidR="00321D08" w:rsidRDefault="00321D08">
      <w:pPr>
        <w:pStyle w:val="Normal1"/>
      </w:pPr>
      <w:r>
        <w:rPr>
          <w:noProof/>
        </w:rPr>
        <w:drawing>
          <wp:inline distT="0" distB="0" distL="0" distR="0" wp14:anchorId="2ACAE36C" wp14:editId="44836938">
            <wp:extent cx="3638550" cy="1924050"/>
            <wp:effectExtent l="0" t="0" r="0" b="0"/>
            <wp:docPr id="527614896"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527614896" descr="Text&#10;&#10;Description automatically generated"/>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3638550" cy="1924050"/>
                    </a:xfrm>
                    <a:prstGeom prst="rect">
                      <a:avLst/>
                    </a:prstGeom>
                  </pic:spPr>
                </pic:pic>
              </a:graphicData>
            </a:graphic>
          </wp:inline>
        </w:drawing>
      </w:r>
    </w:p>
    <w:p w14:paraId="486C20FE" w14:textId="77777777" w:rsidR="00321D08" w:rsidRDefault="00321D08">
      <w:pPr>
        <w:pStyle w:val="Normal1"/>
      </w:pPr>
    </w:p>
    <w:p w14:paraId="09002648" w14:textId="77777777" w:rsidR="00321D08" w:rsidRDefault="00321D08">
      <w:pPr>
        <w:pStyle w:val="Normal1"/>
      </w:pPr>
    </w:p>
    <w:p w14:paraId="74259184" w14:textId="77777777" w:rsidR="00321D08" w:rsidRDefault="00321D08">
      <w:pPr>
        <w:pStyle w:val="Normal1"/>
      </w:pPr>
    </w:p>
    <w:p w14:paraId="6DCD4D01" w14:textId="77777777" w:rsidR="00321D08" w:rsidRDefault="00321D08">
      <w:pPr>
        <w:pStyle w:val="Normal1"/>
      </w:pPr>
    </w:p>
    <w:p w14:paraId="1E1369F0" w14:textId="77777777" w:rsidR="00321D08" w:rsidRDefault="00321D08">
      <w:pPr>
        <w:pStyle w:val="Normal1"/>
      </w:pPr>
    </w:p>
    <w:p w14:paraId="020B4DCF" w14:textId="77777777" w:rsidR="00321D08" w:rsidRDefault="00321D08">
      <w:pPr>
        <w:pStyle w:val="Normal1"/>
      </w:pPr>
    </w:p>
    <w:p w14:paraId="5AC0E629" w14:textId="77777777" w:rsidR="00321D08" w:rsidRDefault="00321D08">
      <w:pPr>
        <w:pStyle w:val="Normal1"/>
      </w:pPr>
    </w:p>
    <w:p w14:paraId="0C246E7F" w14:textId="77777777" w:rsidR="00321D08" w:rsidRDefault="00321D08">
      <w:pPr>
        <w:pStyle w:val="Normal1"/>
      </w:pPr>
    </w:p>
    <w:p w14:paraId="2E2BE3F4" w14:textId="77777777" w:rsidR="00321D08" w:rsidRDefault="00321D08">
      <w:pPr>
        <w:pStyle w:val="Normal1"/>
      </w:pPr>
    </w:p>
    <w:p w14:paraId="31327FED" w14:textId="77777777" w:rsidR="00321D08" w:rsidRDefault="00321D08" w:rsidP="00321D08">
      <w:pPr>
        <w:shd w:val="clear" w:color="auto" w:fill="FFFFFF"/>
        <w:spacing w:line="240" w:lineRule="auto"/>
        <w:rPr>
          <w:b/>
          <w:bCs/>
          <w:color w:val="222222"/>
          <w:sz w:val="28"/>
          <w:szCs w:val="28"/>
          <w:lang w:val="en-GB" w:eastAsia="en-GB"/>
        </w:rPr>
      </w:pPr>
      <w:r>
        <w:rPr>
          <w:b/>
          <w:bCs/>
          <w:color w:val="222222"/>
          <w:sz w:val="28"/>
          <w:szCs w:val="28"/>
          <w:lang w:val="en-GB" w:eastAsia="en-GB"/>
        </w:rPr>
        <w:t>Name: Alina Don</w:t>
      </w:r>
    </w:p>
    <w:p w14:paraId="796269B5" w14:textId="77777777" w:rsidR="00321D08" w:rsidRDefault="00321D08" w:rsidP="00321D08">
      <w:pPr>
        <w:shd w:val="clear" w:color="auto" w:fill="FFFFFF"/>
        <w:spacing w:line="240" w:lineRule="auto"/>
        <w:rPr>
          <w:b/>
          <w:bCs/>
          <w:color w:val="222222"/>
          <w:sz w:val="28"/>
          <w:szCs w:val="28"/>
          <w:lang w:val="en-GB" w:eastAsia="en-GB"/>
        </w:rPr>
      </w:pPr>
      <w:r>
        <w:rPr>
          <w:b/>
          <w:bCs/>
          <w:color w:val="222222"/>
          <w:sz w:val="28"/>
          <w:szCs w:val="28"/>
          <w:lang w:val="en-GB" w:eastAsia="en-GB"/>
        </w:rPr>
        <w:t>Student ID: 2209918</w:t>
      </w:r>
    </w:p>
    <w:p w14:paraId="4F7E30F3" w14:textId="77777777" w:rsidR="00321D08" w:rsidRDefault="00321D08" w:rsidP="00321D08">
      <w:pPr>
        <w:shd w:val="clear" w:color="auto" w:fill="FFFFFF"/>
        <w:spacing w:line="240" w:lineRule="auto"/>
        <w:rPr>
          <w:b/>
          <w:bCs/>
          <w:color w:val="222222"/>
          <w:sz w:val="28"/>
          <w:szCs w:val="28"/>
          <w:lang w:val="en-GB" w:eastAsia="en-GB"/>
        </w:rPr>
      </w:pPr>
      <w:r>
        <w:rPr>
          <w:b/>
          <w:bCs/>
          <w:color w:val="222222"/>
          <w:sz w:val="28"/>
          <w:szCs w:val="28"/>
          <w:lang w:val="en-GB" w:eastAsia="en-GB"/>
        </w:rPr>
        <w:t>Module code: LCBB4001</w:t>
      </w:r>
    </w:p>
    <w:p w14:paraId="3728BF35" w14:textId="77777777" w:rsidR="00321D08" w:rsidRDefault="00321D08" w:rsidP="00321D08">
      <w:pPr>
        <w:shd w:val="clear" w:color="auto" w:fill="FFFFFF"/>
        <w:spacing w:line="240" w:lineRule="auto"/>
        <w:rPr>
          <w:b/>
          <w:bCs/>
          <w:color w:val="222222"/>
          <w:sz w:val="28"/>
          <w:szCs w:val="28"/>
          <w:lang w:val="en-GB" w:eastAsia="en-GB"/>
        </w:rPr>
      </w:pPr>
      <w:r>
        <w:rPr>
          <w:b/>
          <w:bCs/>
          <w:color w:val="222222"/>
          <w:sz w:val="28"/>
          <w:szCs w:val="28"/>
          <w:lang w:val="en-GB" w:eastAsia="en-GB"/>
        </w:rPr>
        <w:t>Module name: Accounting Fundamentals</w:t>
      </w:r>
    </w:p>
    <w:p w14:paraId="313C216E" w14:textId="77777777" w:rsidR="00321D08" w:rsidRDefault="00321D08" w:rsidP="00321D08">
      <w:pPr>
        <w:shd w:val="clear" w:color="auto" w:fill="FFFFFF"/>
        <w:spacing w:line="240" w:lineRule="auto"/>
        <w:rPr>
          <w:b/>
          <w:bCs/>
          <w:color w:val="222222"/>
          <w:sz w:val="28"/>
          <w:szCs w:val="28"/>
          <w:lang w:val="en-GB" w:eastAsia="en-GB"/>
        </w:rPr>
      </w:pPr>
      <w:r>
        <w:rPr>
          <w:b/>
          <w:bCs/>
          <w:color w:val="222222"/>
          <w:sz w:val="28"/>
          <w:szCs w:val="28"/>
          <w:lang w:val="en-GB" w:eastAsia="en-GB"/>
        </w:rPr>
        <w:t xml:space="preserve">Lecturer: Ivana </w:t>
      </w:r>
      <w:proofErr w:type="spellStart"/>
      <w:r>
        <w:rPr>
          <w:b/>
          <w:bCs/>
          <w:color w:val="222222"/>
          <w:sz w:val="28"/>
          <w:szCs w:val="28"/>
          <w:lang w:val="en-GB" w:eastAsia="en-GB"/>
        </w:rPr>
        <w:t>Rozic</w:t>
      </w:r>
      <w:proofErr w:type="spellEnd"/>
    </w:p>
    <w:p w14:paraId="6ADB563F" w14:textId="77777777" w:rsidR="00321D08" w:rsidRDefault="00321D08" w:rsidP="00321D08">
      <w:pPr>
        <w:pStyle w:val="Normal1"/>
      </w:pPr>
      <w:r>
        <w:br w:type="page"/>
      </w:r>
    </w:p>
    <w:p w14:paraId="7907FBBB" w14:textId="77777777" w:rsidR="00321D08" w:rsidRDefault="00321D08">
      <w:pPr>
        <w:pStyle w:val="Normal1"/>
      </w:pPr>
    </w:p>
    <w:p w14:paraId="2368EB3D" w14:textId="24990A70" w:rsidR="00A016DE" w:rsidRPr="00321D08" w:rsidRDefault="00321D08" w:rsidP="00321D08">
      <w:pPr>
        <w:pStyle w:val="Normal1"/>
      </w:pPr>
      <w:r>
        <w:t xml:space="preserve">                                                      </w:t>
      </w:r>
      <w:r w:rsidR="00000000">
        <w:rPr>
          <w:b/>
        </w:rPr>
        <w:t xml:space="preserve">Table of content </w:t>
      </w:r>
    </w:p>
    <w:sdt>
      <w:sdtPr>
        <w:id w:val="393691125"/>
        <w:docPartObj>
          <w:docPartGallery w:val="Table of Contents"/>
          <w:docPartUnique/>
        </w:docPartObj>
      </w:sdtPr>
      <w:sdtContent>
        <w:p w14:paraId="0B154F4A" w14:textId="77777777" w:rsidR="00A016DE" w:rsidRDefault="00000000">
          <w:pPr>
            <w:pStyle w:val="Normal1"/>
            <w:widowControl w:val="0"/>
            <w:tabs>
              <w:tab w:val="right" w:pos="9360"/>
            </w:tabs>
            <w:spacing w:before="60"/>
            <w:rPr>
              <w:color w:val="000000"/>
            </w:rPr>
          </w:pPr>
          <w:r>
            <w:fldChar w:fldCharType="begin"/>
          </w:r>
          <w:r>
            <w:instrText xml:space="preserve"> TOC \h \u \z \t "Heading 1,1,Heading 2,2,Heading 3,3,Heading 4,4,Heading 5,5,Heading 6,6,"</w:instrText>
          </w:r>
          <w:r>
            <w:fldChar w:fldCharType="separate"/>
          </w:r>
          <w:hyperlink w:anchor="_8ar3lgohg5x2">
            <w:r>
              <w:rPr>
                <w:color w:val="000000"/>
              </w:rPr>
              <w:t>Introduction</w:t>
            </w:r>
            <w:r>
              <w:rPr>
                <w:color w:val="000000"/>
              </w:rPr>
              <w:tab/>
            </w:r>
          </w:hyperlink>
          <w:r>
            <w:fldChar w:fldCharType="begin"/>
          </w:r>
          <w:r>
            <w:instrText xml:space="preserve"> PAGEREF _8ar3lgohg5x2 \h </w:instrText>
          </w:r>
          <w:r>
            <w:fldChar w:fldCharType="separate"/>
          </w:r>
          <w:r>
            <w:t>3</w:t>
          </w:r>
          <w:r>
            <w:fldChar w:fldCharType="end"/>
          </w:r>
        </w:p>
        <w:p w14:paraId="4B8F9257" w14:textId="77777777" w:rsidR="00A016DE" w:rsidRDefault="00000000">
          <w:pPr>
            <w:pStyle w:val="Normal1"/>
            <w:widowControl w:val="0"/>
            <w:tabs>
              <w:tab w:val="right" w:pos="9360"/>
            </w:tabs>
            <w:spacing w:before="60"/>
            <w:rPr>
              <w:color w:val="000000"/>
            </w:rPr>
          </w:pPr>
          <w:hyperlink w:anchor="_maw1z2lyubl7">
            <w:r>
              <w:rPr>
                <w:color w:val="000000"/>
              </w:rPr>
              <w:t>Main body</w:t>
            </w:r>
            <w:r>
              <w:rPr>
                <w:color w:val="000000"/>
              </w:rPr>
              <w:tab/>
            </w:r>
          </w:hyperlink>
          <w:r>
            <w:fldChar w:fldCharType="begin"/>
          </w:r>
          <w:r>
            <w:instrText xml:space="preserve"> PAGEREF _maw1z2lyubl7 \h </w:instrText>
          </w:r>
          <w:r>
            <w:fldChar w:fldCharType="separate"/>
          </w:r>
          <w:r>
            <w:t>3</w:t>
          </w:r>
          <w:r>
            <w:fldChar w:fldCharType="end"/>
          </w:r>
        </w:p>
        <w:p w14:paraId="5DEDDFE2" w14:textId="77777777" w:rsidR="00A016DE" w:rsidRDefault="00000000">
          <w:pPr>
            <w:pStyle w:val="Normal1"/>
            <w:widowControl w:val="0"/>
            <w:tabs>
              <w:tab w:val="right" w:pos="9360"/>
            </w:tabs>
            <w:spacing w:before="60"/>
            <w:ind w:left="360"/>
            <w:rPr>
              <w:color w:val="000000"/>
            </w:rPr>
          </w:pPr>
          <w:hyperlink w:anchor="_9es6ipen6ga4">
            <w:r>
              <w:rPr>
                <w:color w:val="000000"/>
              </w:rPr>
              <w:t>QUESTION 1</w:t>
            </w:r>
            <w:r>
              <w:rPr>
                <w:color w:val="000000"/>
              </w:rPr>
              <w:tab/>
            </w:r>
          </w:hyperlink>
          <w:r>
            <w:fldChar w:fldCharType="begin"/>
          </w:r>
          <w:r>
            <w:instrText xml:space="preserve"> PAGEREF _9es6ipen6ga4 \h </w:instrText>
          </w:r>
          <w:r>
            <w:fldChar w:fldCharType="separate"/>
          </w:r>
          <w:r>
            <w:t>3</w:t>
          </w:r>
          <w:r>
            <w:fldChar w:fldCharType="end"/>
          </w:r>
        </w:p>
        <w:p w14:paraId="09B2B77F" w14:textId="77777777" w:rsidR="00A016DE" w:rsidRDefault="00000000">
          <w:pPr>
            <w:pStyle w:val="Normal1"/>
            <w:widowControl w:val="0"/>
            <w:tabs>
              <w:tab w:val="right" w:pos="9360"/>
            </w:tabs>
            <w:spacing w:before="60"/>
            <w:ind w:left="720"/>
            <w:rPr>
              <w:color w:val="000000"/>
            </w:rPr>
          </w:pPr>
          <w:hyperlink w:anchor="_sg2t1gw6gj38">
            <w:r>
              <w:rPr>
                <w:color w:val="000000"/>
              </w:rPr>
              <w:t>a) Income statement of Wales Plc</w:t>
            </w:r>
            <w:r>
              <w:rPr>
                <w:color w:val="000000"/>
              </w:rPr>
              <w:tab/>
            </w:r>
          </w:hyperlink>
          <w:r>
            <w:fldChar w:fldCharType="begin"/>
          </w:r>
          <w:r>
            <w:instrText xml:space="preserve"> PAGEREF _sg2t1gw6gj38 \h </w:instrText>
          </w:r>
          <w:r>
            <w:fldChar w:fldCharType="separate"/>
          </w:r>
          <w:r>
            <w:t>3</w:t>
          </w:r>
          <w:r>
            <w:fldChar w:fldCharType="end"/>
          </w:r>
        </w:p>
        <w:p w14:paraId="2836472C" w14:textId="77777777" w:rsidR="00A016DE" w:rsidRDefault="00000000">
          <w:pPr>
            <w:pStyle w:val="Normal1"/>
            <w:widowControl w:val="0"/>
            <w:tabs>
              <w:tab w:val="right" w:pos="9360"/>
            </w:tabs>
            <w:spacing w:before="60"/>
            <w:ind w:left="720"/>
            <w:rPr>
              <w:color w:val="000000"/>
            </w:rPr>
          </w:pPr>
          <w:hyperlink w:anchor="_krjmaoc6jh0z">
            <w:r>
              <w:rPr>
                <w:color w:val="000000"/>
              </w:rPr>
              <w:t>b) The Balance sheet of Wales Plc</w:t>
            </w:r>
            <w:r>
              <w:rPr>
                <w:color w:val="000000"/>
              </w:rPr>
              <w:tab/>
            </w:r>
          </w:hyperlink>
          <w:r>
            <w:fldChar w:fldCharType="begin"/>
          </w:r>
          <w:r>
            <w:instrText xml:space="preserve"> PAGEREF _krjmaoc6jh0z \h </w:instrText>
          </w:r>
          <w:r>
            <w:fldChar w:fldCharType="separate"/>
          </w:r>
          <w:r>
            <w:t>5</w:t>
          </w:r>
          <w:r>
            <w:fldChar w:fldCharType="end"/>
          </w:r>
        </w:p>
        <w:p w14:paraId="45553A20" w14:textId="77777777" w:rsidR="00A016DE" w:rsidRDefault="00000000">
          <w:pPr>
            <w:pStyle w:val="Normal1"/>
            <w:widowControl w:val="0"/>
            <w:tabs>
              <w:tab w:val="right" w:pos="9360"/>
            </w:tabs>
            <w:spacing w:before="60"/>
            <w:ind w:left="720"/>
            <w:rPr>
              <w:color w:val="000000"/>
            </w:rPr>
          </w:pPr>
          <w:hyperlink w:anchor="_9rfil9fqgxk">
            <w:r>
              <w:rPr>
                <w:color w:val="000000"/>
              </w:rPr>
              <w:t>c) Why does the statement of financial position balance?</w:t>
            </w:r>
            <w:r>
              <w:rPr>
                <w:color w:val="000000"/>
              </w:rPr>
              <w:tab/>
            </w:r>
          </w:hyperlink>
          <w:r>
            <w:fldChar w:fldCharType="begin"/>
          </w:r>
          <w:r>
            <w:instrText xml:space="preserve"> PAGEREF _9rfil9fqgxk \h </w:instrText>
          </w:r>
          <w:r>
            <w:fldChar w:fldCharType="separate"/>
          </w:r>
          <w:r>
            <w:t>6</w:t>
          </w:r>
          <w:r>
            <w:fldChar w:fldCharType="end"/>
          </w:r>
        </w:p>
        <w:p w14:paraId="71A3C0FA" w14:textId="77777777" w:rsidR="00A016DE" w:rsidRDefault="00000000">
          <w:pPr>
            <w:pStyle w:val="Normal1"/>
            <w:widowControl w:val="0"/>
            <w:tabs>
              <w:tab w:val="right" w:pos="9360"/>
            </w:tabs>
            <w:spacing w:before="60"/>
            <w:ind w:left="360"/>
            <w:rPr>
              <w:color w:val="000000"/>
            </w:rPr>
          </w:pPr>
          <w:hyperlink w:anchor="_3hfwkd1k6hqr">
            <w:r>
              <w:rPr>
                <w:color w:val="000000"/>
              </w:rPr>
              <w:t>QUESTION 2</w:t>
            </w:r>
            <w:r>
              <w:rPr>
                <w:color w:val="000000"/>
              </w:rPr>
              <w:tab/>
            </w:r>
          </w:hyperlink>
          <w:r>
            <w:fldChar w:fldCharType="begin"/>
          </w:r>
          <w:r>
            <w:instrText xml:space="preserve"> PAGEREF _3hfwkd1k6hqr \h </w:instrText>
          </w:r>
          <w:r>
            <w:fldChar w:fldCharType="separate"/>
          </w:r>
          <w:r>
            <w:t>6</w:t>
          </w:r>
          <w:r>
            <w:fldChar w:fldCharType="end"/>
          </w:r>
        </w:p>
        <w:p w14:paraId="322F317B" w14:textId="77777777" w:rsidR="00A016DE" w:rsidRDefault="00000000">
          <w:pPr>
            <w:pStyle w:val="Normal1"/>
            <w:widowControl w:val="0"/>
            <w:tabs>
              <w:tab w:val="right" w:pos="9360"/>
            </w:tabs>
            <w:spacing w:before="60"/>
            <w:ind w:left="720"/>
            <w:rPr>
              <w:color w:val="000000"/>
            </w:rPr>
          </w:pPr>
          <w:hyperlink w:anchor="_8t3my1dzdlvy">
            <w:r>
              <w:rPr>
                <w:color w:val="000000"/>
              </w:rPr>
              <w:t>Part One</w:t>
            </w:r>
            <w:r>
              <w:rPr>
                <w:color w:val="000000"/>
              </w:rPr>
              <w:tab/>
            </w:r>
          </w:hyperlink>
          <w:r>
            <w:fldChar w:fldCharType="begin"/>
          </w:r>
          <w:r>
            <w:instrText xml:space="preserve"> PAGEREF _8t3my1dzdlvy \h </w:instrText>
          </w:r>
          <w:r>
            <w:fldChar w:fldCharType="separate"/>
          </w:r>
          <w:r>
            <w:t>6</w:t>
          </w:r>
          <w:r>
            <w:fldChar w:fldCharType="end"/>
          </w:r>
        </w:p>
        <w:p w14:paraId="5789FC7F" w14:textId="77777777" w:rsidR="00A016DE" w:rsidRDefault="00000000">
          <w:pPr>
            <w:pStyle w:val="Normal1"/>
            <w:widowControl w:val="0"/>
            <w:tabs>
              <w:tab w:val="right" w:pos="9360"/>
            </w:tabs>
            <w:spacing w:before="60"/>
            <w:ind w:left="1080"/>
            <w:rPr>
              <w:color w:val="000000"/>
            </w:rPr>
          </w:pPr>
          <w:hyperlink w:anchor="_lstgfi8p7ys6">
            <w:r>
              <w:rPr>
                <w:color w:val="000000"/>
              </w:rPr>
              <w:t>a) ROCE</w:t>
            </w:r>
            <w:r>
              <w:rPr>
                <w:color w:val="000000"/>
              </w:rPr>
              <w:tab/>
            </w:r>
          </w:hyperlink>
          <w:r>
            <w:fldChar w:fldCharType="begin"/>
          </w:r>
          <w:r>
            <w:instrText xml:space="preserve"> PAGEREF _lstgfi8p7ys6 \h </w:instrText>
          </w:r>
          <w:r>
            <w:fldChar w:fldCharType="separate"/>
          </w:r>
          <w:r>
            <w:t>6</w:t>
          </w:r>
          <w:r>
            <w:fldChar w:fldCharType="end"/>
          </w:r>
        </w:p>
        <w:p w14:paraId="63A8728B" w14:textId="77777777" w:rsidR="00A016DE" w:rsidRDefault="00000000">
          <w:pPr>
            <w:pStyle w:val="Normal1"/>
            <w:widowControl w:val="0"/>
            <w:tabs>
              <w:tab w:val="right" w:pos="9360"/>
            </w:tabs>
            <w:spacing w:before="60"/>
            <w:ind w:left="1080"/>
            <w:rPr>
              <w:color w:val="000000"/>
            </w:rPr>
          </w:pPr>
          <w:hyperlink w:anchor="_3wjsowtckyfl">
            <w:r>
              <w:rPr>
                <w:color w:val="000000"/>
              </w:rPr>
              <w:t>b) ROE</w:t>
            </w:r>
            <w:r>
              <w:rPr>
                <w:color w:val="000000"/>
              </w:rPr>
              <w:tab/>
            </w:r>
          </w:hyperlink>
          <w:r>
            <w:fldChar w:fldCharType="begin"/>
          </w:r>
          <w:r>
            <w:instrText xml:space="preserve"> PAGEREF _3wjsowtckyfl \h </w:instrText>
          </w:r>
          <w:r>
            <w:fldChar w:fldCharType="separate"/>
          </w:r>
          <w:r>
            <w:t>7</w:t>
          </w:r>
          <w:r>
            <w:fldChar w:fldCharType="end"/>
          </w:r>
        </w:p>
        <w:p w14:paraId="503F399A" w14:textId="77777777" w:rsidR="00A016DE" w:rsidRDefault="00000000">
          <w:pPr>
            <w:pStyle w:val="Normal1"/>
            <w:widowControl w:val="0"/>
            <w:tabs>
              <w:tab w:val="right" w:pos="9360"/>
            </w:tabs>
            <w:spacing w:before="60"/>
            <w:ind w:left="1080"/>
            <w:rPr>
              <w:color w:val="000000"/>
            </w:rPr>
          </w:pPr>
          <w:hyperlink w:anchor="_yccq3brhfkav">
            <w:r>
              <w:rPr>
                <w:color w:val="000000"/>
              </w:rPr>
              <w:t>c) Earnings per share</w:t>
            </w:r>
            <w:r>
              <w:rPr>
                <w:color w:val="000000"/>
              </w:rPr>
              <w:tab/>
            </w:r>
          </w:hyperlink>
          <w:r>
            <w:fldChar w:fldCharType="begin"/>
          </w:r>
          <w:r>
            <w:instrText xml:space="preserve"> PAGEREF _yccq3brhfkav \h </w:instrText>
          </w:r>
          <w:r>
            <w:fldChar w:fldCharType="separate"/>
          </w:r>
          <w:r>
            <w:t>8</w:t>
          </w:r>
          <w:r>
            <w:fldChar w:fldCharType="end"/>
          </w:r>
        </w:p>
        <w:p w14:paraId="2491B37F" w14:textId="77777777" w:rsidR="00A016DE" w:rsidRDefault="00000000">
          <w:pPr>
            <w:pStyle w:val="Normal1"/>
            <w:widowControl w:val="0"/>
            <w:tabs>
              <w:tab w:val="right" w:pos="9360"/>
            </w:tabs>
            <w:spacing w:before="60"/>
            <w:ind w:left="1080"/>
            <w:rPr>
              <w:color w:val="000000"/>
            </w:rPr>
          </w:pPr>
          <w:hyperlink w:anchor="_6gytwuqbs2r8">
            <w:r>
              <w:rPr>
                <w:color w:val="000000"/>
              </w:rPr>
              <w:t>d) Net profit margin</w:t>
            </w:r>
            <w:r>
              <w:rPr>
                <w:color w:val="000000"/>
              </w:rPr>
              <w:tab/>
            </w:r>
          </w:hyperlink>
          <w:r>
            <w:fldChar w:fldCharType="begin"/>
          </w:r>
          <w:r>
            <w:instrText xml:space="preserve"> PAGEREF _6gytwuqbs2r8 \h </w:instrText>
          </w:r>
          <w:r>
            <w:fldChar w:fldCharType="separate"/>
          </w:r>
          <w:r>
            <w:t>8</w:t>
          </w:r>
          <w:r>
            <w:fldChar w:fldCharType="end"/>
          </w:r>
        </w:p>
        <w:p w14:paraId="049FCDDB" w14:textId="77777777" w:rsidR="00A016DE" w:rsidRDefault="00000000">
          <w:pPr>
            <w:pStyle w:val="Normal1"/>
            <w:widowControl w:val="0"/>
            <w:tabs>
              <w:tab w:val="right" w:pos="9360"/>
            </w:tabs>
            <w:spacing w:before="60"/>
            <w:ind w:left="1080"/>
            <w:rPr>
              <w:color w:val="000000"/>
            </w:rPr>
          </w:pPr>
          <w:hyperlink w:anchor="_29cwtkycbigs">
            <w:r>
              <w:rPr>
                <w:color w:val="000000"/>
              </w:rPr>
              <w:t>e) Asset turnover</w:t>
            </w:r>
            <w:r>
              <w:rPr>
                <w:color w:val="000000"/>
              </w:rPr>
              <w:tab/>
            </w:r>
          </w:hyperlink>
          <w:r>
            <w:fldChar w:fldCharType="begin"/>
          </w:r>
          <w:r>
            <w:instrText xml:space="preserve"> PAGEREF _29cwtkycbigs \h </w:instrText>
          </w:r>
          <w:r>
            <w:fldChar w:fldCharType="separate"/>
          </w:r>
          <w:r>
            <w:t>9</w:t>
          </w:r>
          <w:r>
            <w:fldChar w:fldCharType="end"/>
          </w:r>
        </w:p>
        <w:p w14:paraId="01A8FF50" w14:textId="77777777" w:rsidR="00A016DE" w:rsidRDefault="00000000">
          <w:pPr>
            <w:pStyle w:val="Normal1"/>
            <w:widowControl w:val="0"/>
            <w:tabs>
              <w:tab w:val="right" w:pos="9360"/>
            </w:tabs>
            <w:spacing w:before="60"/>
            <w:ind w:left="1080"/>
            <w:rPr>
              <w:color w:val="000000"/>
            </w:rPr>
          </w:pPr>
          <w:hyperlink w:anchor="_4l1gwyxwrxxi">
            <w:r>
              <w:rPr>
                <w:color w:val="000000"/>
              </w:rPr>
              <w:t>f) Stock holding days</w:t>
            </w:r>
            <w:r>
              <w:rPr>
                <w:color w:val="000000"/>
              </w:rPr>
              <w:tab/>
            </w:r>
          </w:hyperlink>
          <w:r>
            <w:fldChar w:fldCharType="begin"/>
          </w:r>
          <w:r>
            <w:instrText xml:space="preserve"> PAGEREF _4l1gwyxwrxxi \h </w:instrText>
          </w:r>
          <w:r>
            <w:fldChar w:fldCharType="separate"/>
          </w:r>
          <w:r>
            <w:t>9</w:t>
          </w:r>
          <w:r>
            <w:fldChar w:fldCharType="end"/>
          </w:r>
        </w:p>
        <w:p w14:paraId="4B574EBE" w14:textId="77777777" w:rsidR="00A016DE" w:rsidRDefault="00000000">
          <w:pPr>
            <w:pStyle w:val="Normal1"/>
            <w:widowControl w:val="0"/>
            <w:tabs>
              <w:tab w:val="right" w:pos="9360"/>
            </w:tabs>
            <w:spacing w:before="60"/>
            <w:ind w:left="1080"/>
            <w:rPr>
              <w:color w:val="000000"/>
            </w:rPr>
          </w:pPr>
          <w:hyperlink w:anchor="_5nbc5vvesgvp">
            <w:r>
              <w:rPr>
                <w:color w:val="000000"/>
              </w:rPr>
              <w:t>g) Debtors collection period</w:t>
            </w:r>
            <w:r>
              <w:rPr>
                <w:color w:val="000000"/>
              </w:rPr>
              <w:tab/>
            </w:r>
          </w:hyperlink>
          <w:r>
            <w:fldChar w:fldCharType="begin"/>
          </w:r>
          <w:r>
            <w:instrText xml:space="preserve"> PAGEREF _5nbc5vvesgvp \h </w:instrText>
          </w:r>
          <w:r>
            <w:fldChar w:fldCharType="separate"/>
          </w:r>
          <w:r>
            <w:t>10</w:t>
          </w:r>
          <w:r>
            <w:fldChar w:fldCharType="end"/>
          </w:r>
        </w:p>
        <w:p w14:paraId="6F74AF15" w14:textId="77777777" w:rsidR="00A016DE" w:rsidRDefault="00000000">
          <w:pPr>
            <w:pStyle w:val="Normal1"/>
            <w:widowControl w:val="0"/>
            <w:tabs>
              <w:tab w:val="right" w:pos="9360"/>
            </w:tabs>
            <w:spacing w:before="60"/>
            <w:ind w:left="1080"/>
            <w:rPr>
              <w:color w:val="000000"/>
            </w:rPr>
          </w:pPr>
          <w:hyperlink w:anchor="_7aygcsprc35">
            <w:r>
              <w:rPr>
                <w:color w:val="000000"/>
              </w:rPr>
              <w:t>h) Current ratio</w:t>
            </w:r>
            <w:r>
              <w:rPr>
                <w:color w:val="000000"/>
              </w:rPr>
              <w:tab/>
            </w:r>
          </w:hyperlink>
          <w:r>
            <w:fldChar w:fldCharType="begin"/>
          </w:r>
          <w:r>
            <w:instrText xml:space="preserve"> PAGEREF _7aygcsprc35 \h </w:instrText>
          </w:r>
          <w:r>
            <w:fldChar w:fldCharType="separate"/>
          </w:r>
          <w:r>
            <w:t>10</w:t>
          </w:r>
          <w:r>
            <w:fldChar w:fldCharType="end"/>
          </w:r>
        </w:p>
        <w:p w14:paraId="6A6D98AF" w14:textId="77777777" w:rsidR="00A016DE" w:rsidRDefault="00000000">
          <w:pPr>
            <w:pStyle w:val="Normal1"/>
            <w:widowControl w:val="0"/>
            <w:tabs>
              <w:tab w:val="right" w:pos="9360"/>
            </w:tabs>
            <w:spacing w:before="60"/>
            <w:ind w:left="1080"/>
            <w:rPr>
              <w:color w:val="000000"/>
            </w:rPr>
          </w:pPr>
          <w:hyperlink w:anchor="_13utqhwucumi">
            <w:r>
              <w:rPr>
                <w:color w:val="000000"/>
              </w:rPr>
              <w:t>i) Gearing ratio</w:t>
            </w:r>
            <w:r>
              <w:rPr>
                <w:color w:val="000000"/>
              </w:rPr>
              <w:tab/>
            </w:r>
          </w:hyperlink>
          <w:r>
            <w:fldChar w:fldCharType="begin"/>
          </w:r>
          <w:r>
            <w:instrText xml:space="preserve"> PAGEREF _13utqhwucumi \h </w:instrText>
          </w:r>
          <w:r>
            <w:fldChar w:fldCharType="separate"/>
          </w:r>
          <w:r>
            <w:t>11</w:t>
          </w:r>
          <w:r>
            <w:fldChar w:fldCharType="end"/>
          </w:r>
        </w:p>
        <w:p w14:paraId="09876CAF" w14:textId="77777777" w:rsidR="00A016DE" w:rsidRDefault="00000000">
          <w:pPr>
            <w:pStyle w:val="Normal1"/>
            <w:widowControl w:val="0"/>
            <w:tabs>
              <w:tab w:val="right" w:pos="9360"/>
            </w:tabs>
            <w:spacing w:before="60"/>
            <w:ind w:left="1080"/>
            <w:rPr>
              <w:color w:val="000000"/>
            </w:rPr>
          </w:pPr>
          <w:hyperlink w:anchor="_cb0mjrdh23pc">
            <w:r>
              <w:rPr>
                <w:color w:val="000000"/>
              </w:rPr>
              <w:t>j) Interest cover</w:t>
            </w:r>
            <w:r>
              <w:rPr>
                <w:color w:val="000000"/>
              </w:rPr>
              <w:tab/>
            </w:r>
          </w:hyperlink>
          <w:r>
            <w:fldChar w:fldCharType="begin"/>
          </w:r>
          <w:r>
            <w:instrText xml:space="preserve"> PAGEREF _cb0mjrdh23pc \h </w:instrText>
          </w:r>
          <w:r>
            <w:fldChar w:fldCharType="separate"/>
          </w:r>
          <w:r>
            <w:t>11</w:t>
          </w:r>
          <w:r>
            <w:fldChar w:fldCharType="end"/>
          </w:r>
        </w:p>
        <w:p w14:paraId="2B6139C3" w14:textId="77777777" w:rsidR="00A016DE" w:rsidRDefault="00000000">
          <w:pPr>
            <w:pStyle w:val="Normal1"/>
            <w:widowControl w:val="0"/>
            <w:tabs>
              <w:tab w:val="right" w:pos="9360"/>
            </w:tabs>
            <w:spacing w:before="60"/>
            <w:ind w:left="720"/>
            <w:rPr>
              <w:color w:val="000000"/>
            </w:rPr>
          </w:pPr>
          <w:hyperlink w:anchor="_1p9en9tcbsi4">
            <w:r>
              <w:rPr>
                <w:color w:val="000000"/>
              </w:rPr>
              <w:t>Part Two</w:t>
            </w:r>
            <w:r>
              <w:rPr>
                <w:color w:val="000000"/>
              </w:rPr>
              <w:tab/>
            </w:r>
          </w:hyperlink>
          <w:r>
            <w:fldChar w:fldCharType="begin"/>
          </w:r>
          <w:r>
            <w:instrText xml:space="preserve"> PAGEREF _1p9en9tcbsi4 \h </w:instrText>
          </w:r>
          <w:r>
            <w:fldChar w:fldCharType="separate"/>
          </w:r>
          <w:r>
            <w:t>12</w:t>
          </w:r>
          <w:r>
            <w:fldChar w:fldCharType="end"/>
          </w:r>
        </w:p>
        <w:p w14:paraId="4BF1AC8E" w14:textId="77777777" w:rsidR="00A016DE" w:rsidRDefault="00000000">
          <w:pPr>
            <w:pStyle w:val="Normal1"/>
            <w:widowControl w:val="0"/>
            <w:tabs>
              <w:tab w:val="right" w:pos="9360"/>
            </w:tabs>
            <w:spacing w:before="60"/>
            <w:rPr>
              <w:color w:val="000000"/>
            </w:rPr>
          </w:pPr>
          <w:hyperlink w:anchor="_62kh1dsbcop9">
            <w:r>
              <w:rPr>
                <w:color w:val="000000"/>
              </w:rPr>
              <w:t>Conclusion</w:t>
            </w:r>
            <w:r>
              <w:rPr>
                <w:color w:val="000000"/>
              </w:rPr>
              <w:tab/>
            </w:r>
          </w:hyperlink>
          <w:r>
            <w:fldChar w:fldCharType="begin"/>
          </w:r>
          <w:r>
            <w:instrText xml:space="preserve"> PAGEREF _62kh1dsbcop9 \h </w:instrText>
          </w:r>
          <w:r>
            <w:fldChar w:fldCharType="separate"/>
          </w:r>
          <w:r>
            <w:t>12</w:t>
          </w:r>
          <w:r>
            <w:fldChar w:fldCharType="end"/>
          </w:r>
        </w:p>
        <w:p w14:paraId="11759EB4" w14:textId="77777777" w:rsidR="00A016DE" w:rsidRDefault="00000000">
          <w:pPr>
            <w:pStyle w:val="Normal1"/>
            <w:widowControl w:val="0"/>
            <w:tabs>
              <w:tab w:val="right" w:pos="9360"/>
            </w:tabs>
            <w:spacing w:before="60"/>
            <w:rPr>
              <w:color w:val="000000"/>
            </w:rPr>
          </w:pPr>
          <w:hyperlink w:anchor="_dlnztt9pi6nq">
            <w:r>
              <w:rPr>
                <w:color w:val="000000"/>
              </w:rPr>
              <w:t>References</w:t>
            </w:r>
            <w:r>
              <w:rPr>
                <w:color w:val="000000"/>
              </w:rPr>
              <w:tab/>
            </w:r>
          </w:hyperlink>
          <w:r>
            <w:fldChar w:fldCharType="begin"/>
          </w:r>
          <w:r>
            <w:instrText xml:space="preserve"> PAGEREF _dlnztt9pi6nq \h </w:instrText>
          </w:r>
          <w:r>
            <w:fldChar w:fldCharType="separate"/>
          </w:r>
          <w:r>
            <w:t>13</w:t>
          </w:r>
          <w:r>
            <w:fldChar w:fldCharType="end"/>
          </w:r>
          <w:r>
            <w:fldChar w:fldCharType="end"/>
          </w:r>
        </w:p>
      </w:sdtContent>
    </w:sdt>
    <w:p w14:paraId="68560E12" w14:textId="77777777" w:rsidR="00A016DE" w:rsidRDefault="00A016DE">
      <w:pPr>
        <w:pStyle w:val="Normal1"/>
      </w:pPr>
    </w:p>
    <w:p w14:paraId="4866A899" w14:textId="77777777" w:rsidR="00A016DE" w:rsidRDefault="00000000">
      <w:pPr>
        <w:pStyle w:val="Normal1"/>
      </w:pPr>
      <w:r>
        <w:br w:type="page"/>
      </w:r>
    </w:p>
    <w:p w14:paraId="255ECA2E" w14:textId="77777777" w:rsidR="00A016DE" w:rsidRDefault="00000000">
      <w:pPr>
        <w:pStyle w:val="Heading1"/>
      </w:pPr>
      <w:bookmarkStart w:id="0" w:name="_8ar3lgohg5x2" w:colFirst="0" w:colLast="0"/>
      <w:bookmarkEnd w:id="0"/>
      <w:r>
        <w:lastRenderedPageBreak/>
        <w:t xml:space="preserve">Introduction </w:t>
      </w:r>
    </w:p>
    <w:p w14:paraId="407EFCF6" w14:textId="2CCC71E6" w:rsidR="00A016DE" w:rsidRDefault="00000000">
      <w:pPr>
        <w:pStyle w:val="Normal1"/>
      </w:pPr>
      <w:r>
        <w:t xml:space="preserve">The purpose of the </w:t>
      </w:r>
      <w:r w:rsidR="00321D08">
        <w:t>report</w:t>
      </w:r>
      <w:r>
        <w:t xml:space="preserve"> is to provide information through the calculation of various types of financial aspects concerning the question provided. Computation of different types of financial </w:t>
      </w:r>
      <w:r w:rsidR="00321D08">
        <w:t>aspects,</w:t>
      </w:r>
      <w:r>
        <w:t xml:space="preserve"> which includes financial ratios, income statements, statement of the financial position of Wales plc and many more. The process related to the following computation is known as </w:t>
      </w:r>
      <w:r w:rsidR="00321D08">
        <w:t>financial</w:t>
      </w:r>
      <w:r>
        <w:t xml:space="preserve"> fundamentals. With the help of this financial analysis regarding the financial report of the company its different segments can be understandable. The segment includes profitability, liquidity, and efficiency of its operation. In simple terms, </w:t>
      </w:r>
      <w:r w:rsidR="00321D08">
        <w:t>overall,</w:t>
      </w:r>
      <w:r>
        <w:t xml:space="preserve"> the financial position and its condition can be examined through this process. This report provides the concept of ratio analysis, preparation of income statement, and </w:t>
      </w:r>
      <w:r w:rsidR="00172D4D">
        <w:t>Balance sheet</w:t>
      </w:r>
      <w:r>
        <w:t xml:space="preserve"> of the company. </w:t>
      </w:r>
    </w:p>
    <w:p w14:paraId="62BB3053" w14:textId="77777777" w:rsidR="00A016DE" w:rsidRDefault="00000000">
      <w:pPr>
        <w:pStyle w:val="Heading1"/>
      </w:pPr>
      <w:bookmarkStart w:id="1" w:name="_maw1z2lyubl7" w:colFirst="0" w:colLast="0"/>
      <w:bookmarkEnd w:id="1"/>
      <w:r>
        <w:t>Main body</w:t>
      </w:r>
    </w:p>
    <w:p w14:paraId="4239BA84" w14:textId="77777777" w:rsidR="00A016DE" w:rsidRDefault="00000000">
      <w:pPr>
        <w:pStyle w:val="Heading2"/>
      </w:pPr>
      <w:bookmarkStart w:id="2" w:name="_9es6ipen6ga4" w:colFirst="0" w:colLast="0"/>
      <w:bookmarkEnd w:id="2"/>
      <w:r>
        <w:t>QUESTION 1</w:t>
      </w:r>
    </w:p>
    <w:p w14:paraId="3BB5360A" w14:textId="7B3F07C3" w:rsidR="00A016DE" w:rsidRDefault="00172D4D">
      <w:pPr>
        <w:pStyle w:val="Heading3"/>
      </w:pPr>
      <w:bookmarkStart w:id="3" w:name="_sg2t1gw6gj38" w:colFirst="0" w:colLast="0"/>
      <w:bookmarkEnd w:id="3"/>
      <w:r>
        <w:t xml:space="preserve">Profit &amp; Loss account </w:t>
      </w:r>
    </w:p>
    <w:p w14:paraId="31E7008A" w14:textId="5AE7C443" w:rsidR="00A016DE" w:rsidRDefault="004954C8">
      <w:pPr>
        <w:pStyle w:val="Normal1"/>
        <w:jc w:val="center"/>
      </w:pPr>
      <w:r w:rsidRPr="004954C8">
        <w:rPr>
          <w:noProof/>
        </w:rPr>
        <w:drawing>
          <wp:inline distT="0" distB="0" distL="0" distR="0" wp14:anchorId="08612898" wp14:editId="20ABCC11">
            <wp:extent cx="5943600" cy="3507105"/>
            <wp:effectExtent l="0" t="0" r="0" b="0"/>
            <wp:docPr id="21438292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829205" name=""/>
                    <pic:cNvPicPr/>
                  </pic:nvPicPr>
                  <pic:blipFill>
                    <a:blip r:embed="rId7"/>
                    <a:stretch>
                      <a:fillRect/>
                    </a:stretch>
                  </pic:blipFill>
                  <pic:spPr>
                    <a:xfrm>
                      <a:off x="0" y="0"/>
                      <a:ext cx="5943600" cy="3507105"/>
                    </a:xfrm>
                    <a:prstGeom prst="rect">
                      <a:avLst/>
                    </a:prstGeom>
                  </pic:spPr>
                </pic:pic>
              </a:graphicData>
            </a:graphic>
          </wp:inline>
        </w:drawing>
      </w:r>
    </w:p>
    <w:p w14:paraId="060C7EFC" w14:textId="72CE9BE1" w:rsidR="00A016DE" w:rsidRDefault="00000000">
      <w:pPr>
        <w:pStyle w:val="Normal1"/>
        <w:jc w:val="center"/>
        <w:rPr>
          <w:b/>
        </w:rPr>
      </w:pPr>
      <w:r>
        <w:rPr>
          <w:b/>
        </w:rPr>
        <w:t xml:space="preserve">Table </w:t>
      </w:r>
      <w:r w:rsidR="00172D4D">
        <w:rPr>
          <w:b/>
        </w:rPr>
        <w:t>one</w:t>
      </w:r>
      <w:r>
        <w:rPr>
          <w:b/>
        </w:rPr>
        <w:t xml:space="preserve">: </w:t>
      </w:r>
      <w:r w:rsidR="00172D4D" w:rsidRPr="00172D4D">
        <w:rPr>
          <w:b/>
          <w:bCs/>
        </w:rPr>
        <w:t>Profit &amp; Loss account</w:t>
      </w:r>
      <w:r w:rsidR="00172D4D">
        <w:rPr>
          <w:b/>
        </w:rPr>
        <w:t xml:space="preserve"> </w:t>
      </w:r>
      <w:r>
        <w:rPr>
          <w:b/>
        </w:rPr>
        <w:t>of Wales Plc</w:t>
      </w:r>
    </w:p>
    <w:p w14:paraId="28703CA6" w14:textId="74567DF9" w:rsidR="00A016DE" w:rsidRDefault="00172D4D">
      <w:pPr>
        <w:pStyle w:val="Normal1"/>
        <w:jc w:val="center"/>
      </w:pPr>
      <w:r>
        <w:t>(Source: Self-Developed, 2023).</w:t>
      </w:r>
    </w:p>
    <w:p w14:paraId="74D3817F" w14:textId="63605284" w:rsidR="00A016DE" w:rsidRDefault="00000000">
      <w:pPr>
        <w:pStyle w:val="Normal1"/>
        <w:rPr>
          <w:b/>
        </w:rPr>
      </w:pPr>
      <w:r>
        <w:t xml:space="preserve">The represented table deals in showing the computation of the </w:t>
      </w:r>
      <w:r w:rsidR="00172D4D">
        <w:t>Profit &amp; Loss account</w:t>
      </w:r>
      <w:r>
        <w:t xml:space="preserve"> of Wales Plc for the period ending 31 December 2022. An Income statement of the company is the main </w:t>
      </w:r>
      <w:r>
        <w:lastRenderedPageBreak/>
        <w:t xml:space="preserve">component through which a user of it </w:t>
      </w:r>
      <w:r w:rsidR="00321D08">
        <w:t>avails</w:t>
      </w:r>
      <w:r>
        <w:t xml:space="preserve"> the information about the financial health of the company. It provides information about the profitability, sustainability, and efficiency of the management in the conduction of the company operation. In simple terms, the income statement of the company deals with showing the company expenditure, revenue and profit that it incurred over the </w:t>
      </w:r>
      <w:r w:rsidR="00321D08">
        <w:t>period</w:t>
      </w:r>
      <w:r>
        <w:t xml:space="preserve">. It is also known by the name Profit &amp; Loss Account or Earning Statement. The following information can be </w:t>
      </w:r>
      <w:r w:rsidR="00321D08">
        <w:t>used</w:t>
      </w:r>
      <w:r>
        <w:t xml:space="preserve"> with the use of this statement. It shows the revenue generated by the company through the selling of products or services. It shows the expenditure incurred by the company in making the revenue. It provides information about the net profit that is left after meeting all the expenses of the business (BDC, 2023). From the above Income statement </w:t>
      </w:r>
      <w:proofErr w:type="gramStart"/>
      <w:r>
        <w:t>of</w:t>
      </w:r>
      <w:proofErr w:type="gramEnd"/>
      <w:r>
        <w:t xml:space="preserve"> Wales plc, the information concluded that it generated sales of £8,00,000 and the cost of sales related to it is £5,78,650. The difference between both gives the figure of gross profit which is £2,21,350.  After that, all the expenses related to the operation of the company will be deducted from the figure </w:t>
      </w:r>
      <w:proofErr w:type="gramStart"/>
      <w:r>
        <w:t>of</w:t>
      </w:r>
      <w:proofErr w:type="gramEnd"/>
      <w:r>
        <w:t xml:space="preserve"> Gross Profit. The operating expenses include </w:t>
      </w:r>
      <w:r w:rsidR="00321D08">
        <w:t>administrative</w:t>
      </w:r>
      <w:r>
        <w:t xml:space="preserve"> expenses of £3000, amount of interest paid of £2000, Remuneration of directors was £5000, cost of distribution of £28000, dividend on ordinary shares of £2000, dividend on preference shares of £30000, amount of tax was £100000, and outstanding commission amount to £3000. The total cost of operation was £218000. The difference between Gross Profit and cost of operation (£2,21,350 - £2,18,000) gives the figure </w:t>
      </w:r>
      <w:proofErr w:type="gramStart"/>
      <w:r>
        <w:t>of</w:t>
      </w:r>
      <w:proofErr w:type="gramEnd"/>
      <w:r>
        <w:t xml:space="preserve"> net profit of £</w:t>
      </w:r>
      <w:r w:rsidR="004954C8">
        <w:t>-650</w:t>
      </w:r>
      <w:r>
        <w:t xml:space="preserve">. The purpose of the Income statement is to provide information about the net profit or net loss incurred by the company from the operation over the </w:t>
      </w:r>
      <w:r w:rsidR="00321D08">
        <w:t>period</w:t>
      </w:r>
      <w:r>
        <w:t xml:space="preserve">. This information helps the company in taking </w:t>
      </w:r>
      <w:r w:rsidR="00321D08">
        <w:t>timely decisions</w:t>
      </w:r>
      <w:r>
        <w:t xml:space="preserve"> in order to make sure the business is on the right path. The net profit incurred by Wales Plc is </w:t>
      </w:r>
      <w:r w:rsidR="004954C8">
        <w:t xml:space="preserve">£-650 </w:t>
      </w:r>
      <w:r>
        <w:t>which is</w:t>
      </w:r>
      <w:r w:rsidR="004954C8">
        <w:t xml:space="preserve"> not</w:t>
      </w:r>
      <w:r>
        <w:t xml:space="preserve"> </w:t>
      </w:r>
      <w:r w:rsidR="00321D08">
        <w:t>favorable</w:t>
      </w:r>
      <w:r>
        <w:t xml:space="preserve"> as this figure is </w:t>
      </w:r>
      <w:r w:rsidR="004954C8">
        <w:t>negative</w:t>
      </w:r>
      <w:r>
        <w:t xml:space="preserve">. </w:t>
      </w:r>
    </w:p>
    <w:p w14:paraId="711BD321" w14:textId="3C19BBF3" w:rsidR="00A016DE" w:rsidRDefault="00000000">
      <w:pPr>
        <w:pStyle w:val="Heading3"/>
      </w:pPr>
      <w:bookmarkStart w:id="4" w:name="_krjmaoc6jh0z" w:colFirst="0" w:colLast="0"/>
      <w:bookmarkEnd w:id="4"/>
      <w:r>
        <w:lastRenderedPageBreak/>
        <w:t xml:space="preserve">b) The Balance </w:t>
      </w:r>
      <w:proofErr w:type="gramStart"/>
      <w:r>
        <w:t>sheet</w:t>
      </w:r>
      <w:proofErr w:type="gramEnd"/>
      <w:r>
        <w:t xml:space="preserve"> </w:t>
      </w:r>
    </w:p>
    <w:p w14:paraId="537F8BB4" w14:textId="45F8321A" w:rsidR="00A016DE" w:rsidRDefault="004954C8">
      <w:pPr>
        <w:pStyle w:val="Normal1"/>
        <w:jc w:val="center"/>
      </w:pPr>
      <w:r w:rsidRPr="004954C8">
        <w:rPr>
          <w:noProof/>
        </w:rPr>
        <w:drawing>
          <wp:inline distT="0" distB="0" distL="0" distR="0" wp14:anchorId="5DA6F413" wp14:editId="1D8E476F">
            <wp:extent cx="5943600" cy="3119120"/>
            <wp:effectExtent l="0" t="0" r="0" b="5080"/>
            <wp:docPr id="1019154976" name="Picture 1" descr="A green and blue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154976" name="Picture 1" descr="A green and blue table with numbers and text&#10;&#10;Description automatically generated"/>
                    <pic:cNvPicPr/>
                  </pic:nvPicPr>
                  <pic:blipFill>
                    <a:blip r:embed="rId8"/>
                    <a:stretch>
                      <a:fillRect/>
                    </a:stretch>
                  </pic:blipFill>
                  <pic:spPr>
                    <a:xfrm>
                      <a:off x="0" y="0"/>
                      <a:ext cx="5943600" cy="3119120"/>
                    </a:xfrm>
                    <a:prstGeom prst="rect">
                      <a:avLst/>
                    </a:prstGeom>
                  </pic:spPr>
                </pic:pic>
              </a:graphicData>
            </a:graphic>
          </wp:inline>
        </w:drawing>
      </w:r>
    </w:p>
    <w:p w14:paraId="5F1F55D3" w14:textId="558F3D08" w:rsidR="00A016DE" w:rsidRDefault="00000000">
      <w:pPr>
        <w:pStyle w:val="Normal1"/>
        <w:jc w:val="center"/>
        <w:rPr>
          <w:b/>
        </w:rPr>
      </w:pPr>
      <w:r>
        <w:rPr>
          <w:b/>
        </w:rPr>
        <w:t xml:space="preserve">Table </w:t>
      </w:r>
      <w:r w:rsidR="00172D4D">
        <w:rPr>
          <w:b/>
        </w:rPr>
        <w:t>Two</w:t>
      </w:r>
      <w:r>
        <w:rPr>
          <w:b/>
        </w:rPr>
        <w:t>: Balance sheet of Wales Plc</w:t>
      </w:r>
    </w:p>
    <w:p w14:paraId="3C99BD1D" w14:textId="77777777" w:rsidR="00172D4D" w:rsidRDefault="00172D4D" w:rsidP="00172D4D">
      <w:pPr>
        <w:pStyle w:val="Normal1"/>
        <w:jc w:val="center"/>
      </w:pPr>
      <w:r>
        <w:t>(Source: Self-Developed, 2023).</w:t>
      </w:r>
    </w:p>
    <w:p w14:paraId="535A86F3" w14:textId="1C2A4A17" w:rsidR="00A016DE" w:rsidRDefault="00000000">
      <w:pPr>
        <w:pStyle w:val="Normal1"/>
      </w:pPr>
      <w:r>
        <w:t xml:space="preserve">The </w:t>
      </w:r>
      <w:r w:rsidR="00172D4D">
        <w:t>represented</w:t>
      </w:r>
      <w:r>
        <w:t xml:space="preserve"> table </w:t>
      </w:r>
      <w:r w:rsidR="00400A53">
        <w:t>deals in</w:t>
      </w:r>
      <w:r>
        <w:t xml:space="preserve"> the Statement of Financial Position of Wales Plc which enables the user to </w:t>
      </w:r>
      <w:r w:rsidR="00172D4D">
        <w:t>impart</w:t>
      </w:r>
      <w:r>
        <w:t xml:space="preserve"> information about the position </w:t>
      </w:r>
      <w:r w:rsidR="00400A53">
        <w:t xml:space="preserve">related to </w:t>
      </w:r>
      <w:r w:rsidR="00321D08">
        <w:t>the finances</w:t>
      </w:r>
      <w:r w:rsidR="00400A53">
        <w:t xml:space="preserve"> </w:t>
      </w:r>
      <w:r>
        <w:t xml:space="preserve">of the company at </w:t>
      </w:r>
      <w:r w:rsidR="00400A53">
        <w:t>year end</w:t>
      </w:r>
      <w:r>
        <w:t xml:space="preserve">. Along with Cash flow statements and Income statements, it helps in evaluating the financial standing of the company. With the preparation of this statement, it enables the company to compare its statement with its competitors. If the company has more current assets than its current liabilities then the business has a sound financial position to meet its short-term financial obligation (Chase, 2023). It is one of the most important financial reports among the three different financial reports that the company prepared to check its performance during the period. Assets= Liability + Equity (Corporate Finance Institute, 2022a). The above table shows the Balance sheet of Wales Plc which provides information that it has Plant as a Fixed asset of £650000 along with Trade Receivable of £170125, Cash and bank of £76250 and stock of £330600. This gives the figure </w:t>
      </w:r>
      <w:proofErr w:type="gramStart"/>
      <w:r>
        <w:t>of</w:t>
      </w:r>
      <w:proofErr w:type="gramEnd"/>
      <w:r>
        <w:t xml:space="preserve"> total assets which is £</w:t>
      </w:r>
      <w:r w:rsidR="004954C8">
        <w:t>2026975</w:t>
      </w:r>
      <w:r>
        <w:t xml:space="preserve">. The liabilities include the total share which is £700000 along with net profit and retained earnings. Further, the current liabilities include trade payable, corporation tax and outstanding experiences. The total figure of the liabilities is </w:t>
      </w:r>
      <w:r w:rsidR="004954C8">
        <w:t>£2026975</w:t>
      </w:r>
      <w:r>
        <w:t xml:space="preserve">. </w:t>
      </w:r>
      <w:r w:rsidR="00172D4D">
        <w:t>I</w:t>
      </w:r>
      <w:r>
        <w:t>t can be concluded that</w:t>
      </w:r>
      <w:r w:rsidR="00172D4D">
        <w:t xml:space="preserve"> the figure of assets must be </w:t>
      </w:r>
      <w:proofErr w:type="gramStart"/>
      <w:r w:rsidR="00172D4D">
        <w:t>similar to</w:t>
      </w:r>
      <w:proofErr w:type="gramEnd"/>
      <w:r w:rsidR="00172D4D">
        <w:t xml:space="preserve"> that of liabilities. </w:t>
      </w:r>
    </w:p>
    <w:p w14:paraId="52F7F87C" w14:textId="77777777" w:rsidR="00A016DE" w:rsidRDefault="00000000">
      <w:pPr>
        <w:pStyle w:val="Heading3"/>
      </w:pPr>
      <w:bookmarkStart w:id="5" w:name="_9rfil9fqgxk" w:colFirst="0" w:colLast="0"/>
      <w:bookmarkEnd w:id="5"/>
      <w:r>
        <w:lastRenderedPageBreak/>
        <w:t>c) Why does the statement of financial position balance?</w:t>
      </w:r>
    </w:p>
    <w:p w14:paraId="0E048F95" w14:textId="7B45F143" w:rsidR="00A016DE" w:rsidRDefault="00000000">
      <w:pPr>
        <w:pStyle w:val="Normal1"/>
      </w:pPr>
      <w:r>
        <w:t xml:space="preserve">The core of the </w:t>
      </w:r>
      <w:r w:rsidR="00172D4D">
        <w:t>statement</w:t>
      </w:r>
      <w:r>
        <w:t xml:space="preserve"> is Assets = </w:t>
      </w:r>
      <w:r w:rsidR="00172D4D">
        <w:t xml:space="preserve">Shareholder's Equity + </w:t>
      </w:r>
      <w:r>
        <w:t xml:space="preserve">Liabilities. For the healthy financial position of the company, total liability must match its total asset of it. Assets to the business must be funded by a reasonable combination of liability and equity. In simple terms, the main rule of </w:t>
      </w:r>
      <w:r w:rsidR="00172D4D">
        <w:t>making</w:t>
      </w:r>
      <w:r>
        <w:t xml:space="preserve"> a balance sheet is to be sure that both sides are to be matched. </w:t>
      </w:r>
      <w:r w:rsidR="00321D08">
        <w:t>Matching</w:t>
      </w:r>
      <w:r>
        <w:t xml:space="preserve"> </w:t>
      </w:r>
      <w:r w:rsidR="00321D08">
        <w:t>both</w:t>
      </w:r>
      <w:r>
        <w:t xml:space="preserve"> sides symbolizes the purity and correctness of preparing the balance sheet (GoCardless, 2021). The reason behind the balancing of the financial position </w:t>
      </w:r>
      <w:r w:rsidR="00172D4D">
        <w:t>due to Double entry book-keeping system</w:t>
      </w:r>
      <w:r w:rsidR="00400A53">
        <w:t xml:space="preserve">. </w:t>
      </w:r>
      <w:r>
        <w:t xml:space="preserve">All transactions must be recorded in two different accounts namely debits and credits. The system of double entry also means following an </w:t>
      </w:r>
      <w:r w:rsidR="00172D4D">
        <w:t>equation of accounting</w:t>
      </w:r>
      <w:r>
        <w:t xml:space="preserve"> which is (assets = </w:t>
      </w:r>
      <w:r w:rsidR="00172D4D">
        <w:t xml:space="preserve">owner's </w:t>
      </w:r>
      <w:r w:rsidR="00321D08">
        <w:t>equity +</w:t>
      </w:r>
      <w:r w:rsidR="00172D4D">
        <w:t xml:space="preserve"> </w:t>
      </w:r>
      <w:r>
        <w:t>liabilities) and following this equation always balances both sides of the financial statement (</w:t>
      </w:r>
      <w:proofErr w:type="spellStart"/>
      <w:r>
        <w:t>Averkamp</w:t>
      </w:r>
      <w:proofErr w:type="spellEnd"/>
      <w:r>
        <w:t>, 2023).</w:t>
      </w:r>
    </w:p>
    <w:p w14:paraId="6004F522" w14:textId="77777777" w:rsidR="00A016DE" w:rsidRDefault="00000000">
      <w:pPr>
        <w:pStyle w:val="Heading2"/>
      </w:pPr>
      <w:bookmarkStart w:id="6" w:name="_3hfwkd1k6hqr" w:colFirst="0" w:colLast="0"/>
      <w:bookmarkEnd w:id="6"/>
      <w:r>
        <w:t xml:space="preserve">QUESTION 2   </w:t>
      </w:r>
    </w:p>
    <w:p w14:paraId="75528D8D" w14:textId="77777777" w:rsidR="00A016DE" w:rsidRDefault="00000000">
      <w:pPr>
        <w:pStyle w:val="Heading3"/>
      </w:pPr>
      <w:bookmarkStart w:id="7" w:name="_8t3my1dzdlvy" w:colFirst="0" w:colLast="0"/>
      <w:bookmarkEnd w:id="7"/>
      <w:r>
        <w:t xml:space="preserve">Part One </w:t>
      </w:r>
    </w:p>
    <w:p w14:paraId="7B0D59D2" w14:textId="77777777" w:rsidR="00A016DE" w:rsidRDefault="00000000">
      <w:pPr>
        <w:pStyle w:val="Heading4"/>
      </w:pPr>
      <w:bookmarkStart w:id="8" w:name="_lstgfi8p7ys6" w:colFirst="0" w:colLast="0"/>
      <w:bookmarkEnd w:id="8"/>
      <w:r>
        <w:t>a) ROCE</w:t>
      </w:r>
    </w:p>
    <w:p w14:paraId="4A3BDA61" w14:textId="77777777" w:rsidR="00A016DE" w:rsidRDefault="00000000">
      <w:pPr>
        <w:pStyle w:val="Normal1"/>
        <w:jc w:val="center"/>
      </w:pPr>
      <w:r>
        <w:rPr>
          <w:noProof/>
        </w:rPr>
        <w:drawing>
          <wp:inline distT="114300" distB="114300" distL="114300" distR="114300" wp14:anchorId="17932C49" wp14:editId="0416B1E8">
            <wp:extent cx="5943600" cy="1955800"/>
            <wp:effectExtent l="25400" t="25400" r="25400" b="25400"/>
            <wp:docPr id="2" name="image10.png"/>
            <wp:cNvGraphicFramePr/>
            <a:graphic xmlns:a="http://schemas.openxmlformats.org/drawingml/2006/main">
              <a:graphicData uri="http://schemas.openxmlformats.org/drawingml/2006/picture">
                <pic:pic xmlns:pic="http://schemas.openxmlformats.org/drawingml/2006/picture">
                  <pic:nvPicPr>
                    <pic:cNvPr id="2" name="image10.png"/>
                    <pic:cNvPicPr/>
                  </pic:nvPicPr>
                  <pic:blipFill>
                    <a:blip r:embed="rId9"/>
                    <a:stretch>
                      <a:fillRect/>
                    </a:stretch>
                  </pic:blipFill>
                  <pic:spPr>
                    <a:xfrm>
                      <a:off x="0" y="0"/>
                      <a:ext cx="5943600" cy="1955800"/>
                    </a:xfrm>
                    <a:prstGeom prst="rect">
                      <a:avLst/>
                    </a:prstGeom>
                    <a:ln w="25400">
                      <a:solidFill>
                        <a:srgbClr val="000000"/>
                      </a:solidFill>
                      <a:prstDash val="solid"/>
                    </a:ln>
                  </pic:spPr>
                </pic:pic>
              </a:graphicData>
            </a:graphic>
          </wp:inline>
        </w:drawing>
      </w:r>
    </w:p>
    <w:p w14:paraId="75359646" w14:textId="36748A30" w:rsidR="00A016DE" w:rsidRDefault="00000000" w:rsidP="00172D4D">
      <w:pPr>
        <w:pStyle w:val="Normal1"/>
        <w:ind w:left="720"/>
        <w:jc w:val="center"/>
        <w:rPr>
          <w:b/>
        </w:rPr>
      </w:pPr>
      <w:r>
        <w:rPr>
          <w:b/>
        </w:rPr>
        <w:t xml:space="preserve">Table </w:t>
      </w:r>
      <w:r w:rsidR="00172D4D">
        <w:rPr>
          <w:b/>
        </w:rPr>
        <w:t>Three</w:t>
      </w:r>
      <w:r>
        <w:rPr>
          <w:b/>
        </w:rPr>
        <w:t xml:space="preserve">: </w:t>
      </w:r>
      <w:r w:rsidR="00E525C2">
        <w:rPr>
          <w:b/>
        </w:rPr>
        <w:t>Computation</w:t>
      </w:r>
      <w:r>
        <w:rPr>
          <w:b/>
        </w:rPr>
        <w:t xml:space="preserve"> of ROCE</w:t>
      </w:r>
    </w:p>
    <w:p w14:paraId="206331E2" w14:textId="28F35DAE" w:rsidR="00172D4D" w:rsidRDefault="00172D4D" w:rsidP="00172D4D">
      <w:pPr>
        <w:pStyle w:val="Normal1"/>
        <w:jc w:val="center"/>
      </w:pPr>
      <w:r>
        <w:t xml:space="preserve">           (Source: Self-Developed, 2023).</w:t>
      </w:r>
    </w:p>
    <w:p w14:paraId="6E48FBFA" w14:textId="4F310A83" w:rsidR="00A016DE" w:rsidRDefault="00000000">
      <w:pPr>
        <w:pStyle w:val="Normal1"/>
      </w:pPr>
      <w:r>
        <w:t xml:space="preserve">The above table deals in showing the computation of ROCE which </w:t>
      </w:r>
      <w:r w:rsidR="00321D08">
        <w:t>is</w:t>
      </w:r>
      <w:r>
        <w:t xml:space="preserve"> a profitability ratio. The purpose of calculating this is to show the efficiency of the </w:t>
      </w:r>
      <w:r w:rsidR="00172D4D">
        <w:t>organisation</w:t>
      </w:r>
      <w:r>
        <w:t xml:space="preserve"> in terms of using its capital employed to generate profits. This ratio is mainly used by the investors in determining the capacity of the company to make a profit which leads to the decision about investing in the company or not. The ratio can be computed with the help of </w:t>
      </w:r>
      <w:r w:rsidR="00172D4D">
        <w:t>EBIT</w:t>
      </w:r>
      <w:r>
        <w:t xml:space="preserve"> divided by total capital employed. The amount of </w:t>
      </w:r>
      <w:r w:rsidR="00172D4D">
        <w:t>employed capital</w:t>
      </w:r>
      <w:r>
        <w:t xml:space="preserve"> can be obtained </w:t>
      </w:r>
      <w:r w:rsidR="00321D08">
        <w:t>by subtracting</w:t>
      </w:r>
      <w:r>
        <w:t xml:space="preserve"> current liabilities</w:t>
      </w:r>
      <w:r w:rsidR="00E525C2">
        <w:t xml:space="preserve"> from total assets</w:t>
      </w:r>
      <w:r>
        <w:t xml:space="preserve"> (Corporate Finance Institute, 2023b). With the help of the above table, the EBIT for the years 2020 and 2021 </w:t>
      </w:r>
      <w:r>
        <w:lastRenderedPageBreak/>
        <w:t xml:space="preserve">was 699 and 805 respectively. Capital employed for 2020 and 2021 were 7041 and 7225 respectively. The following data provided the ROCE for the year 2020 and 2021 was 9.93 and 11.14. It is observed that ROCE has increased which means the </w:t>
      </w:r>
      <w:r w:rsidR="00321D08">
        <w:t>organization</w:t>
      </w:r>
      <w:r w:rsidR="00E525C2">
        <w:t xml:space="preserve"> </w:t>
      </w:r>
      <w:r w:rsidR="00321D08">
        <w:t>profitability</w:t>
      </w:r>
      <w:r>
        <w:t xml:space="preserve"> has </w:t>
      </w:r>
      <w:r w:rsidR="00321D08">
        <w:t>risen</w:t>
      </w:r>
      <w:r>
        <w:t xml:space="preserve"> in the </w:t>
      </w:r>
      <w:r w:rsidR="00400A53">
        <w:t>year 2021</w:t>
      </w:r>
      <w:r>
        <w:t xml:space="preserve">. </w:t>
      </w:r>
    </w:p>
    <w:p w14:paraId="00F787FB" w14:textId="77777777" w:rsidR="00A016DE" w:rsidRDefault="00000000">
      <w:pPr>
        <w:pStyle w:val="Heading4"/>
      </w:pPr>
      <w:bookmarkStart w:id="9" w:name="_3wjsowtckyfl" w:colFirst="0" w:colLast="0"/>
      <w:bookmarkEnd w:id="9"/>
      <w:r>
        <w:t>b) ROE</w:t>
      </w:r>
    </w:p>
    <w:p w14:paraId="332859DD" w14:textId="77777777" w:rsidR="00A016DE" w:rsidRDefault="00000000">
      <w:pPr>
        <w:pStyle w:val="Normal1"/>
        <w:jc w:val="center"/>
      </w:pPr>
      <w:r>
        <w:rPr>
          <w:noProof/>
        </w:rPr>
        <w:drawing>
          <wp:inline distT="114300" distB="114300" distL="114300" distR="114300" wp14:anchorId="75B3CC66" wp14:editId="0DB54AF6">
            <wp:extent cx="5943600" cy="1397000"/>
            <wp:effectExtent l="25400" t="25400" r="25400" b="25400"/>
            <wp:docPr id="6" name="image1.png"/>
            <wp:cNvGraphicFramePr/>
            <a:graphic xmlns:a="http://schemas.openxmlformats.org/drawingml/2006/main">
              <a:graphicData uri="http://schemas.openxmlformats.org/drawingml/2006/picture">
                <pic:pic xmlns:pic="http://schemas.openxmlformats.org/drawingml/2006/picture">
                  <pic:nvPicPr>
                    <pic:cNvPr id="6" name="image1.png"/>
                    <pic:cNvPicPr/>
                  </pic:nvPicPr>
                  <pic:blipFill>
                    <a:blip r:embed="rId10"/>
                    <a:stretch>
                      <a:fillRect/>
                    </a:stretch>
                  </pic:blipFill>
                  <pic:spPr>
                    <a:xfrm>
                      <a:off x="0" y="0"/>
                      <a:ext cx="5943600" cy="1397000"/>
                    </a:xfrm>
                    <a:prstGeom prst="rect">
                      <a:avLst/>
                    </a:prstGeom>
                    <a:ln w="25400">
                      <a:solidFill>
                        <a:srgbClr val="000000"/>
                      </a:solidFill>
                      <a:prstDash val="solid"/>
                    </a:ln>
                  </pic:spPr>
                </pic:pic>
              </a:graphicData>
            </a:graphic>
          </wp:inline>
        </w:drawing>
      </w:r>
    </w:p>
    <w:p w14:paraId="2E0C372C" w14:textId="5159577A" w:rsidR="00A016DE" w:rsidRDefault="00000000">
      <w:pPr>
        <w:pStyle w:val="Normal1"/>
        <w:ind w:left="720"/>
        <w:jc w:val="center"/>
        <w:rPr>
          <w:b/>
        </w:rPr>
      </w:pPr>
      <w:r>
        <w:rPr>
          <w:b/>
        </w:rPr>
        <w:t xml:space="preserve">Table </w:t>
      </w:r>
      <w:r w:rsidR="00E525C2">
        <w:rPr>
          <w:b/>
        </w:rPr>
        <w:t>Four</w:t>
      </w:r>
      <w:r>
        <w:rPr>
          <w:b/>
        </w:rPr>
        <w:t xml:space="preserve">: </w:t>
      </w:r>
      <w:r w:rsidR="00E525C2">
        <w:rPr>
          <w:b/>
        </w:rPr>
        <w:t>Computation</w:t>
      </w:r>
      <w:r>
        <w:rPr>
          <w:b/>
        </w:rPr>
        <w:t xml:space="preserve"> of ROE</w:t>
      </w:r>
    </w:p>
    <w:p w14:paraId="2FE627BC" w14:textId="77777777" w:rsidR="00E525C2" w:rsidRDefault="00E525C2" w:rsidP="00E525C2">
      <w:pPr>
        <w:pStyle w:val="Normal1"/>
        <w:jc w:val="center"/>
      </w:pPr>
      <w:r>
        <w:t xml:space="preserve">           (Source: Self-Developed, 2023).</w:t>
      </w:r>
    </w:p>
    <w:p w14:paraId="086FC530" w14:textId="554BC725" w:rsidR="00A016DE" w:rsidRDefault="00000000">
      <w:pPr>
        <w:pStyle w:val="Normal1"/>
      </w:pPr>
      <w:r>
        <w:t xml:space="preserve">Table 4 deals with the computation of ROE. With the help of this ratio, the company </w:t>
      </w:r>
      <w:r w:rsidR="00321D08">
        <w:t>can</w:t>
      </w:r>
      <w:r>
        <w:t xml:space="preserve"> measure its performance over the given period. In other words, ROE helps to measure the efficiency of the company in using the money invested by the investor. In simple terms, it shows how a business is effective in using the investor's money to enhance its performance. This ratio can easily be </w:t>
      </w:r>
      <w:r w:rsidR="00400A53">
        <w:t>computed</w:t>
      </w:r>
      <w:r>
        <w:t xml:space="preserve"> by dividing the net income from the operation of the business by shareholders' equity. Net income means the amount obtained after deducting operating costs from the revenue generated. On the other </w:t>
      </w:r>
      <w:r w:rsidR="00321D08">
        <w:t>hand,</w:t>
      </w:r>
      <w:r>
        <w:t xml:space="preserve"> shareholders' equity means remaining profits after all debts of the business (Corporate Finance Institute, 2023c). The above represents the net income for the period 2020 and 2021 which were 366 and 431 respectively. The shareholders' equity for the </w:t>
      </w:r>
      <w:r w:rsidR="00321D08">
        <w:t>periods</w:t>
      </w:r>
      <w:r>
        <w:t xml:space="preserve"> 2020 and 2021 were 300 and 300 respectively. The ROE were 1.22 and </w:t>
      </w:r>
      <w:r w:rsidR="00321D08">
        <w:t>1.437,</w:t>
      </w:r>
      <w:r>
        <w:t xml:space="preserve"> which shows that </w:t>
      </w:r>
      <w:proofErr w:type="gramStart"/>
      <w:r>
        <w:t>Sweets</w:t>
      </w:r>
      <w:proofErr w:type="gramEnd"/>
      <w:r>
        <w:t xml:space="preserve"> plc's efficiency in utilizing the money invested by the investor has increased over the </w:t>
      </w:r>
      <w:r w:rsidR="00E525C2">
        <w:t>period</w:t>
      </w:r>
      <w:r>
        <w:t xml:space="preserve">. </w:t>
      </w:r>
    </w:p>
    <w:p w14:paraId="42EC7008" w14:textId="77777777" w:rsidR="00A016DE" w:rsidRDefault="00000000">
      <w:pPr>
        <w:pStyle w:val="Heading4"/>
      </w:pPr>
      <w:bookmarkStart w:id="10" w:name="_yccq3brhfkav" w:colFirst="0" w:colLast="0"/>
      <w:bookmarkEnd w:id="10"/>
      <w:r>
        <w:lastRenderedPageBreak/>
        <w:t>c) Earnings per share</w:t>
      </w:r>
    </w:p>
    <w:p w14:paraId="0392BDD6" w14:textId="77777777" w:rsidR="00A016DE" w:rsidRDefault="00000000">
      <w:pPr>
        <w:pStyle w:val="Normal1"/>
        <w:jc w:val="center"/>
      </w:pPr>
      <w:r>
        <w:rPr>
          <w:noProof/>
        </w:rPr>
        <w:drawing>
          <wp:inline distT="114300" distB="114300" distL="114300" distR="114300" wp14:anchorId="7F09740A" wp14:editId="28B59813">
            <wp:extent cx="5943600" cy="1663700"/>
            <wp:effectExtent l="25400" t="25400" r="25400" b="25400"/>
            <wp:docPr id="10" name="image3.png"/>
            <wp:cNvGraphicFramePr/>
            <a:graphic xmlns:a="http://schemas.openxmlformats.org/drawingml/2006/main">
              <a:graphicData uri="http://schemas.openxmlformats.org/drawingml/2006/picture">
                <pic:pic xmlns:pic="http://schemas.openxmlformats.org/drawingml/2006/picture">
                  <pic:nvPicPr>
                    <pic:cNvPr id="10" name="image3.png"/>
                    <pic:cNvPicPr/>
                  </pic:nvPicPr>
                  <pic:blipFill>
                    <a:blip r:embed="rId11"/>
                    <a:stretch>
                      <a:fillRect/>
                    </a:stretch>
                  </pic:blipFill>
                  <pic:spPr>
                    <a:xfrm>
                      <a:off x="0" y="0"/>
                      <a:ext cx="5943600" cy="1663700"/>
                    </a:xfrm>
                    <a:prstGeom prst="rect">
                      <a:avLst/>
                    </a:prstGeom>
                    <a:ln w="25400">
                      <a:solidFill>
                        <a:srgbClr val="000000"/>
                      </a:solidFill>
                      <a:prstDash val="solid"/>
                    </a:ln>
                  </pic:spPr>
                </pic:pic>
              </a:graphicData>
            </a:graphic>
          </wp:inline>
        </w:drawing>
      </w:r>
    </w:p>
    <w:p w14:paraId="2F896B26" w14:textId="20DB9E49" w:rsidR="00A016DE" w:rsidRDefault="00000000">
      <w:pPr>
        <w:pStyle w:val="Normal1"/>
        <w:ind w:left="720"/>
        <w:jc w:val="center"/>
        <w:rPr>
          <w:b/>
        </w:rPr>
      </w:pPr>
      <w:r>
        <w:rPr>
          <w:b/>
        </w:rPr>
        <w:t xml:space="preserve">Table </w:t>
      </w:r>
      <w:r w:rsidR="00E525C2">
        <w:rPr>
          <w:b/>
        </w:rPr>
        <w:t>Five</w:t>
      </w:r>
      <w:r>
        <w:rPr>
          <w:b/>
        </w:rPr>
        <w:t xml:space="preserve">: </w:t>
      </w:r>
      <w:r w:rsidR="00E525C2">
        <w:rPr>
          <w:b/>
        </w:rPr>
        <w:t>Computation</w:t>
      </w:r>
      <w:r>
        <w:rPr>
          <w:b/>
        </w:rPr>
        <w:t xml:space="preserve"> of EPS</w:t>
      </w:r>
    </w:p>
    <w:p w14:paraId="7E4A2F3B" w14:textId="77777777" w:rsidR="00E525C2" w:rsidRDefault="00E525C2" w:rsidP="00E525C2">
      <w:pPr>
        <w:pStyle w:val="Normal1"/>
        <w:jc w:val="center"/>
      </w:pPr>
      <w:r>
        <w:t xml:space="preserve">           (Source: Self-Developed, 2023).</w:t>
      </w:r>
    </w:p>
    <w:p w14:paraId="499C7953" w14:textId="710D3030" w:rsidR="00A016DE" w:rsidRDefault="00000000">
      <w:pPr>
        <w:pStyle w:val="Normal1"/>
      </w:pPr>
      <w:r>
        <w:t xml:space="preserve">It is the most important metric which is used by the company to know </w:t>
      </w:r>
      <w:proofErr w:type="gramStart"/>
      <w:r>
        <w:t>its</w:t>
      </w:r>
      <w:proofErr w:type="gramEnd"/>
      <w:r>
        <w:t xml:space="preserve"> earning figure. It is simple to calculate by division of the net income generated by the company over the year by the shares listed </w:t>
      </w:r>
      <w:r w:rsidR="00E525C2">
        <w:t>of the</w:t>
      </w:r>
      <w:r>
        <w:t xml:space="preserve"> company (IG, 2023). The above table represents the computation of the earnings per share of </w:t>
      </w:r>
      <w:proofErr w:type="gramStart"/>
      <w:r>
        <w:t>Sweets</w:t>
      </w:r>
      <w:proofErr w:type="gramEnd"/>
      <w:r>
        <w:t xml:space="preserve"> plc in the year 2020 and 2021 respectively. The EPS related to both the </w:t>
      </w:r>
      <w:proofErr w:type="gramStart"/>
      <w:r>
        <w:t>year</w:t>
      </w:r>
      <w:proofErr w:type="gramEnd"/>
      <w:r>
        <w:t xml:space="preserve"> were 2.44 and 1.43. It has been observed that this ratio has been decreasing which means that the company is not likely to distribute all the </w:t>
      </w:r>
      <w:proofErr w:type="gramStart"/>
      <w:r>
        <w:t>profit</w:t>
      </w:r>
      <w:proofErr w:type="gramEnd"/>
      <w:r>
        <w:t xml:space="preserve"> and this discourages the investor from investing. </w:t>
      </w:r>
    </w:p>
    <w:p w14:paraId="12E74A62" w14:textId="77777777" w:rsidR="00A016DE" w:rsidRDefault="00000000">
      <w:pPr>
        <w:pStyle w:val="Heading4"/>
      </w:pPr>
      <w:bookmarkStart w:id="11" w:name="_6gytwuqbs2r8" w:colFirst="0" w:colLast="0"/>
      <w:bookmarkEnd w:id="11"/>
      <w:r>
        <w:t>d) Net profit margin</w:t>
      </w:r>
    </w:p>
    <w:p w14:paraId="4E1D544A" w14:textId="77777777" w:rsidR="00A016DE" w:rsidRDefault="00000000">
      <w:pPr>
        <w:pStyle w:val="Normal1"/>
        <w:jc w:val="center"/>
      </w:pPr>
      <w:r>
        <w:rPr>
          <w:noProof/>
        </w:rPr>
        <w:drawing>
          <wp:inline distT="114300" distB="114300" distL="114300" distR="114300" wp14:anchorId="5997CEDE" wp14:editId="2FE7FCCE">
            <wp:extent cx="5943600" cy="1409700"/>
            <wp:effectExtent l="25400" t="25400" r="25400" b="25400"/>
            <wp:docPr id="7" name="image4.png"/>
            <wp:cNvGraphicFramePr/>
            <a:graphic xmlns:a="http://schemas.openxmlformats.org/drawingml/2006/main">
              <a:graphicData uri="http://schemas.openxmlformats.org/drawingml/2006/picture">
                <pic:pic xmlns:pic="http://schemas.openxmlformats.org/drawingml/2006/picture">
                  <pic:nvPicPr>
                    <pic:cNvPr id="7" name="image4.png"/>
                    <pic:cNvPicPr/>
                  </pic:nvPicPr>
                  <pic:blipFill>
                    <a:blip r:embed="rId12"/>
                    <a:stretch>
                      <a:fillRect/>
                    </a:stretch>
                  </pic:blipFill>
                  <pic:spPr>
                    <a:xfrm>
                      <a:off x="0" y="0"/>
                      <a:ext cx="5943600" cy="1409700"/>
                    </a:xfrm>
                    <a:prstGeom prst="rect">
                      <a:avLst/>
                    </a:prstGeom>
                    <a:ln w="25400">
                      <a:solidFill>
                        <a:srgbClr val="000000"/>
                      </a:solidFill>
                      <a:prstDash val="solid"/>
                    </a:ln>
                  </pic:spPr>
                </pic:pic>
              </a:graphicData>
            </a:graphic>
          </wp:inline>
        </w:drawing>
      </w:r>
    </w:p>
    <w:p w14:paraId="563767AF" w14:textId="32C98B8D" w:rsidR="00A016DE" w:rsidRDefault="00000000">
      <w:pPr>
        <w:pStyle w:val="Normal1"/>
        <w:ind w:left="720"/>
        <w:jc w:val="center"/>
        <w:rPr>
          <w:b/>
        </w:rPr>
      </w:pPr>
      <w:r>
        <w:rPr>
          <w:b/>
        </w:rPr>
        <w:t xml:space="preserve">Table </w:t>
      </w:r>
      <w:r w:rsidR="00E525C2">
        <w:rPr>
          <w:b/>
        </w:rPr>
        <w:t>Six</w:t>
      </w:r>
      <w:r>
        <w:rPr>
          <w:b/>
        </w:rPr>
        <w:t xml:space="preserve">: </w:t>
      </w:r>
      <w:r w:rsidR="00E525C2">
        <w:rPr>
          <w:b/>
        </w:rPr>
        <w:t>Computation</w:t>
      </w:r>
      <w:r>
        <w:rPr>
          <w:b/>
        </w:rPr>
        <w:t xml:space="preserve"> of Net Profit Margin</w:t>
      </w:r>
    </w:p>
    <w:p w14:paraId="26918562" w14:textId="004B0312" w:rsidR="00A016DE" w:rsidRDefault="00E525C2">
      <w:pPr>
        <w:pStyle w:val="Normal1"/>
        <w:ind w:left="720"/>
        <w:jc w:val="center"/>
      </w:pPr>
      <w:r>
        <w:t>(Source: Self-Developed, 2023).</w:t>
      </w:r>
    </w:p>
    <w:p w14:paraId="37B6CE27" w14:textId="660B29D6" w:rsidR="00A016DE" w:rsidRDefault="00000000">
      <w:pPr>
        <w:pStyle w:val="Normal1"/>
      </w:pPr>
      <w:r>
        <w:t xml:space="preserve">Net Profit Margin is the ratio which helps the company to measure the percentage of net income generated from sales revenue </w:t>
      </w:r>
      <w:r w:rsidR="00321D08">
        <w:t>for</w:t>
      </w:r>
      <w:r>
        <w:t xml:space="preserve"> the year. It helps the company in revealing the percentage of profit in the sales </w:t>
      </w:r>
      <w:r w:rsidR="00321D08">
        <w:t>figures</w:t>
      </w:r>
      <w:r>
        <w:t>. It is also called the net income margin (</w:t>
      </w:r>
      <w:proofErr w:type="spellStart"/>
      <w:r>
        <w:t>Rehayem</w:t>
      </w:r>
      <w:proofErr w:type="spellEnd"/>
      <w:r>
        <w:t xml:space="preserve">, 2022). The above table which deals with computing the </w:t>
      </w:r>
      <w:r w:rsidR="00E525C2">
        <w:t>ratio</w:t>
      </w:r>
      <w:r>
        <w:t xml:space="preserve"> for </w:t>
      </w:r>
      <w:proofErr w:type="gramStart"/>
      <w:r>
        <w:t>Sweets</w:t>
      </w:r>
      <w:proofErr w:type="gramEnd"/>
      <w:r>
        <w:t xml:space="preserve"> plc for the year 2020 was 5.68 and for the year 2021 was 6.39 which shows that it has increased. The increase in net profit margin indicates that the company's profit margin on sales has increased.</w:t>
      </w:r>
    </w:p>
    <w:p w14:paraId="7B0F87EE" w14:textId="77777777" w:rsidR="00A016DE" w:rsidRDefault="00000000">
      <w:pPr>
        <w:pStyle w:val="Heading4"/>
      </w:pPr>
      <w:bookmarkStart w:id="12" w:name="_29cwtkycbigs" w:colFirst="0" w:colLast="0"/>
      <w:bookmarkEnd w:id="12"/>
      <w:r>
        <w:lastRenderedPageBreak/>
        <w:t>e) Asset turnover</w:t>
      </w:r>
    </w:p>
    <w:p w14:paraId="1DDEA688" w14:textId="77777777" w:rsidR="00A016DE" w:rsidRDefault="00000000">
      <w:pPr>
        <w:pStyle w:val="Normal1"/>
        <w:jc w:val="center"/>
      </w:pPr>
      <w:r>
        <w:rPr>
          <w:noProof/>
        </w:rPr>
        <w:drawing>
          <wp:inline distT="114300" distB="114300" distL="114300" distR="114300" wp14:anchorId="71DA42B9" wp14:editId="5D3EB5E1">
            <wp:extent cx="5943600" cy="1689100"/>
            <wp:effectExtent l="25400" t="25400" r="25400" b="25400"/>
            <wp:docPr id="12" name="image9.png"/>
            <wp:cNvGraphicFramePr/>
            <a:graphic xmlns:a="http://schemas.openxmlformats.org/drawingml/2006/main">
              <a:graphicData uri="http://schemas.openxmlformats.org/drawingml/2006/picture">
                <pic:pic xmlns:pic="http://schemas.openxmlformats.org/drawingml/2006/picture">
                  <pic:nvPicPr>
                    <pic:cNvPr id="12" name="image9.png"/>
                    <pic:cNvPicPr/>
                  </pic:nvPicPr>
                  <pic:blipFill>
                    <a:blip r:embed="rId13"/>
                    <a:stretch>
                      <a:fillRect/>
                    </a:stretch>
                  </pic:blipFill>
                  <pic:spPr>
                    <a:xfrm>
                      <a:off x="0" y="0"/>
                      <a:ext cx="5943600" cy="1689100"/>
                    </a:xfrm>
                    <a:prstGeom prst="rect">
                      <a:avLst/>
                    </a:prstGeom>
                    <a:ln w="25400">
                      <a:solidFill>
                        <a:srgbClr val="000000"/>
                      </a:solidFill>
                      <a:prstDash val="solid"/>
                    </a:ln>
                  </pic:spPr>
                </pic:pic>
              </a:graphicData>
            </a:graphic>
          </wp:inline>
        </w:drawing>
      </w:r>
    </w:p>
    <w:p w14:paraId="01A766A2" w14:textId="75C5C107" w:rsidR="00A016DE" w:rsidRDefault="00000000">
      <w:pPr>
        <w:pStyle w:val="Normal1"/>
        <w:ind w:left="720"/>
        <w:jc w:val="center"/>
        <w:rPr>
          <w:b/>
        </w:rPr>
      </w:pPr>
      <w:r>
        <w:rPr>
          <w:b/>
        </w:rPr>
        <w:t xml:space="preserve">Table </w:t>
      </w:r>
      <w:r w:rsidR="00E525C2">
        <w:rPr>
          <w:b/>
        </w:rPr>
        <w:t>Seven</w:t>
      </w:r>
      <w:r>
        <w:rPr>
          <w:b/>
        </w:rPr>
        <w:t xml:space="preserve">: </w:t>
      </w:r>
      <w:r w:rsidR="00E525C2">
        <w:rPr>
          <w:b/>
        </w:rPr>
        <w:t>Computation</w:t>
      </w:r>
      <w:r>
        <w:rPr>
          <w:b/>
        </w:rPr>
        <w:t xml:space="preserve"> of Assets Turnover</w:t>
      </w:r>
    </w:p>
    <w:p w14:paraId="7B926231" w14:textId="77777777" w:rsidR="00E525C2" w:rsidRDefault="00E525C2" w:rsidP="00E525C2">
      <w:pPr>
        <w:pStyle w:val="Normal1"/>
        <w:jc w:val="center"/>
      </w:pPr>
      <w:r>
        <w:t>(Source: Self-Developed, 2023).</w:t>
      </w:r>
    </w:p>
    <w:p w14:paraId="70A0B8DA" w14:textId="7CDE69EB" w:rsidR="00A016DE" w:rsidRDefault="00000000">
      <w:pPr>
        <w:pStyle w:val="Normal1"/>
      </w:pPr>
      <w:r>
        <w:t xml:space="preserve">Assets Turnover is the ratio which helps the company to know its efficiency in using its owned resources to contribute to enhancing its sales. The ratio is used to compare the gross revenue of the company with the average total assets. A high ratio indicated that the company is efficient in using its assets to generate revenue (Brush, 2023). From the above table, it has been concluded that the ratio of Sweet's plc has been decreasing. The asset turnover ratio for the years 2020 and 2021 were 1.27 and 0.67 respectively. This decrease in this ratio shows that the company's efficiency in using its resources has decreased. </w:t>
      </w:r>
    </w:p>
    <w:p w14:paraId="60E06FA7" w14:textId="77777777" w:rsidR="00A016DE" w:rsidRDefault="00000000">
      <w:pPr>
        <w:pStyle w:val="Heading4"/>
      </w:pPr>
      <w:bookmarkStart w:id="13" w:name="_4l1gwyxwrxxi" w:colFirst="0" w:colLast="0"/>
      <w:bookmarkEnd w:id="13"/>
      <w:r>
        <w:t>f) Stock holding days</w:t>
      </w:r>
    </w:p>
    <w:p w14:paraId="1D2843D8" w14:textId="77777777" w:rsidR="00A016DE" w:rsidRDefault="00000000">
      <w:pPr>
        <w:pStyle w:val="Normal1"/>
        <w:jc w:val="center"/>
      </w:pPr>
      <w:r>
        <w:rPr>
          <w:noProof/>
        </w:rPr>
        <w:drawing>
          <wp:inline distT="114300" distB="114300" distL="114300" distR="114300" wp14:anchorId="49D4708C" wp14:editId="75EE95B4">
            <wp:extent cx="5943600" cy="976313"/>
            <wp:effectExtent l="25400" t="25400" r="25400" b="25400"/>
            <wp:docPr id="9" name="image2.png"/>
            <wp:cNvGraphicFramePr/>
            <a:graphic xmlns:a="http://schemas.openxmlformats.org/drawingml/2006/main">
              <a:graphicData uri="http://schemas.openxmlformats.org/drawingml/2006/picture">
                <pic:pic xmlns:pic="http://schemas.openxmlformats.org/drawingml/2006/picture">
                  <pic:nvPicPr>
                    <pic:cNvPr id="9" name="image2.png"/>
                    <pic:cNvPicPr/>
                  </pic:nvPicPr>
                  <pic:blipFill>
                    <a:blip r:embed="rId14"/>
                    <a:stretch>
                      <a:fillRect/>
                    </a:stretch>
                  </pic:blipFill>
                  <pic:spPr>
                    <a:xfrm>
                      <a:off x="0" y="0"/>
                      <a:ext cx="5943600" cy="976313"/>
                    </a:xfrm>
                    <a:prstGeom prst="rect">
                      <a:avLst/>
                    </a:prstGeom>
                    <a:ln w="25400">
                      <a:solidFill>
                        <a:srgbClr val="000000"/>
                      </a:solidFill>
                      <a:prstDash val="solid"/>
                    </a:ln>
                  </pic:spPr>
                </pic:pic>
              </a:graphicData>
            </a:graphic>
          </wp:inline>
        </w:drawing>
      </w:r>
    </w:p>
    <w:p w14:paraId="2CBF77B5" w14:textId="5278A026" w:rsidR="00A016DE" w:rsidRDefault="00400A53" w:rsidP="00E525C2">
      <w:pPr>
        <w:pStyle w:val="Normal1"/>
        <w:ind w:left="720"/>
        <w:jc w:val="center"/>
        <w:rPr>
          <w:b/>
        </w:rPr>
      </w:pPr>
      <w:r>
        <w:rPr>
          <w:b/>
        </w:rPr>
        <w:t xml:space="preserve">Table </w:t>
      </w:r>
      <w:r w:rsidR="00E525C2">
        <w:rPr>
          <w:b/>
        </w:rPr>
        <w:t>Eight</w:t>
      </w:r>
      <w:r>
        <w:rPr>
          <w:b/>
        </w:rPr>
        <w:t xml:space="preserve">: </w:t>
      </w:r>
      <w:r w:rsidR="00E525C2">
        <w:rPr>
          <w:b/>
        </w:rPr>
        <w:t>Computation</w:t>
      </w:r>
      <w:r>
        <w:rPr>
          <w:b/>
        </w:rPr>
        <w:t xml:space="preserve"> of Stock Holding Days</w:t>
      </w:r>
    </w:p>
    <w:p w14:paraId="5AB61A78" w14:textId="77777777" w:rsidR="00E525C2" w:rsidRDefault="00E525C2" w:rsidP="00E525C2">
      <w:pPr>
        <w:pStyle w:val="Normal1"/>
        <w:jc w:val="center"/>
      </w:pPr>
      <w:r>
        <w:t>(Source: Self-Developed, 2023).</w:t>
      </w:r>
    </w:p>
    <w:p w14:paraId="2B561958" w14:textId="2817B2BB" w:rsidR="00A016DE" w:rsidRDefault="00400A53">
      <w:pPr>
        <w:pStyle w:val="Normal1"/>
      </w:pPr>
      <w:r>
        <w:t xml:space="preserve">The ratio </w:t>
      </w:r>
      <w:proofErr w:type="gramStart"/>
      <w:r>
        <w:t>provide</w:t>
      </w:r>
      <w:proofErr w:type="gramEnd"/>
      <w:r>
        <w:t xml:space="preserve"> the count of days a </w:t>
      </w:r>
      <w:proofErr w:type="spellStart"/>
      <w:r>
        <w:t>buisness</w:t>
      </w:r>
      <w:proofErr w:type="spellEnd"/>
      <w:r>
        <w:t xml:space="preserve"> holds its stock to sell. In other words, this ratio provides the time period to convert the amount invested in stock into cash. A longer time period means companies take a long time to convert their stock into cash. From the above table, it has been found that the stock holding period of Sweet's plc for the years 2020 and 2021 were 77.69 and 79.88 respectively. An increase in assets turnover period indicates that the company takes a longer time than before in clearing the inventory and converting it into cash. </w:t>
      </w:r>
    </w:p>
    <w:p w14:paraId="21171046" w14:textId="77777777" w:rsidR="00A016DE" w:rsidRDefault="00000000">
      <w:pPr>
        <w:pStyle w:val="Heading4"/>
      </w:pPr>
      <w:bookmarkStart w:id="14" w:name="_5nbc5vvesgvp" w:colFirst="0" w:colLast="0"/>
      <w:bookmarkEnd w:id="14"/>
      <w:r>
        <w:lastRenderedPageBreak/>
        <w:t xml:space="preserve">g) </w:t>
      </w:r>
      <w:proofErr w:type="gramStart"/>
      <w:r>
        <w:t>Debtors</w:t>
      </w:r>
      <w:proofErr w:type="gramEnd"/>
      <w:r>
        <w:t xml:space="preserve"> collection period</w:t>
      </w:r>
    </w:p>
    <w:p w14:paraId="0CD815F7" w14:textId="77777777" w:rsidR="00A016DE" w:rsidRDefault="00000000">
      <w:pPr>
        <w:pStyle w:val="Normal1"/>
        <w:jc w:val="center"/>
      </w:pPr>
      <w:r>
        <w:rPr>
          <w:noProof/>
        </w:rPr>
        <w:drawing>
          <wp:inline distT="114300" distB="114300" distL="114300" distR="114300" wp14:anchorId="5CF21B57" wp14:editId="4F0FC9AC">
            <wp:extent cx="5943600" cy="977900"/>
            <wp:effectExtent l="25400" t="25400" r="25400" b="25400"/>
            <wp:docPr id="3" name="image11.png"/>
            <wp:cNvGraphicFramePr/>
            <a:graphic xmlns:a="http://schemas.openxmlformats.org/drawingml/2006/main">
              <a:graphicData uri="http://schemas.openxmlformats.org/drawingml/2006/picture">
                <pic:pic xmlns:pic="http://schemas.openxmlformats.org/drawingml/2006/picture">
                  <pic:nvPicPr>
                    <pic:cNvPr id="3" name="image11.png"/>
                    <pic:cNvPicPr/>
                  </pic:nvPicPr>
                  <pic:blipFill>
                    <a:blip r:embed="rId15"/>
                    <a:stretch>
                      <a:fillRect/>
                    </a:stretch>
                  </pic:blipFill>
                  <pic:spPr>
                    <a:xfrm>
                      <a:off x="0" y="0"/>
                      <a:ext cx="5943600" cy="977900"/>
                    </a:xfrm>
                    <a:prstGeom prst="rect">
                      <a:avLst/>
                    </a:prstGeom>
                    <a:ln w="25400">
                      <a:solidFill>
                        <a:srgbClr val="000000"/>
                      </a:solidFill>
                      <a:prstDash val="solid"/>
                    </a:ln>
                  </pic:spPr>
                </pic:pic>
              </a:graphicData>
            </a:graphic>
          </wp:inline>
        </w:drawing>
      </w:r>
    </w:p>
    <w:p w14:paraId="58CF519D" w14:textId="16AF5142" w:rsidR="00A016DE" w:rsidRDefault="00000000" w:rsidP="00E525C2">
      <w:pPr>
        <w:pStyle w:val="Normal1"/>
        <w:ind w:left="720"/>
        <w:jc w:val="center"/>
        <w:rPr>
          <w:b/>
        </w:rPr>
      </w:pPr>
      <w:r>
        <w:rPr>
          <w:b/>
        </w:rPr>
        <w:t xml:space="preserve">Table </w:t>
      </w:r>
      <w:r w:rsidR="00E525C2">
        <w:rPr>
          <w:b/>
        </w:rPr>
        <w:t>Nine</w:t>
      </w:r>
      <w:r>
        <w:rPr>
          <w:b/>
        </w:rPr>
        <w:t xml:space="preserve">: </w:t>
      </w:r>
      <w:r w:rsidR="00E525C2">
        <w:rPr>
          <w:b/>
        </w:rPr>
        <w:t>Computation</w:t>
      </w:r>
      <w:r>
        <w:rPr>
          <w:b/>
        </w:rPr>
        <w:t xml:space="preserve"> of Debtors Collection Period</w:t>
      </w:r>
    </w:p>
    <w:p w14:paraId="1DB07CC5" w14:textId="77777777" w:rsidR="00E525C2" w:rsidRDefault="00E525C2" w:rsidP="00E525C2">
      <w:pPr>
        <w:pStyle w:val="Normal1"/>
        <w:jc w:val="center"/>
      </w:pPr>
      <w:r>
        <w:t>(Source: Self-Developed, 2023).</w:t>
      </w:r>
    </w:p>
    <w:p w14:paraId="1516891D" w14:textId="301E83BB" w:rsidR="00A016DE" w:rsidRDefault="00000000">
      <w:pPr>
        <w:pStyle w:val="Normal1"/>
      </w:pPr>
      <w:r>
        <w:t xml:space="preserve">The debtor's collection period indicates the time a company takes to collect all its debts related to trade. The longer time taken by the company to collect debts from its debtors means that it is inefficient. On the other hand, a shorter time indicates the efficiency of the company in the collection of its debts from the debtors (Capital, 2023). From the above table, it is found that the debtor's collection period of Sweet's plc for the years 2020 and 2021 were 72.93 and 67.65 respectively which shows that the company became efficient in the collection of debts from its debtors. It takes a shorter time than earlier to collect its debts. </w:t>
      </w:r>
    </w:p>
    <w:p w14:paraId="1C96CACB" w14:textId="77777777" w:rsidR="00A016DE" w:rsidRDefault="00000000">
      <w:pPr>
        <w:pStyle w:val="Heading4"/>
      </w:pPr>
      <w:bookmarkStart w:id="15" w:name="_7aygcsprc35" w:colFirst="0" w:colLast="0"/>
      <w:bookmarkEnd w:id="15"/>
      <w:r>
        <w:t>h) Current ratio</w:t>
      </w:r>
    </w:p>
    <w:p w14:paraId="5FEE9C7E" w14:textId="77777777" w:rsidR="00A016DE" w:rsidRDefault="00000000">
      <w:pPr>
        <w:pStyle w:val="Normal1"/>
        <w:jc w:val="center"/>
      </w:pPr>
      <w:r>
        <w:rPr>
          <w:noProof/>
        </w:rPr>
        <w:drawing>
          <wp:inline distT="114300" distB="114300" distL="114300" distR="114300" wp14:anchorId="2BB8A8FF" wp14:editId="66380C7C">
            <wp:extent cx="5943600" cy="1092200"/>
            <wp:effectExtent l="25400" t="25400" r="25400" b="25400"/>
            <wp:docPr id="1" name="image5.png"/>
            <wp:cNvGraphicFramePr/>
            <a:graphic xmlns:a="http://schemas.openxmlformats.org/drawingml/2006/main">
              <a:graphicData uri="http://schemas.openxmlformats.org/drawingml/2006/picture">
                <pic:pic xmlns:pic="http://schemas.openxmlformats.org/drawingml/2006/picture">
                  <pic:nvPicPr>
                    <pic:cNvPr id="1" name="image5.png"/>
                    <pic:cNvPicPr/>
                  </pic:nvPicPr>
                  <pic:blipFill>
                    <a:blip r:embed="rId16"/>
                    <a:stretch>
                      <a:fillRect/>
                    </a:stretch>
                  </pic:blipFill>
                  <pic:spPr>
                    <a:xfrm>
                      <a:off x="0" y="0"/>
                      <a:ext cx="5943600" cy="1092200"/>
                    </a:xfrm>
                    <a:prstGeom prst="rect">
                      <a:avLst/>
                    </a:prstGeom>
                    <a:ln w="25400">
                      <a:solidFill>
                        <a:srgbClr val="000000"/>
                      </a:solidFill>
                      <a:prstDash val="solid"/>
                    </a:ln>
                  </pic:spPr>
                </pic:pic>
              </a:graphicData>
            </a:graphic>
          </wp:inline>
        </w:drawing>
      </w:r>
    </w:p>
    <w:p w14:paraId="5FF68A4D" w14:textId="71DC76F2" w:rsidR="00A016DE" w:rsidRDefault="00000000" w:rsidP="00E525C2">
      <w:pPr>
        <w:pStyle w:val="Normal1"/>
        <w:ind w:left="720"/>
        <w:jc w:val="center"/>
        <w:rPr>
          <w:b/>
        </w:rPr>
      </w:pPr>
      <w:r>
        <w:rPr>
          <w:b/>
        </w:rPr>
        <w:t xml:space="preserve">Table </w:t>
      </w:r>
      <w:r w:rsidR="00E525C2">
        <w:rPr>
          <w:b/>
        </w:rPr>
        <w:t>Ten</w:t>
      </w:r>
      <w:r>
        <w:rPr>
          <w:b/>
        </w:rPr>
        <w:t xml:space="preserve">: </w:t>
      </w:r>
      <w:r w:rsidR="00E525C2">
        <w:rPr>
          <w:b/>
        </w:rPr>
        <w:t>Computation</w:t>
      </w:r>
      <w:r>
        <w:rPr>
          <w:b/>
        </w:rPr>
        <w:t xml:space="preserve"> of Current Ratio</w:t>
      </w:r>
    </w:p>
    <w:p w14:paraId="626C5A98" w14:textId="77777777" w:rsidR="00E525C2" w:rsidRDefault="00E525C2" w:rsidP="00E525C2">
      <w:pPr>
        <w:pStyle w:val="Normal1"/>
        <w:jc w:val="center"/>
      </w:pPr>
      <w:r>
        <w:t>(Source: Self-Developed, 2023).</w:t>
      </w:r>
    </w:p>
    <w:p w14:paraId="69475385" w14:textId="11FEA812" w:rsidR="00A016DE" w:rsidRDefault="00000000">
      <w:pPr>
        <w:pStyle w:val="Normal1"/>
      </w:pPr>
      <w:r>
        <w:t xml:space="preserve">The current ratio is used by the </w:t>
      </w:r>
      <w:r w:rsidR="00E525C2">
        <w:t>organisation</w:t>
      </w:r>
      <w:r>
        <w:t xml:space="preserve"> to understand the financial health for a given </w:t>
      </w:r>
      <w:r w:rsidR="00E525C2">
        <w:t>year</w:t>
      </w:r>
      <w:r>
        <w:t xml:space="preserve">. Through this ratio, the company </w:t>
      </w:r>
      <w:proofErr w:type="gramStart"/>
      <w:r>
        <w:t>compare</w:t>
      </w:r>
      <w:proofErr w:type="gramEnd"/>
      <w:r>
        <w:t xml:space="preserve"> its current assets with its current liability. This ratio refers to the </w:t>
      </w:r>
      <w:r w:rsidR="00E525C2">
        <w:t>ability</w:t>
      </w:r>
      <w:r>
        <w:t xml:space="preserve"> of the </w:t>
      </w:r>
      <w:r w:rsidR="00E525C2">
        <w:t>organisation</w:t>
      </w:r>
      <w:r>
        <w:t xml:space="preserve"> in </w:t>
      </w:r>
      <w:r w:rsidR="00E525C2">
        <w:t>paying off</w:t>
      </w:r>
      <w:r>
        <w:t xml:space="preserve"> its short-term debts (Girardin, 2023). From the table, it is concluded that the current ratio for Sweet's plc has increased from 0.77 to </w:t>
      </w:r>
      <w:proofErr w:type="gramStart"/>
      <w:r>
        <w:t>0.91</w:t>
      </w:r>
      <w:proofErr w:type="gramEnd"/>
      <w:r>
        <w:t xml:space="preserve"> which indicates that the efficiency of the company in meeting its short-term debts has been increased. The company can pay off its debts without taking additional loans. </w:t>
      </w:r>
    </w:p>
    <w:p w14:paraId="705BF78B" w14:textId="77777777" w:rsidR="00A016DE" w:rsidRDefault="00000000">
      <w:pPr>
        <w:pStyle w:val="Heading4"/>
      </w:pPr>
      <w:bookmarkStart w:id="16" w:name="_13utqhwucumi" w:colFirst="0" w:colLast="0"/>
      <w:bookmarkEnd w:id="16"/>
      <w:proofErr w:type="spellStart"/>
      <w:r>
        <w:lastRenderedPageBreak/>
        <w:t>i</w:t>
      </w:r>
      <w:proofErr w:type="spellEnd"/>
      <w:r>
        <w:t>) Gearing ratio</w:t>
      </w:r>
    </w:p>
    <w:p w14:paraId="133494B9" w14:textId="77777777" w:rsidR="00A016DE" w:rsidRDefault="00000000">
      <w:pPr>
        <w:pStyle w:val="Normal1"/>
        <w:jc w:val="center"/>
      </w:pPr>
      <w:r>
        <w:rPr>
          <w:noProof/>
        </w:rPr>
        <w:drawing>
          <wp:inline distT="114300" distB="114300" distL="114300" distR="114300" wp14:anchorId="0F43E6B0" wp14:editId="3AF5A828">
            <wp:extent cx="5943600" cy="1104900"/>
            <wp:effectExtent l="25400" t="25400" r="25400" b="25400"/>
            <wp:docPr id="8" name="image8.png"/>
            <wp:cNvGraphicFramePr/>
            <a:graphic xmlns:a="http://schemas.openxmlformats.org/drawingml/2006/main">
              <a:graphicData uri="http://schemas.openxmlformats.org/drawingml/2006/picture">
                <pic:pic xmlns:pic="http://schemas.openxmlformats.org/drawingml/2006/picture">
                  <pic:nvPicPr>
                    <pic:cNvPr id="8" name="image8.png"/>
                    <pic:cNvPicPr/>
                  </pic:nvPicPr>
                  <pic:blipFill>
                    <a:blip r:embed="rId17"/>
                    <a:stretch>
                      <a:fillRect/>
                    </a:stretch>
                  </pic:blipFill>
                  <pic:spPr>
                    <a:xfrm>
                      <a:off x="0" y="0"/>
                      <a:ext cx="5943600" cy="1104900"/>
                    </a:xfrm>
                    <a:prstGeom prst="rect">
                      <a:avLst/>
                    </a:prstGeom>
                    <a:ln w="25400">
                      <a:solidFill>
                        <a:srgbClr val="000000"/>
                      </a:solidFill>
                      <a:prstDash val="solid"/>
                    </a:ln>
                  </pic:spPr>
                </pic:pic>
              </a:graphicData>
            </a:graphic>
          </wp:inline>
        </w:drawing>
      </w:r>
    </w:p>
    <w:p w14:paraId="633A2F2F" w14:textId="287DF92A" w:rsidR="00A016DE" w:rsidRDefault="00000000" w:rsidP="00E525C2">
      <w:pPr>
        <w:pStyle w:val="Normal1"/>
        <w:ind w:left="720"/>
        <w:jc w:val="center"/>
        <w:rPr>
          <w:b/>
        </w:rPr>
      </w:pPr>
      <w:r>
        <w:rPr>
          <w:b/>
        </w:rPr>
        <w:t xml:space="preserve">Table </w:t>
      </w:r>
      <w:r w:rsidR="00E525C2">
        <w:rPr>
          <w:b/>
        </w:rPr>
        <w:t>Eleven</w:t>
      </w:r>
      <w:r>
        <w:rPr>
          <w:b/>
        </w:rPr>
        <w:t xml:space="preserve">: </w:t>
      </w:r>
      <w:r w:rsidR="00E525C2">
        <w:rPr>
          <w:b/>
        </w:rPr>
        <w:t>Computation</w:t>
      </w:r>
      <w:r>
        <w:rPr>
          <w:b/>
        </w:rPr>
        <w:t xml:space="preserve"> of Gearing Ratio</w:t>
      </w:r>
    </w:p>
    <w:p w14:paraId="0CDA29B0" w14:textId="77777777" w:rsidR="00E525C2" w:rsidRDefault="00E525C2" w:rsidP="00E525C2">
      <w:pPr>
        <w:pStyle w:val="Normal1"/>
        <w:jc w:val="center"/>
      </w:pPr>
      <w:r>
        <w:t>(Source: Self-Developed, 2023).</w:t>
      </w:r>
    </w:p>
    <w:p w14:paraId="5486B376" w14:textId="1C7BB109" w:rsidR="00A016DE" w:rsidRDefault="00400A53">
      <w:pPr>
        <w:pStyle w:val="Normal1"/>
      </w:pPr>
      <w:r>
        <w:t xml:space="preserve">This ratio is used to measure the amount of the funds borrowed by the company to its equity. It refers to the risk related to finance. A higher ratio indicates high debt to equity and a low of it represents a lower proportion of debt to equity (Bragg, 2023). The above table deals with the computation of the gearing ratio for the period 2020 and 2021 which were 1.41 and 1.42 respectively. The ratio for both years was the same.  </w:t>
      </w:r>
    </w:p>
    <w:p w14:paraId="4E9FA2F6" w14:textId="77777777" w:rsidR="00A016DE" w:rsidRDefault="00000000">
      <w:pPr>
        <w:pStyle w:val="Heading4"/>
      </w:pPr>
      <w:bookmarkStart w:id="17" w:name="_cb0mjrdh23pc" w:colFirst="0" w:colLast="0"/>
      <w:bookmarkEnd w:id="17"/>
      <w:r>
        <w:t>j) Interest cover</w:t>
      </w:r>
    </w:p>
    <w:p w14:paraId="5D3BA330" w14:textId="77777777" w:rsidR="00A016DE" w:rsidRDefault="00000000">
      <w:pPr>
        <w:pStyle w:val="Normal1"/>
        <w:jc w:val="center"/>
      </w:pPr>
      <w:r>
        <w:rPr>
          <w:noProof/>
        </w:rPr>
        <w:drawing>
          <wp:inline distT="114300" distB="114300" distL="114300" distR="114300" wp14:anchorId="7D40E589" wp14:editId="3DB2C543">
            <wp:extent cx="5943600" cy="1104900"/>
            <wp:effectExtent l="25400" t="25400" r="25400" b="25400"/>
            <wp:docPr id="5" name="image7.png"/>
            <wp:cNvGraphicFramePr/>
            <a:graphic xmlns:a="http://schemas.openxmlformats.org/drawingml/2006/main">
              <a:graphicData uri="http://schemas.openxmlformats.org/drawingml/2006/picture">
                <pic:pic xmlns:pic="http://schemas.openxmlformats.org/drawingml/2006/picture">
                  <pic:nvPicPr>
                    <pic:cNvPr id="5" name="image7.png"/>
                    <pic:cNvPicPr/>
                  </pic:nvPicPr>
                  <pic:blipFill>
                    <a:blip r:embed="rId18"/>
                    <a:stretch>
                      <a:fillRect/>
                    </a:stretch>
                  </pic:blipFill>
                  <pic:spPr>
                    <a:xfrm>
                      <a:off x="0" y="0"/>
                      <a:ext cx="5943600" cy="1104900"/>
                    </a:xfrm>
                    <a:prstGeom prst="rect">
                      <a:avLst/>
                    </a:prstGeom>
                    <a:ln w="25400">
                      <a:solidFill>
                        <a:srgbClr val="000000"/>
                      </a:solidFill>
                      <a:prstDash val="solid"/>
                    </a:ln>
                  </pic:spPr>
                </pic:pic>
              </a:graphicData>
            </a:graphic>
          </wp:inline>
        </w:drawing>
      </w:r>
    </w:p>
    <w:p w14:paraId="53F050E3" w14:textId="0F2461C3" w:rsidR="00A016DE" w:rsidRDefault="00000000" w:rsidP="00E525C2">
      <w:pPr>
        <w:pStyle w:val="Normal1"/>
        <w:ind w:left="720"/>
        <w:jc w:val="center"/>
        <w:rPr>
          <w:b/>
        </w:rPr>
      </w:pPr>
      <w:r>
        <w:rPr>
          <w:b/>
        </w:rPr>
        <w:t xml:space="preserve">Table </w:t>
      </w:r>
      <w:r w:rsidR="00E525C2">
        <w:rPr>
          <w:b/>
        </w:rPr>
        <w:t>Twelve</w:t>
      </w:r>
      <w:r>
        <w:rPr>
          <w:b/>
        </w:rPr>
        <w:t xml:space="preserve">: </w:t>
      </w:r>
      <w:r w:rsidR="00E525C2">
        <w:rPr>
          <w:b/>
        </w:rPr>
        <w:t>Computation</w:t>
      </w:r>
      <w:r>
        <w:rPr>
          <w:b/>
        </w:rPr>
        <w:t xml:space="preserve"> of Interest Coverage Ratio</w:t>
      </w:r>
    </w:p>
    <w:p w14:paraId="35A4D24B" w14:textId="77777777" w:rsidR="00E525C2" w:rsidRDefault="00E525C2" w:rsidP="00E525C2">
      <w:pPr>
        <w:pStyle w:val="Normal1"/>
        <w:jc w:val="center"/>
      </w:pPr>
      <w:r>
        <w:t>(Source: Self-Developed, 2023).</w:t>
      </w:r>
    </w:p>
    <w:p w14:paraId="7402AA4C" w14:textId="0CB3C6B4" w:rsidR="00A016DE" w:rsidRDefault="00400A53">
      <w:pPr>
        <w:pStyle w:val="Normal1"/>
      </w:pPr>
      <w:r>
        <w:t xml:space="preserve">It is used to measure the potential of the </w:t>
      </w:r>
      <w:r w:rsidR="00E525C2">
        <w:t>organisation</w:t>
      </w:r>
      <w:r>
        <w:t xml:space="preserve"> to pay the interest on its outstanding debts. Higher the figure of this ratio indicates that the company can pay interest on the borrowed loans. Lowering the ratio indicates that the company will default in paying the interest (Bragg, 2022). The information concluded from the above table the ratio of the company Sweets plc for the years 2020 and 2021 was 3.86 and 3.56 respectively which shows that there is a decreasing trend in the ratio which means that paying off the interest on the borrowed loans of the company has decreased. </w:t>
      </w:r>
    </w:p>
    <w:p w14:paraId="254C1687" w14:textId="77777777" w:rsidR="00A016DE" w:rsidRDefault="00000000">
      <w:pPr>
        <w:pStyle w:val="Heading3"/>
        <w:jc w:val="left"/>
      </w:pPr>
      <w:bookmarkStart w:id="18" w:name="_1p9en9tcbsi4" w:colFirst="0" w:colLast="0"/>
      <w:bookmarkEnd w:id="18"/>
      <w:r>
        <w:t xml:space="preserve">Part Two   </w:t>
      </w:r>
    </w:p>
    <w:p w14:paraId="730908B0" w14:textId="114CB2AC" w:rsidR="00A016DE" w:rsidRDefault="00000000">
      <w:pPr>
        <w:pStyle w:val="Normal1"/>
      </w:pPr>
      <w:r>
        <w:t xml:space="preserve">From the evaluation of the ratio analysis for Sweet's plc, it has been concluded that the company has improved its efficiency in some of the fields. Decreases in some of the ratios as compared to </w:t>
      </w:r>
      <w:proofErr w:type="gramStart"/>
      <w:r>
        <w:t>the last</w:t>
      </w:r>
      <w:proofErr w:type="gramEnd"/>
      <w:r>
        <w:t xml:space="preserve"> year indicate the inefficiency in those sectors which need to be improved to enhance its performance. Those fields are respected for the profitability of the company which covers the </w:t>
      </w:r>
      <w:r>
        <w:lastRenderedPageBreak/>
        <w:t xml:space="preserve">current liabilities. Due to this reason, it can be concluded that the company lacks liquid assets which it resolved in the current year. It is also observed that the profitability of the company also decreases in those </w:t>
      </w:r>
      <w:r w:rsidR="00321D08">
        <w:t>years,</w:t>
      </w:r>
      <w:r>
        <w:t xml:space="preserve"> which leads to </w:t>
      </w:r>
      <w:r w:rsidR="00321D08">
        <w:t>inefficiency</w:t>
      </w:r>
      <w:r>
        <w:t xml:space="preserve"> in its operation. On the other hand, there has been observed an increase in the performance of the company in several ratios like the debtor's collection period. </w:t>
      </w:r>
    </w:p>
    <w:p w14:paraId="3C9F4B5D" w14:textId="77777777" w:rsidR="00A016DE" w:rsidRDefault="00000000">
      <w:pPr>
        <w:pStyle w:val="Heading1"/>
      </w:pPr>
      <w:bookmarkStart w:id="19" w:name="_62kh1dsbcop9" w:colFirst="0" w:colLast="0"/>
      <w:bookmarkEnd w:id="19"/>
      <w:r>
        <w:t xml:space="preserve">Conclusion </w:t>
      </w:r>
    </w:p>
    <w:p w14:paraId="461AF957" w14:textId="76CCF25C" w:rsidR="00A016DE" w:rsidRDefault="00000000">
      <w:pPr>
        <w:pStyle w:val="Normal1"/>
      </w:pPr>
      <w:r>
        <w:t xml:space="preserve">After completing this </w:t>
      </w:r>
      <w:r w:rsidR="00321D08">
        <w:t>report,</w:t>
      </w:r>
      <w:r>
        <w:t xml:space="preserve"> the information concluded about the rules of preparing income statements and the Balance sheet of the company which help </w:t>
      </w:r>
      <w:r w:rsidR="00E525C2">
        <w:t>in imparting the</w:t>
      </w:r>
      <w:r>
        <w:t xml:space="preserve"> information about the financial and health of the position of the company. Further, through this report, the information imparted about the ratio analysis helps companies to take decisions in various prospects. Ratio analysis helps in determining the efficiency of the company in its operation. </w:t>
      </w:r>
    </w:p>
    <w:p w14:paraId="13DC4E2F" w14:textId="77777777" w:rsidR="00A016DE" w:rsidRDefault="00000000">
      <w:pPr>
        <w:pStyle w:val="Normal1"/>
        <w:jc w:val="left"/>
      </w:pPr>
      <w:r>
        <w:br w:type="page"/>
      </w:r>
    </w:p>
    <w:p w14:paraId="05B010CF" w14:textId="77777777" w:rsidR="00A016DE" w:rsidRDefault="00000000">
      <w:pPr>
        <w:pStyle w:val="Heading1"/>
        <w:jc w:val="left"/>
      </w:pPr>
      <w:bookmarkStart w:id="20" w:name="_dlnztt9pi6nq" w:colFirst="0" w:colLast="0"/>
      <w:bookmarkEnd w:id="20"/>
      <w:r>
        <w:lastRenderedPageBreak/>
        <w:t>References</w:t>
      </w:r>
    </w:p>
    <w:p w14:paraId="773C20B2" w14:textId="77777777" w:rsidR="00E525C2" w:rsidRDefault="00E525C2">
      <w:pPr>
        <w:pStyle w:val="Normal1"/>
        <w:spacing w:before="240" w:after="240"/>
      </w:pPr>
      <w:proofErr w:type="spellStart"/>
      <w:r>
        <w:t>Averkamp</w:t>
      </w:r>
      <w:proofErr w:type="spellEnd"/>
      <w:r>
        <w:t xml:space="preserve">, H. (2023) </w:t>
      </w:r>
      <w:r>
        <w:rPr>
          <w:i/>
        </w:rPr>
        <w:t xml:space="preserve">What is the double-entry </w:t>
      </w:r>
      <w:proofErr w:type="gramStart"/>
      <w:r>
        <w:rPr>
          <w:i/>
        </w:rPr>
        <w:t>system?:</w:t>
      </w:r>
      <w:proofErr w:type="gramEnd"/>
      <w:r>
        <w:rPr>
          <w:i/>
        </w:rPr>
        <w:t xml:space="preserve"> </w:t>
      </w:r>
      <w:proofErr w:type="spellStart"/>
      <w:r>
        <w:rPr>
          <w:i/>
        </w:rPr>
        <w:t>Accountingcoach</w:t>
      </w:r>
      <w:proofErr w:type="spellEnd"/>
      <w:r>
        <w:t xml:space="preserve">, </w:t>
      </w:r>
      <w:r>
        <w:rPr>
          <w:i/>
        </w:rPr>
        <w:t>AccountingCoach.com</w:t>
      </w:r>
      <w:r>
        <w:t xml:space="preserve">. Available at: https://www.accountingcoach.com/blog/what-is-the-double-entry-system (Accessed: 30 June 2023). </w:t>
      </w:r>
    </w:p>
    <w:p w14:paraId="58BF37BC" w14:textId="77777777" w:rsidR="00E525C2" w:rsidRDefault="00E525C2">
      <w:pPr>
        <w:pStyle w:val="Normal1"/>
        <w:spacing w:before="240" w:after="240"/>
      </w:pPr>
      <w:r>
        <w:t xml:space="preserve">BDC (2023) </w:t>
      </w:r>
      <w:r>
        <w:rPr>
          <w:i/>
        </w:rPr>
        <w:t>What is an income statement</w:t>
      </w:r>
      <w:r>
        <w:t xml:space="preserve">, </w:t>
      </w:r>
      <w:r>
        <w:rPr>
          <w:i/>
        </w:rPr>
        <w:t>BDC.ca</w:t>
      </w:r>
      <w:r>
        <w:t xml:space="preserve">. Available at: https://www.bdc.ca/en/articles-tools/entrepreneur-toolkit/templates-business-guides/glossary/income-statement (Accessed: 30 June 2023). </w:t>
      </w:r>
    </w:p>
    <w:p w14:paraId="3ACA16DE" w14:textId="77777777" w:rsidR="00E525C2" w:rsidRDefault="00E525C2">
      <w:pPr>
        <w:pStyle w:val="Normal1"/>
        <w:spacing w:before="240" w:after="240"/>
      </w:pPr>
      <w:r>
        <w:t xml:space="preserve">Bragg, S. (2022) </w:t>
      </w:r>
      <w:r>
        <w:rPr>
          <w:i/>
        </w:rPr>
        <w:t>Interest coverage ratio definition</w:t>
      </w:r>
      <w:r>
        <w:t xml:space="preserve">, </w:t>
      </w:r>
      <w:r>
        <w:rPr>
          <w:i/>
        </w:rPr>
        <w:t>AccountingTools</w:t>
      </w:r>
      <w:r>
        <w:t xml:space="preserve">. Available at: https://www.accountingtools.com/articles/interest-coverage-ratio (Accessed: 30 June 2023). </w:t>
      </w:r>
    </w:p>
    <w:p w14:paraId="75DC07E1" w14:textId="77777777" w:rsidR="00E525C2" w:rsidRDefault="00E525C2">
      <w:pPr>
        <w:pStyle w:val="Normal1"/>
        <w:spacing w:before="240" w:after="240"/>
      </w:pPr>
      <w:r>
        <w:t xml:space="preserve">Bragg, S. (2023) </w:t>
      </w:r>
      <w:r>
        <w:rPr>
          <w:i/>
        </w:rPr>
        <w:t>Gearing ratio definition</w:t>
      </w:r>
      <w:r>
        <w:t xml:space="preserve">, </w:t>
      </w:r>
      <w:r>
        <w:rPr>
          <w:i/>
        </w:rPr>
        <w:t>AccountingTools</w:t>
      </w:r>
      <w:r>
        <w:t xml:space="preserve">. Available at: https://www.accountingtools.com/articles/gearing-ratio (Accessed: 30 June 2023). </w:t>
      </w:r>
    </w:p>
    <w:p w14:paraId="15273CA6" w14:textId="77777777" w:rsidR="00E525C2" w:rsidRDefault="00E525C2">
      <w:pPr>
        <w:pStyle w:val="Normal1"/>
        <w:spacing w:before="240" w:after="240"/>
      </w:pPr>
      <w:r>
        <w:t xml:space="preserve">Brush, K. (2023) </w:t>
      </w:r>
      <w:r>
        <w:rPr>
          <w:i/>
        </w:rPr>
        <w:t xml:space="preserve">What is asset turnover </w:t>
      </w:r>
      <w:proofErr w:type="gramStart"/>
      <w:r>
        <w:rPr>
          <w:i/>
        </w:rPr>
        <w:t>ratio?</w:t>
      </w:r>
      <w:r>
        <w:t>,</w:t>
      </w:r>
      <w:proofErr w:type="gramEnd"/>
      <w:r>
        <w:t xml:space="preserve"> </w:t>
      </w:r>
      <w:r>
        <w:rPr>
          <w:i/>
        </w:rPr>
        <w:t>Business Analytics</w:t>
      </w:r>
      <w:r>
        <w:t xml:space="preserve">. Available at: https://www.techtarget.com/searchbusinessanalytics/definition/asset-turnover-ratio (Accessed: 30 June 2023). </w:t>
      </w:r>
    </w:p>
    <w:p w14:paraId="1D4E742A" w14:textId="77777777" w:rsidR="00E525C2" w:rsidRDefault="00E525C2">
      <w:pPr>
        <w:pStyle w:val="Normal1"/>
        <w:spacing w:before="240" w:after="240"/>
      </w:pPr>
      <w:r>
        <w:t xml:space="preserve">Capital (2023) </w:t>
      </w:r>
      <w:r>
        <w:rPr>
          <w:i/>
        </w:rPr>
        <w:t>What is a debtor collection period</w:t>
      </w:r>
      <w:r>
        <w:t xml:space="preserve">, </w:t>
      </w:r>
      <w:proofErr w:type="gramStart"/>
      <w:r>
        <w:rPr>
          <w:i/>
        </w:rPr>
        <w:t>What</w:t>
      </w:r>
      <w:proofErr w:type="gramEnd"/>
      <w:r>
        <w:rPr>
          <w:i/>
        </w:rPr>
        <w:t xml:space="preserve"> is a debtor collection period | Capital.com</w:t>
      </w:r>
      <w:r>
        <w:t xml:space="preserve">. Available at: https://capital.com/debtor-collection-period-definition (Accessed: 30 June 2023). </w:t>
      </w:r>
    </w:p>
    <w:p w14:paraId="65CB2A26" w14:textId="77777777" w:rsidR="00E525C2" w:rsidRDefault="00E525C2">
      <w:pPr>
        <w:pStyle w:val="Normal1"/>
        <w:spacing w:before="240" w:after="240"/>
      </w:pPr>
      <w:r>
        <w:t xml:space="preserve">Chase (2023) </w:t>
      </w:r>
      <w:r>
        <w:rPr>
          <w:i/>
        </w:rPr>
        <w:t>The purpose of a balance sheet</w:t>
      </w:r>
      <w:r>
        <w:t xml:space="preserve">, </w:t>
      </w:r>
      <w:r>
        <w:rPr>
          <w:i/>
        </w:rPr>
        <w:t>The Purpose of a Balance Sheet | Chase for Business | Chase.com</w:t>
      </w:r>
      <w:r>
        <w:t xml:space="preserve">. Available at: https://www.chase.com/business/knowledge-center/start/the-purpose-of-a-balance-sheet. (Accessed: 30 June 2023). </w:t>
      </w:r>
    </w:p>
    <w:p w14:paraId="3E1CEB2A" w14:textId="77777777" w:rsidR="00E525C2" w:rsidRDefault="00E525C2">
      <w:pPr>
        <w:pStyle w:val="Normal1"/>
        <w:spacing w:before="240" w:after="240"/>
      </w:pPr>
      <w:r>
        <w:t xml:space="preserve">Corporate Finance Institute (2023b) </w:t>
      </w:r>
      <w:r>
        <w:rPr>
          <w:i/>
        </w:rPr>
        <w:t>Return on capital employed (ROCE)</w:t>
      </w:r>
      <w:r>
        <w:t xml:space="preserve">, </w:t>
      </w:r>
      <w:r>
        <w:rPr>
          <w:i/>
        </w:rPr>
        <w:t>Corporate Finance Institute</w:t>
      </w:r>
      <w:r>
        <w:t xml:space="preserve">. Available at: https://corporatefinanceinstitute.com/resources/accounting/return-on-capital-employed-roce/ (Accessed: 30 June 2023). </w:t>
      </w:r>
    </w:p>
    <w:p w14:paraId="767691A8" w14:textId="77777777" w:rsidR="00E525C2" w:rsidRDefault="00E525C2">
      <w:pPr>
        <w:pStyle w:val="Normal1"/>
        <w:spacing w:before="240" w:after="240"/>
      </w:pPr>
      <w:r>
        <w:t xml:space="preserve">Corporate Finance Institute (2023c) </w:t>
      </w:r>
      <w:r>
        <w:rPr>
          <w:i/>
        </w:rPr>
        <w:t>Return on equity (ROE)</w:t>
      </w:r>
      <w:r>
        <w:t xml:space="preserve">, </w:t>
      </w:r>
      <w:r>
        <w:rPr>
          <w:i/>
        </w:rPr>
        <w:t>Corporate Finance Institute</w:t>
      </w:r>
      <w:r>
        <w:t xml:space="preserve">. Available at: https://corporatefinanceinstitute.com/resources/accounting/what-is-return-on-equity-roe/ (Accessed: 30 June 2023). </w:t>
      </w:r>
    </w:p>
    <w:p w14:paraId="3DBECD59" w14:textId="77777777" w:rsidR="00E525C2" w:rsidRDefault="00E525C2">
      <w:pPr>
        <w:pStyle w:val="Normal1"/>
        <w:spacing w:before="240" w:after="240"/>
      </w:pPr>
      <w:r>
        <w:lastRenderedPageBreak/>
        <w:t xml:space="preserve">Corporate Finance Institute. (2022a) </w:t>
      </w:r>
      <w:r>
        <w:rPr>
          <w:i/>
        </w:rPr>
        <w:t>Balance sheet</w:t>
      </w:r>
      <w:r>
        <w:t xml:space="preserve">, </w:t>
      </w:r>
      <w:r>
        <w:rPr>
          <w:i/>
        </w:rPr>
        <w:t>Corporate Finance Institute</w:t>
      </w:r>
      <w:r>
        <w:t>. Available at: https://corporatefinanceinstitute.com/resources/accounting/balance-sheet/ (Accessed: 30 June 2023).</w:t>
      </w:r>
    </w:p>
    <w:p w14:paraId="5BD897C9" w14:textId="77777777" w:rsidR="00E525C2" w:rsidRDefault="00E525C2">
      <w:pPr>
        <w:pStyle w:val="Normal1"/>
        <w:spacing w:before="240" w:after="240"/>
      </w:pPr>
      <w:r>
        <w:t xml:space="preserve">Girardin, M. (2023) </w:t>
      </w:r>
      <w:r>
        <w:rPr>
          <w:i/>
        </w:rPr>
        <w:t>What is the current ratio? formula and definition</w:t>
      </w:r>
      <w:r>
        <w:t xml:space="preserve">, </w:t>
      </w:r>
      <w:r>
        <w:rPr>
          <w:i/>
        </w:rPr>
        <w:t>Forage</w:t>
      </w:r>
      <w:r>
        <w:t xml:space="preserve">. Available at: https://www.theforage.com/blog/skills/current-ratio (Accessed: 30 June 2023). </w:t>
      </w:r>
    </w:p>
    <w:p w14:paraId="1F43ECAA" w14:textId="77777777" w:rsidR="00E525C2" w:rsidRDefault="00E525C2">
      <w:pPr>
        <w:pStyle w:val="Normal1"/>
        <w:spacing w:before="240" w:after="240"/>
      </w:pPr>
      <w:r>
        <w:t xml:space="preserve">GoCardless (2021) </w:t>
      </w:r>
      <w:r>
        <w:rPr>
          <w:i/>
        </w:rPr>
        <w:t xml:space="preserve">Why does a balance sheet need to </w:t>
      </w:r>
      <w:proofErr w:type="gramStart"/>
      <w:r>
        <w:rPr>
          <w:i/>
        </w:rPr>
        <w:t>balance?</w:t>
      </w:r>
      <w:r>
        <w:t>,</w:t>
      </w:r>
      <w:proofErr w:type="gramEnd"/>
      <w:r>
        <w:t xml:space="preserve"> </w:t>
      </w:r>
      <w:r>
        <w:rPr>
          <w:i/>
        </w:rPr>
        <w:t>United Kingdom</w:t>
      </w:r>
      <w:r>
        <w:t xml:space="preserve">. Available at: https://gocardless.com/en-au/guides/posts/why-does-a-balance-sheet-need-to-balance/ (Accessed: 30 June 2023). </w:t>
      </w:r>
    </w:p>
    <w:p w14:paraId="0BDAE5CA" w14:textId="77777777" w:rsidR="00E525C2" w:rsidRDefault="00E525C2">
      <w:pPr>
        <w:pStyle w:val="Normal1"/>
        <w:spacing w:before="240" w:after="240"/>
      </w:pPr>
      <w:r>
        <w:t xml:space="preserve">IG (2023) </w:t>
      </w:r>
      <w:r>
        <w:rPr>
          <w:i/>
        </w:rPr>
        <w:t>Earnings per share definition</w:t>
      </w:r>
      <w:r>
        <w:t xml:space="preserve">, </w:t>
      </w:r>
      <w:r>
        <w:rPr>
          <w:i/>
        </w:rPr>
        <w:t>IG</w:t>
      </w:r>
      <w:r>
        <w:t xml:space="preserve">. Available at: https://ig.com/uk/glossary-trading-terms/earnings-per-share-definition (Accessed: 30 June 2023). </w:t>
      </w:r>
    </w:p>
    <w:p w14:paraId="67AE3A6A" w14:textId="77777777" w:rsidR="00E525C2" w:rsidRDefault="00E525C2">
      <w:pPr>
        <w:pStyle w:val="Normal1"/>
        <w:spacing w:before="240" w:after="240"/>
      </w:pPr>
      <w:proofErr w:type="spellStart"/>
      <w:r>
        <w:t>Rehayem</w:t>
      </w:r>
      <w:proofErr w:type="spellEnd"/>
      <w:r>
        <w:t xml:space="preserve">, M. (2022) </w:t>
      </w:r>
      <w:r>
        <w:rPr>
          <w:i/>
        </w:rPr>
        <w:t>What is net profit margin? definition, formula, and examples</w:t>
      </w:r>
      <w:r>
        <w:t xml:space="preserve">, </w:t>
      </w:r>
      <w:r>
        <w:rPr>
          <w:i/>
        </w:rPr>
        <w:t>Learn Hub</w:t>
      </w:r>
      <w:r>
        <w:t xml:space="preserve">. Available at: https://learn.g2.com/net-profit-margin (Accessed: 30 June 2023). </w:t>
      </w:r>
    </w:p>
    <w:sectPr w:rsidR="00E525C2" w:rsidSect="00E525C2">
      <w:footerReference w:type="default" r:id="rId1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FBDD2D" w14:textId="77777777" w:rsidR="00F4577E" w:rsidRDefault="00F4577E">
      <w:pPr>
        <w:spacing w:line="240" w:lineRule="auto"/>
      </w:pPr>
      <w:r>
        <w:separator/>
      </w:r>
    </w:p>
  </w:endnote>
  <w:endnote w:type="continuationSeparator" w:id="0">
    <w:p w14:paraId="0052A41F" w14:textId="77777777" w:rsidR="00F4577E" w:rsidRDefault="00F457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1546834"/>
      <w:docPartObj>
        <w:docPartGallery w:val="Page Numbers (Bottom of Page)"/>
        <w:docPartUnique/>
      </w:docPartObj>
    </w:sdtPr>
    <w:sdtEndPr>
      <w:rPr>
        <w:noProof/>
      </w:rPr>
    </w:sdtEndPr>
    <w:sdtContent>
      <w:p w14:paraId="4B40AD64" w14:textId="7F048FD3" w:rsidR="00E525C2" w:rsidRDefault="00E525C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EDC60B7" w14:textId="77777777" w:rsidR="00E525C2" w:rsidRDefault="00E525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C76197" w14:textId="77777777" w:rsidR="00F4577E" w:rsidRDefault="00F4577E">
      <w:pPr>
        <w:spacing w:line="240" w:lineRule="auto"/>
      </w:pPr>
      <w:r>
        <w:separator/>
      </w:r>
    </w:p>
  </w:footnote>
  <w:footnote w:type="continuationSeparator" w:id="0">
    <w:p w14:paraId="0343D0E1" w14:textId="77777777" w:rsidR="00F4577E" w:rsidRDefault="00F4577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16DE"/>
    <w:rsid w:val="00172D4D"/>
    <w:rsid w:val="00321D08"/>
    <w:rsid w:val="00400A53"/>
    <w:rsid w:val="004859D0"/>
    <w:rsid w:val="004954C8"/>
    <w:rsid w:val="00A016DE"/>
    <w:rsid w:val="00D46A29"/>
    <w:rsid w:val="00E525C2"/>
    <w:rsid w:val="00F457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08C955"/>
  <w15:docId w15:val="{B91C0E60-DFC5-4513-95F4-0742B9922A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outlineLvl w:val="0"/>
    </w:pPr>
    <w:rPr>
      <w:b/>
    </w:rPr>
  </w:style>
  <w:style w:type="paragraph" w:styleId="Heading2">
    <w:name w:val="heading 2"/>
    <w:basedOn w:val="Normal1"/>
    <w:next w:val="Normal1"/>
    <w:pPr>
      <w:keepNext/>
      <w:keepLines/>
      <w:outlineLvl w:val="1"/>
    </w:pPr>
    <w:rPr>
      <w:b/>
    </w:rPr>
  </w:style>
  <w:style w:type="paragraph" w:styleId="Heading3">
    <w:name w:val="heading 3"/>
    <w:basedOn w:val="Normal1"/>
    <w:next w:val="Normal1"/>
    <w:pPr>
      <w:keepNext/>
      <w:keepLines/>
      <w:outlineLvl w:val="2"/>
    </w:pPr>
    <w:rPr>
      <w:b/>
    </w:rPr>
  </w:style>
  <w:style w:type="paragraph" w:styleId="Heading4">
    <w:name w:val="heading 4"/>
    <w:basedOn w:val="Normal1"/>
    <w:next w:val="Normal1"/>
    <w:pPr>
      <w:keepNext/>
      <w:keepLines/>
      <w:outlineLvl w:val="3"/>
    </w:pPr>
    <w:rPr>
      <w:b/>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E525C2"/>
    <w:pPr>
      <w:tabs>
        <w:tab w:val="center" w:pos="4680"/>
        <w:tab w:val="right" w:pos="9360"/>
      </w:tabs>
      <w:spacing w:line="240" w:lineRule="auto"/>
    </w:pPr>
  </w:style>
  <w:style w:type="character" w:customStyle="1" w:styleId="HeaderChar">
    <w:name w:val="Header Char"/>
    <w:basedOn w:val="DefaultParagraphFont"/>
    <w:link w:val="Header"/>
    <w:uiPriority w:val="99"/>
    <w:rsid w:val="00E525C2"/>
  </w:style>
  <w:style w:type="paragraph" w:styleId="Footer">
    <w:name w:val="footer"/>
    <w:basedOn w:val="Normal"/>
    <w:link w:val="FooterChar"/>
    <w:uiPriority w:val="99"/>
    <w:unhideWhenUsed/>
    <w:rsid w:val="00E525C2"/>
    <w:pPr>
      <w:tabs>
        <w:tab w:val="center" w:pos="4680"/>
        <w:tab w:val="right" w:pos="9360"/>
      </w:tabs>
      <w:spacing w:line="240" w:lineRule="auto"/>
    </w:pPr>
  </w:style>
  <w:style w:type="character" w:customStyle="1" w:styleId="FooterChar">
    <w:name w:val="Footer Char"/>
    <w:basedOn w:val="DefaultParagraphFont"/>
    <w:link w:val="Footer"/>
    <w:uiPriority w:val="99"/>
    <w:rsid w:val="00E525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14</Pages>
  <Words>2890</Words>
  <Characters>16479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Alina Don</dc:creator>
  <cp:lastModifiedBy>Compliance1</cp:lastModifiedBy>
  <cp:revision>3</cp:revision>
  <dcterms:created xsi:type="dcterms:W3CDTF">2023-07-24T13:11:00Z</dcterms:created>
  <dcterms:modified xsi:type="dcterms:W3CDTF">2023-07-28T08:05:00Z</dcterms:modified>
</cp:coreProperties>
</file>