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240" w:after="0" w:line="360"/>
        <w:ind w:right="0" w:left="0" w:firstLine="0"/>
        <w:jc w:val="both"/>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b/>
          <w:color w:val="000000"/>
          <w:spacing w:val="0"/>
          <w:position w:val="0"/>
          <w:sz w:val="22"/>
          <w:shd w:fill="auto" w:val="clear"/>
        </w:rPr>
      </w:pPr>
    </w:p>
    <w:p>
      <w:pPr>
        <w:spacing w:before="240" w:after="240" w:line="360"/>
        <w:ind w:right="0" w:left="0" w:firstLine="0"/>
        <w:jc w:val="center"/>
        <w:rPr>
          <w:rFonts w:ascii="Arial" w:hAnsi="Arial" w:cs="Arial" w:eastAsia="Arial"/>
          <w:b/>
          <w:color w:val="000000"/>
          <w:spacing w:val="0"/>
          <w:position w:val="0"/>
          <w:sz w:val="22"/>
          <w:shd w:fill="auto" w:val="clear"/>
        </w:rPr>
      </w:pPr>
    </w:p>
    <w:p>
      <w:pPr>
        <w:spacing w:before="240" w:after="0" w:line="360"/>
        <w:ind w:right="0" w:left="0" w:firstLine="0"/>
        <w:jc w:val="center"/>
        <w:rPr>
          <w:rFonts w:ascii="Arial" w:hAnsi="Arial" w:cs="Arial" w:eastAsia="Arial"/>
          <w:b/>
          <w:color w:val="000000"/>
          <w:spacing w:val="0"/>
          <w:position w:val="0"/>
          <w:sz w:val="22"/>
          <w:shd w:fill="auto" w:val="clear"/>
        </w:rPr>
      </w:pPr>
    </w:p>
    <w:p>
      <w:pPr>
        <w:spacing w:before="240" w:after="240" w:line="360"/>
        <w:ind w:right="0" w:left="0" w:firstLine="0"/>
        <w:jc w:val="center"/>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Professional Career Development</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Task Two- Report</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Student Number:</w:t>
      </w:r>
      <w:r>
        <w:rPr>
          <w:rFonts w:ascii="Arial" w:hAnsi="Arial" w:cs="Arial" w:eastAsia="Arial"/>
          <w:color w:val="000000"/>
          <w:spacing w:val="0"/>
          <w:position w:val="0"/>
          <w:sz w:val="22"/>
          <w:shd w:fill="auto" w:val="clear"/>
        </w:rPr>
        <w:t xml:space="preserve">2113310</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Module Code:</w:t>
      </w:r>
      <w:r>
        <w:rPr>
          <w:rFonts w:ascii="Arial" w:hAnsi="Arial" w:cs="Arial" w:eastAsia="Arial"/>
          <w:color w:val="000000"/>
          <w:spacing w:val="0"/>
          <w:position w:val="0"/>
          <w:sz w:val="22"/>
          <w:shd w:fill="auto" w:val="clear"/>
        </w:rPr>
        <w:t xml:space="preserve">(BMSW4005_LON)</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Module Title:</w:t>
      </w:r>
      <w:r>
        <w:rPr>
          <w:rFonts w:ascii="Arial" w:hAnsi="Arial" w:cs="Arial" w:eastAsia="Arial"/>
          <w:color w:val="000000"/>
          <w:spacing w:val="0"/>
          <w:position w:val="0"/>
          <w:sz w:val="22"/>
          <w:shd w:fill="auto" w:val="clear"/>
        </w:rPr>
        <w:t xml:space="preserve">Professional Career Development </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Lecturer’s Name:</w:t>
      </w:r>
      <w:r>
        <w:rPr>
          <w:rFonts w:ascii="Arial" w:hAnsi="Arial" w:cs="Arial" w:eastAsia="Arial"/>
          <w:color w:val="000000"/>
          <w:spacing w:val="0"/>
          <w:position w:val="0"/>
          <w:sz w:val="22"/>
          <w:shd w:fill="auto" w:val="clear"/>
        </w:rPr>
        <w:t xml:space="preserve">Bianca Sanfilippo</w:t>
      </w:r>
    </w:p>
    <w:p>
      <w:pPr>
        <w:spacing w:before="240" w:after="240" w:line="360"/>
        <w:ind w:right="0" w:left="0" w:firstLine="0"/>
        <w:jc w:val="center"/>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Submission Date:</w:t>
      </w:r>
      <w:r>
        <w:rPr>
          <w:rFonts w:ascii="Arial" w:hAnsi="Arial" w:cs="Arial" w:eastAsia="Arial"/>
          <w:color w:val="000000"/>
          <w:spacing w:val="0"/>
          <w:position w:val="0"/>
          <w:sz w:val="22"/>
          <w:shd w:fill="auto" w:val="clear"/>
        </w:rPr>
        <w:t xml:space="preserve">06/05/2022</w:t>
      </w:r>
    </w:p>
    <w:p>
      <w:pPr>
        <w:spacing w:before="240" w:after="240" w:line="360"/>
        <w:ind w:right="0" w:left="0" w:firstLine="0"/>
        <w:jc w:val="both"/>
        <w:rPr>
          <w:rFonts w:ascii="Arial" w:hAnsi="Arial" w:cs="Arial" w:eastAsia="Arial"/>
          <w:color w:val="000000"/>
          <w:spacing w:val="0"/>
          <w:position w:val="0"/>
          <w:sz w:val="22"/>
          <w:shd w:fill="auto" w:val="clear"/>
        </w:rPr>
      </w:pP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76"/>
        <w:ind w:right="0" w:left="0" w:firstLine="0"/>
        <w:jc w:val="both"/>
        <w:rPr>
          <w:rFonts w:ascii="Arial" w:hAnsi="Arial" w:cs="Arial" w:eastAsia="Arial"/>
          <w:color w:val="000000"/>
          <w:spacing w:val="0"/>
          <w:position w:val="0"/>
          <w:sz w:val="22"/>
          <w:shd w:fill="auto" w:val="clear"/>
        </w:rPr>
      </w:pPr>
    </w:p>
    <w:p>
      <w:pPr>
        <w:spacing w:before="0" w:after="0" w:line="276"/>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240" w:after="240" w:line="360"/>
        <w:ind w:right="0" w:left="0" w:firstLine="0"/>
        <w:jc w:val="both"/>
        <w:rPr>
          <w:rFonts w:ascii="Arial" w:hAnsi="Arial" w:cs="Arial" w:eastAsia="Arial"/>
          <w:b/>
          <w:color w:val="000000"/>
          <w:spacing w:val="0"/>
          <w:position w:val="0"/>
          <w:sz w:val="22"/>
          <w:shd w:fill="auto" w:val="clear"/>
        </w:rPr>
      </w:pPr>
    </w:p>
    <w:p>
      <w:pPr>
        <w:spacing w:before="240" w:after="24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Task 2</w:t>
      </w: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Introduction</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 this context, it could be said that an individual can succeed in his life if he or she chooses the exact career path which is appropriate for him or her. Career paths can be defined as the type of pathways that helps an individual to reach their point of success, goals and names of life. An individual requests the right career path for planning his or her future in an established way so that it can help him to prosper in life. Several skills needed to be developed for developing a professional career. Career development is very important for every person to earn their livelihood. To develop the career of an individual in his or her professional field like in business organisations, the managers, and employees are simultaneously responsible for career development. Therefore, in this context, it could be said that human resources play an important role in developing the carrier of an individual by helping him or her to plan for his or her career. Employees get the benefit of support from human resources which helps them to implement such ideas for the benefit of their careers. Here the author has also mentioned one personal development plan to identify the strengths and weaknesses which can help the employee to know whether he or she can do the job. </w:t>
      </w: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 Reflection Model</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Gibbs Reflective model is a framework to evaluate learning from experiences. This mood de self-evaluation action was prepared by Graham Gibbs and was first propounded in 1988 in his book “Learning by Doing” (</w:t>
      </w:r>
      <w:r>
        <w:rPr>
          <w:rFonts w:ascii="Arial" w:hAnsi="Arial" w:cs="Arial" w:eastAsia="Arial"/>
          <w:color w:val="000000"/>
          <w:spacing w:val="0"/>
          <w:position w:val="0"/>
          <w:sz w:val="22"/>
          <w:shd w:fill="FFFFFF" w:val="clear"/>
        </w:rPr>
        <w:t xml:space="preserve">Sekarwinahyu et al., 2019)</w:t>
      </w:r>
      <w:r>
        <w:rPr>
          <w:rFonts w:ascii="Arial" w:hAnsi="Arial" w:cs="Arial" w:eastAsia="Arial"/>
          <w:color w:val="000000"/>
          <w:spacing w:val="0"/>
          <w:position w:val="0"/>
          <w:sz w:val="22"/>
          <w:shd w:fill="auto" w:val="clear"/>
        </w:rPr>
        <w:t xml:space="preserve">. This reflective model was designed to help people learn lessons from situations that they experience regularly and accordingly manage the situation with better efficiency. Thus, it improves the performance of people in repeated situations. Through six different stages, one can rethink the situation and evaluate what went well or what did not go well and can find out the causes of failure so that they can improve their performance next time (</w:t>
      </w:r>
      <w:r>
        <w:rPr>
          <w:rFonts w:ascii="Arial" w:hAnsi="Arial" w:cs="Arial" w:eastAsia="Arial"/>
          <w:color w:val="000000"/>
          <w:spacing w:val="0"/>
          <w:position w:val="0"/>
          <w:sz w:val="22"/>
          <w:shd w:fill="FFFFFF" w:val="clear"/>
        </w:rPr>
        <w:t xml:space="preserve">Priddis and Rogers, 2018)</w:t>
      </w:r>
      <w:r>
        <w:rPr>
          <w:rFonts w:ascii="Arial" w:hAnsi="Arial" w:cs="Arial" w:eastAsia="Arial"/>
          <w:color w:val="000000"/>
          <w:spacing w:val="0"/>
          <w:position w:val="0"/>
          <w:sz w:val="22"/>
          <w:shd w:fill="auto" w:val="clear"/>
        </w:rPr>
        <w:t xml:space="preserve">. Following these six stages, I have explained my learning from the role play as an interviewee who is applying for human resource manager - </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Description: </w:t>
      </w:r>
      <w:r>
        <w:rPr>
          <w:rFonts w:ascii="Arial" w:hAnsi="Arial" w:cs="Arial" w:eastAsia="Arial"/>
          <w:color w:val="000000"/>
          <w:spacing w:val="0"/>
          <w:position w:val="0"/>
          <w:sz w:val="22"/>
          <w:shd w:fill="auto" w:val="clear"/>
        </w:rPr>
        <w:t xml:space="preserve">I applied for the post of Human Resource manager in a reputed company where I was asked about my strengths, weaknesses and capabilities for this job position. I was asked to explain why I thought that I was suitable for this position and what qualities make them recruit me leaving other candidates. My previous job experience in the sector of Human Resource Management in other companies was evaluated with a few questions about the job role. </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Feelings: </w:t>
      </w:r>
      <w:r>
        <w:rPr>
          <w:rFonts w:ascii="Arial" w:hAnsi="Arial" w:cs="Arial" w:eastAsia="Arial"/>
          <w:color w:val="000000"/>
          <w:spacing w:val="0"/>
          <w:position w:val="0"/>
          <w:sz w:val="22"/>
          <w:shd w:fill="auto" w:val="clear"/>
        </w:rPr>
        <w:t xml:space="preserve">I was very nervous when I was sitting before the interview board of such a reputed company that requires the high efficiency of the employees. At the same time, I was quite confident because of my previous successful career growth in the same sector. I was well for with the required qualities and duties of this job position. My nervousness made me under-confident about my capabilities. I also felt that the gap between knowledge and experience as an HR manager made me quite weak against the experienced candidates.</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Evaluation: </w:t>
      </w:r>
      <w:r>
        <w:rPr>
          <w:rFonts w:ascii="Arial" w:hAnsi="Arial" w:cs="Arial" w:eastAsia="Arial"/>
          <w:color w:val="000000"/>
          <w:spacing w:val="0"/>
          <w:position w:val="0"/>
          <w:sz w:val="22"/>
          <w:shd w:fill="auto" w:val="clear"/>
        </w:rPr>
        <w:t xml:space="preserve">The whole interview process was the evaluation of my skills that are required for being an HR manager. I had also done my self-evaluation before going to the interview for focusing more on my strengths and to make them assure me to work on my weaknesses. Thus, the interview was quite good for me and also helped me to find out my weaknesses that should be overcome. </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Analysis: </w:t>
      </w:r>
      <w:r>
        <w:rPr>
          <w:rFonts w:ascii="Arial" w:hAnsi="Arial" w:cs="Arial" w:eastAsia="Arial"/>
          <w:color w:val="000000"/>
          <w:spacing w:val="0"/>
          <w:position w:val="0"/>
          <w:sz w:val="22"/>
          <w:shd w:fill="auto" w:val="clear"/>
        </w:rPr>
        <w:t xml:space="preserve">I have already developed the required skills of an HR manager. My leadership skills, time management skills, planning and problem solution skills, delegation skills and managerial skills have helped me to prove myself to the interview board that I am capable of this job role. My lack of motivation has also been detected by the interviewer and that made me quite a weak candidate. Even my anxiety before pressure was also identified by them.</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Conclusion: </w:t>
      </w:r>
      <w:r>
        <w:rPr>
          <w:rFonts w:ascii="Arial" w:hAnsi="Arial" w:cs="Arial" w:eastAsia="Arial"/>
          <w:color w:val="000000"/>
          <w:spacing w:val="0"/>
          <w:position w:val="0"/>
          <w:sz w:val="22"/>
          <w:shd w:fill="auto" w:val="clear"/>
        </w:rPr>
        <w:t xml:space="preserve">I think the interview process was quite satisfactory for me and also helped me to cope with such situations. Self-evaluation for this interview has made me more aware of my weak points on which I should work to get better opportunities or to improve from my current positions. It will help me to develop my personal skills as well as professional skills. </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Action Plan: </w:t>
      </w:r>
      <w:r>
        <w:rPr>
          <w:rFonts w:ascii="Arial" w:hAnsi="Arial" w:cs="Arial" w:eastAsia="Arial"/>
          <w:color w:val="000000"/>
          <w:spacing w:val="0"/>
          <w:position w:val="0"/>
          <w:sz w:val="22"/>
          <w:shd w:fill="auto" w:val="clear"/>
        </w:rPr>
        <w:t xml:space="preserve">After the whole process of evaluation. I have planned to work upon my motivation power and control anxiety issues under pressurised situations. For this, I have made my planning charts with fixed terms of the period that will be fully devoted to work particularly on these points.</w:t>
      </w: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Discussion on personal strengths and weaknesses</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Communication skills:</w:t>
      </w:r>
      <w:r>
        <w:rPr>
          <w:rFonts w:ascii="Arial" w:hAnsi="Arial" w:cs="Arial" w:eastAsia="Arial"/>
          <w:color w:val="000000"/>
          <w:spacing w:val="0"/>
          <w:position w:val="0"/>
          <w:sz w:val="22"/>
          <w:shd w:fill="auto" w:val="clear"/>
        </w:rPr>
        <w:t xml:space="preserve"> One of the most important skills that a human resource manager should implement on his or her employees to manage them is communication skills (</w:t>
      </w:r>
      <w:r>
        <w:rPr>
          <w:rFonts w:ascii="Arial" w:hAnsi="Arial" w:cs="Arial" w:eastAsia="Arial"/>
          <w:color w:val="000000"/>
          <w:spacing w:val="0"/>
          <w:position w:val="0"/>
          <w:sz w:val="22"/>
          <w:shd w:fill="FFFFFF" w:val="clear"/>
        </w:rPr>
        <w:t xml:space="preserve">Burt et al., 2018)</w:t>
      </w:r>
      <w:r>
        <w:rPr>
          <w:rFonts w:ascii="Arial" w:hAnsi="Arial" w:cs="Arial" w:eastAsia="Arial"/>
          <w:color w:val="000000"/>
          <w:spacing w:val="0"/>
          <w:position w:val="0"/>
          <w:sz w:val="22"/>
          <w:shd w:fill="auto" w:val="clear"/>
        </w:rPr>
        <w:t xml:space="preserve">. Maintaining communication along with a good record with the teams that are participating will result in the creation of a good impact on the management system of human resources increasing the strength of an HR manager. </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Skills of Technology: </w:t>
      </w:r>
      <w:r>
        <w:rPr>
          <w:rFonts w:ascii="Arial" w:hAnsi="Arial" w:cs="Arial" w:eastAsia="Arial"/>
          <w:color w:val="000000"/>
          <w:spacing w:val="0"/>
          <w:position w:val="0"/>
          <w:sz w:val="22"/>
          <w:shd w:fill="auto" w:val="clear"/>
        </w:rPr>
        <w:t xml:space="preserve">The department of human resources has witnessed an increase in the requirements for advanced technology at present. The human resource management system can face a major threat due to the excessive use of Advanced technology that can affect the organisation also</w:t>
      </w:r>
      <w:r>
        <w:rPr>
          <w:rFonts w:ascii="Arial" w:hAnsi="Arial" w:cs="Arial" w:eastAsia="Arial"/>
          <w:b/>
          <w:color w:val="000000"/>
          <w:spacing w:val="0"/>
          <w:position w:val="0"/>
          <w:sz w:val="22"/>
          <w:shd w:fill="auto" w:val="clear"/>
        </w:rPr>
        <w:t xml:space="preserve">. </w:t>
      </w:r>
      <w:r>
        <w:rPr>
          <w:rFonts w:ascii="Arial" w:hAnsi="Arial" w:cs="Arial" w:eastAsia="Arial"/>
          <w:color w:val="000000"/>
          <w:spacing w:val="0"/>
          <w:position w:val="0"/>
          <w:sz w:val="22"/>
          <w:shd w:fill="auto" w:val="clear"/>
        </w:rPr>
        <w:t xml:space="preserve">A tech-savvy human is the one who is required by the organisations as she or he can get any type of problem occurring within the organisation solved with the employees facing no hassle. To get hired as an HR manager, knowledge of SAP is required.</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b/>
          <w:color w:val="000000"/>
          <w:spacing w:val="0"/>
          <w:position w:val="0"/>
          <w:sz w:val="22"/>
          <w:shd w:fill="auto" w:val="clear"/>
        </w:rPr>
        <w:t xml:space="preserve">Management of Time:  </w:t>
      </w:r>
      <w:r>
        <w:rPr>
          <w:rFonts w:ascii="Arial" w:hAnsi="Arial" w:cs="Arial" w:eastAsia="Arial"/>
          <w:color w:val="000000"/>
          <w:spacing w:val="0"/>
          <w:position w:val="0"/>
          <w:sz w:val="22"/>
          <w:shd w:fill="auto" w:val="clear"/>
        </w:rPr>
        <w:t xml:space="preserve">Another important skill of an HR manager is time management, which, if not had, can result in their failure in managing all the tasks of him which can be considered a weakness of his. The prioritisation of the job and getting all the assigned tasks completed on time is essential for the HR managers.  </w:t>
      </w:r>
    </w:p>
    <w:p>
      <w:pPr>
        <w:spacing w:before="240" w:after="240" w:line="360"/>
        <w:ind w:right="0" w:left="0" w:firstLine="0"/>
        <w:jc w:val="both"/>
        <w:rPr>
          <w:rFonts w:ascii="Arial" w:hAnsi="Arial" w:cs="Arial" w:eastAsia="Arial"/>
          <w:color w:val="000000"/>
          <w:spacing w:val="0"/>
          <w:position w:val="0"/>
          <w:sz w:val="22"/>
          <w:shd w:fill="FFFFFF" w:val="clear"/>
        </w:rPr>
      </w:pPr>
      <w:r>
        <w:rPr>
          <w:rFonts w:ascii="Arial" w:hAnsi="Arial" w:cs="Arial" w:eastAsia="Arial"/>
          <w:b/>
          <w:color w:val="000000"/>
          <w:spacing w:val="0"/>
          <w:position w:val="0"/>
          <w:sz w:val="22"/>
          <w:shd w:fill="auto" w:val="clear"/>
        </w:rPr>
        <w:t xml:space="preserve">Career goals</w:t>
      </w:r>
    </w:p>
    <w:p>
      <w:pPr>
        <w:spacing w:before="240" w:after="24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A trackable objective which is planned carefully and is clear is known as a SMART goal. It stands for Specific, measurable, Achievable, Relevant and Time-Based. </w:t>
      </w:r>
    </w:p>
    <w:p>
      <w:pPr>
        <w:numPr>
          <w:ilvl w:val="0"/>
          <w:numId w:val="15"/>
        </w:numPr>
        <w:spacing w:before="240" w:after="0" w:line="360"/>
        <w:ind w:right="0" w:left="720" w:hanging="36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 or Specific means that one should be clear and specific as possible if wanting to achieve something. The more the goal is narrowed, the more will be understood by the necessary steps to achieve it. </w:t>
      </w:r>
    </w:p>
    <w:p>
      <w:pPr>
        <w:numPr>
          <w:ilvl w:val="0"/>
          <w:numId w:val="15"/>
        </w:numPr>
        <w:spacing w:before="0" w:after="0" w:line="360"/>
        <w:ind w:right="0" w:left="720" w:hanging="36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On the other hand, M or Measurable refers to the progress which is measured by someone if she/he has a goal or aim to get a position earned for setting up a start-up tech company (R.S et al., 2020). </w:t>
      </w:r>
    </w:p>
    <w:p>
      <w:pPr>
        <w:numPr>
          <w:ilvl w:val="0"/>
          <w:numId w:val="15"/>
        </w:numPr>
        <w:spacing w:before="0" w:after="0" w:line="360"/>
        <w:ind w:right="0" w:left="720" w:hanging="36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Thirdly, by A or Achievable, one can accomplish within a certain timeframe which will keep one motivated and focused as well. One should know the credentials by using the above example as well as the experience and skills necessary for earning a position in leadership.</w:t>
      </w:r>
    </w:p>
    <w:p>
      <w:pPr>
        <w:numPr>
          <w:ilvl w:val="0"/>
          <w:numId w:val="15"/>
        </w:numPr>
        <w:spacing w:before="0" w:after="0" w:line="360"/>
        <w:ind w:right="0" w:left="720" w:hanging="36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Fourth, by R or Relevant, one should consider whether the goals they are setting are either relevant or not. With the values of one, along with larger and longer-time values, aligned should be each of the goals of one.</w:t>
      </w:r>
    </w:p>
    <w:p>
      <w:pPr>
        <w:numPr>
          <w:ilvl w:val="0"/>
          <w:numId w:val="15"/>
        </w:numPr>
        <w:spacing w:before="0" w:after="240" w:line="360"/>
        <w:ind w:right="0" w:left="720" w:hanging="36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Fifth, by T or time-based, provision of and end-date can help one with motivations being provided and help one being prioritised. For example, if one wants to achieve a higher promotion to a position which is more senior, six months can be provided by that person to herself/himself.      </w:t>
      </w: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Personal Development Plan</w:t>
      </w:r>
    </w:p>
    <w:p>
      <w:pPr>
        <w:spacing w:before="240" w:after="240" w:line="360"/>
        <w:ind w:right="0" w:left="0" w:firstLine="0"/>
        <w:jc w:val="both"/>
        <w:rPr>
          <w:rFonts w:ascii="Arial" w:hAnsi="Arial" w:cs="Arial" w:eastAsia="Arial"/>
          <w:b/>
          <w:color w:val="000000"/>
          <w:spacing w:val="0"/>
          <w:position w:val="0"/>
          <w:sz w:val="22"/>
          <w:shd w:fill="auto" w:val="clear"/>
        </w:rPr>
      </w:pPr>
    </w:p>
    <w:tbl>
      <w:tblPr/>
      <w:tblGrid>
        <w:gridCol w:w="1890"/>
        <w:gridCol w:w="2115"/>
        <w:gridCol w:w="1785"/>
        <w:gridCol w:w="1935"/>
        <w:gridCol w:w="1635"/>
      </w:tblGrid>
      <w:tr>
        <w:trPr>
          <w:trHeight w:val="1" w:hRule="atLeast"/>
          <w:jc w:val="left"/>
        </w:trPr>
        <w:tc>
          <w:tcPr>
            <w:tcW w:w="18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Skills</w:t>
            </w:r>
          </w:p>
        </w:tc>
        <w:tc>
          <w:tcPr>
            <w:tcW w:w="21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Ways to achieve them</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Support I need</w:t>
            </w:r>
          </w:p>
        </w:tc>
        <w:tc>
          <w:tcPr>
            <w:tcW w:w="19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Barriers to my achievement</w:t>
            </w:r>
          </w:p>
        </w:tc>
        <w:tc>
          <w:tcPr>
            <w:tcW w:w="16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240"/>
              <w:ind w:right="0" w:left="0" w:firstLine="0"/>
              <w:jc w:val="both"/>
              <w:rPr>
                <w:spacing w:val="0"/>
                <w:position w:val="0"/>
                <w:sz w:val="22"/>
                <w:shd w:fill="auto" w:val="clear"/>
              </w:rPr>
            </w:pPr>
            <w:r>
              <w:rPr>
                <w:rFonts w:ascii="Arial" w:hAnsi="Arial" w:cs="Arial" w:eastAsia="Arial"/>
                <w:b/>
                <w:color w:val="000000"/>
                <w:spacing w:val="0"/>
                <w:position w:val="0"/>
                <w:sz w:val="22"/>
                <w:shd w:fill="auto" w:val="clear"/>
              </w:rPr>
              <w:t xml:space="preserve">Target Date</w:t>
            </w:r>
          </w:p>
        </w:tc>
      </w:tr>
      <w:tr>
        <w:trPr>
          <w:trHeight w:val="1" w:hRule="atLeast"/>
          <w:jc w:val="left"/>
        </w:trPr>
        <w:tc>
          <w:tcPr>
            <w:tcW w:w="18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Knowledge of practical skills</w:t>
            </w:r>
          </w:p>
        </w:tc>
        <w:tc>
          <w:tcPr>
            <w:tcW w:w="21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should learn these types of skills by practising more and more work in the organisation regarding the behaviour of the human beings and the process of managing employees</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Being an employee of the human resource development, I can take the interviews of the new employees to make my knowledge wide enough regarding the human resource.</w:t>
            </w:r>
          </w:p>
        </w:tc>
        <w:tc>
          <w:tcPr>
            <w:tcW w:w="19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The nature of being an introvert can act as a barrier to learning the skill. But I will develop myself to make accustomed with.</w:t>
            </w:r>
          </w:p>
        </w:tc>
        <w:tc>
          <w:tcPr>
            <w:tcW w:w="16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6 months</w:t>
            </w:r>
          </w:p>
        </w:tc>
      </w:tr>
      <w:tr>
        <w:trPr>
          <w:trHeight w:val="1" w:hRule="atLeast"/>
          <w:jc w:val="left"/>
        </w:trPr>
        <w:tc>
          <w:tcPr>
            <w:tcW w:w="18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Writing Skills</w:t>
            </w:r>
          </w:p>
        </w:tc>
        <w:tc>
          <w:tcPr>
            <w:tcW w:w="21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must develop the skill of writing by making a habit of reading newspapers, journals and magazines on an everyday basis.</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have to make myself eligible enough so that I can read and write on any kind of academic topic.</w:t>
            </w:r>
          </w:p>
        </w:tc>
        <w:tc>
          <w:tcPr>
            <w:tcW w:w="19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In some cases,impatience can also play the role of a barrier but I have to make myself freed from them.</w:t>
            </w:r>
          </w:p>
        </w:tc>
        <w:tc>
          <w:tcPr>
            <w:tcW w:w="16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3 months</w:t>
            </w:r>
          </w:p>
        </w:tc>
      </w:tr>
      <w:tr>
        <w:trPr>
          <w:trHeight w:val="1" w:hRule="atLeast"/>
          <w:jc w:val="left"/>
        </w:trPr>
        <w:tc>
          <w:tcPr>
            <w:tcW w:w="18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Technological Skills</w:t>
            </w:r>
          </w:p>
        </w:tc>
        <w:tc>
          <w:tcPr>
            <w:tcW w:w="21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must learn technology skills by making myself accustomed to the new digital technology and the new processes </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rPr>
            </w:pPr>
            <w:r>
              <w:rPr>
                <w:rFonts w:ascii="Arial" w:hAnsi="Arial" w:cs="Arial" w:eastAsia="Arial"/>
                <w:color w:val="000000"/>
                <w:spacing w:val="0"/>
                <w:position w:val="0"/>
                <w:sz w:val="22"/>
                <w:shd w:fill="auto" w:val="clear"/>
              </w:rPr>
              <w:t xml:space="preserve">I have to manage so I can get a clear idea of how the new technology is affecting the human resource development for the process of hiring (</w:t>
            </w:r>
            <w:r>
              <w:rPr>
                <w:rFonts w:ascii="Arial" w:hAnsi="Arial" w:cs="Arial" w:eastAsia="Arial"/>
                <w:color w:val="000000"/>
                <w:spacing w:val="0"/>
                <w:position w:val="0"/>
                <w:sz w:val="22"/>
                <w:shd w:fill="FFFFFF" w:val="clear"/>
              </w:rPr>
              <w:t xml:space="preserve">Körkkö et al., 2020)</w:t>
            </w:r>
            <w:r>
              <w:rPr>
                <w:rFonts w:ascii="Arial" w:hAnsi="Arial" w:cs="Arial" w:eastAsia="Arial"/>
                <w:color w:val="000000"/>
                <w:spacing w:val="0"/>
                <w:position w:val="0"/>
                <w:sz w:val="22"/>
                <w:shd w:fill="auto" w:val="clear"/>
              </w:rPr>
              <w:t xml:space="preserve">.</w:t>
            </w:r>
          </w:p>
        </w:tc>
        <w:tc>
          <w:tcPr>
            <w:tcW w:w="19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The idea of new technology can act as a barrier to the learning process. Some new digital technologies can have a wide effect which I need to overcome.</w:t>
            </w:r>
          </w:p>
        </w:tc>
        <w:tc>
          <w:tcPr>
            <w:tcW w:w="16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6 months</w:t>
            </w:r>
          </w:p>
        </w:tc>
      </w:tr>
      <w:tr>
        <w:trPr>
          <w:trHeight w:val="1" w:hRule="atLeast"/>
          <w:jc w:val="left"/>
        </w:trPr>
        <w:tc>
          <w:tcPr>
            <w:tcW w:w="189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Time Management Skill</w:t>
            </w:r>
          </w:p>
        </w:tc>
        <w:tc>
          <w:tcPr>
            <w:tcW w:w="21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should develop the skill by maintaining punctuality and must try to complete work within the scheduled time. </w:t>
            </w:r>
          </w:p>
        </w:tc>
        <w:tc>
          <w:tcPr>
            <w:tcW w:w="17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I have to manage the time in such a way so that it could be well maintained in a disciplined way without any delay. </w:t>
            </w:r>
          </w:p>
        </w:tc>
        <w:tc>
          <w:tcPr>
            <w:tcW w:w="19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Barriers like failing to manage time at the initial stage can affect the skill learning process.</w:t>
            </w:r>
          </w:p>
        </w:tc>
        <w:tc>
          <w:tcPr>
            <w:tcW w:w="163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sz w:val="22"/>
                <w:shd w:fill="auto" w:val="clear"/>
              </w:rPr>
            </w:pPr>
            <w:r>
              <w:rPr>
                <w:rFonts w:ascii="Arial" w:hAnsi="Arial" w:cs="Arial" w:eastAsia="Arial"/>
                <w:color w:val="000000"/>
                <w:spacing w:val="0"/>
                <w:position w:val="0"/>
                <w:sz w:val="22"/>
                <w:shd w:fill="auto" w:val="clear"/>
              </w:rPr>
              <w:t xml:space="preserve">8 months</w:t>
            </w:r>
          </w:p>
        </w:tc>
      </w:tr>
    </w:tbl>
    <w:p>
      <w:pPr>
        <w:spacing w:before="240" w:after="240" w:line="360"/>
        <w:ind w:right="0" w:left="0" w:firstLine="0"/>
        <w:jc w:val="both"/>
        <w:rPr>
          <w:rFonts w:ascii="Arial" w:hAnsi="Arial" w:cs="Arial" w:eastAsia="Arial"/>
          <w:b/>
          <w:color w:val="000000"/>
          <w:spacing w:val="0"/>
          <w:position w:val="0"/>
          <w:sz w:val="22"/>
          <w:shd w:fill="auto" w:val="clear"/>
        </w:rPr>
      </w:pP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Recruitment and Selection</w:t>
      </w:r>
    </w:p>
    <w:p>
      <w:pPr>
        <w:spacing w:before="240" w:after="24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The recruitment and selection process is an important operation of Human Resource Management in an organisation. Briefly, the recruitment process refers to the process of searching for potential applicants and encouraging them to apply for the vacant posts (</w:t>
      </w:r>
      <w:r>
        <w:rPr>
          <w:rFonts w:ascii="Arial" w:hAnsi="Arial" w:cs="Arial" w:eastAsia="Arial"/>
          <w:color w:val="000000"/>
          <w:spacing w:val="0"/>
          <w:position w:val="0"/>
          <w:sz w:val="22"/>
          <w:shd w:fill="FFFFFF" w:val="clear"/>
        </w:rPr>
        <w:t xml:space="preserve">Butson, Tower and Schwarz, 2021)</w:t>
      </w:r>
      <w:r>
        <w:rPr>
          <w:rFonts w:ascii="Arial" w:hAnsi="Arial" w:cs="Arial" w:eastAsia="Arial"/>
          <w:color w:val="000000"/>
          <w:spacing w:val="0"/>
          <w:position w:val="0"/>
          <w:sz w:val="22"/>
          <w:shd w:fill="auto" w:val="clear"/>
        </w:rPr>
        <w:t xml:space="preserve">. Selection is the process of hiring employees from the applied candidates. This whole process of recruitment and selection managed by the HR department of an organisation is designed to strengthen the employee's capacity of an organisation and to meet the shared strategic goals of the organisation keeping in mind the employer’s interests. The whole process incorporates different steps including sourcing, screening, shortlisting and selecting. Human Resources are considered the most valuable assets of an organisation. Therefore hiring the right and best resources is the objective of the recruitment and selection process. The scope of the recruitment and selection process includes a number of operations such as - preparing recruitment policies, identifying the areas where the scope of improvement lies, and streamlining the hiring processes. This process is an important factor of an organisational function as the success rate completely depends on the human resource. This process is controlled by different factors including internal factors such as the size of the organisation, recruitment policy, image of the organisation and image of the job role as well as external factors such as labour market, employment rate, labour laws, legal considerations of recruitments, competitors and demographic factors affecting employability skills. The labour market determines the demand and supply of human resources. The employment rate defines the available sources in the market where a high employment rate leaves fewer opportunities for human resources for the new recruitment processes. Along with this, labour laws in the workplace such as occupational health and safety laws, the Minimum wages act, pension rules, and workplace environment regulations are important factors for the recruitment and selection process as the organisations should incorporate such rules within their recruitment processes. Legal considerations such as reservation rules for engagement of the workforce are also important external factors of these procedures. The competitive work environment in a market makes the organisations offer lucrative packages for hiring the best resources in their workforce. Thus all external factors directly influence the recruitment and selection process. In this age of technological revolution, globalisation and digital economy, this process of recruitment and selection is managed by Artificial Intelligence (</w:t>
      </w:r>
      <w:r>
        <w:rPr>
          <w:rFonts w:ascii="Arial" w:hAnsi="Arial" w:cs="Arial" w:eastAsia="Arial"/>
          <w:color w:val="000000"/>
          <w:spacing w:val="0"/>
          <w:position w:val="0"/>
          <w:sz w:val="22"/>
          <w:shd w:fill="FFFFFF" w:val="clear"/>
        </w:rPr>
        <w:t xml:space="preserve">Hmoud and Laszlo, 2019)</w:t>
      </w:r>
      <w:r>
        <w:rPr>
          <w:rFonts w:ascii="Arial" w:hAnsi="Arial" w:cs="Arial" w:eastAsia="Arial"/>
          <w:color w:val="000000"/>
          <w:spacing w:val="0"/>
          <w:position w:val="0"/>
          <w:sz w:val="22"/>
          <w:shd w:fill="auto" w:val="clear"/>
        </w:rPr>
        <w:t xml:space="preserve">. This leads to more efficiency in identifying specific qualities of a candidate and evaluating the required criteria for vacant posts. This automation process by AI has enhanced the errorless recognition of the best resources and invented the scopes of improvement for an organisation. Thus, a technological implementation is raising a new trend in the recruitment and selection process in organisations.</w:t>
      </w:r>
    </w:p>
    <w:p>
      <w:pPr>
        <w:keepNext w:val="true"/>
        <w:keepLines w:val="true"/>
        <w:spacing w:before="400" w:after="120" w:line="276"/>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Conclusion</w:t>
      </w:r>
    </w:p>
    <w:p>
      <w:pPr>
        <w:spacing w:before="240" w:after="160" w:line="360"/>
        <w:ind w:right="0" w:left="0" w:firstLine="0"/>
        <w:jc w:val="both"/>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Conclusively it can be stated that for personal development and professional growth a strict development chart should be maintained. Before this, one needs to identify his or her strengths or weaknesses and from that evaluation process, a person can understand the opportunities and threats in his or her professional life. Self-evaluation is the process of reflection on one's own deeds. There are different models for learning from experiences. This assignment has already discussed the Reflective Model of Gibbs to recognise what should be developed and should be included in the development plans. Skill gaps can be filled with proper development planning. These all can be successful if the person goes ahead with his recognition of professional goals or objectives that will also help him to improve his personal life.  Career goals can be measured or analysed through the tools of SMART which refers to Specific, Measurable, Attainable, Relevant and Time-based objectives. Specific job roles require specific professional skills and specific career goals. So without proper self-evaluation, recognition of one's strengths and weaknesses, setting career goals or objectives and proper development plans attainment of professional success is impossible in this age of competition. </w:t>
      </w:r>
    </w:p>
    <w:p>
      <w:pPr>
        <w:spacing w:before="240" w:after="160" w:line="360"/>
        <w:ind w:right="0" w:left="0" w:firstLine="0"/>
        <w:jc w:val="both"/>
        <w:rPr>
          <w:rFonts w:ascii="Arial" w:hAnsi="Arial" w:cs="Arial" w:eastAsia="Arial"/>
          <w:color w:val="000000"/>
          <w:spacing w:val="0"/>
          <w:position w:val="0"/>
          <w:sz w:val="40"/>
          <w:shd w:fill="auto" w:val="clear"/>
        </w:rPr>
      </w:pPr>
      <w:r>
        <w:rPr>
          <w:rFonts w:ascii="Arial" w:hAnsi="Arial" w:cs="Arial" w:eastAsia="Arial"/>
          <w:color w:val="000000"/>
          <w:spacing w:val="0"/>
          <w:position w:val="0"/>
          <w:sz w:val="40"/>
          <w:shd w:fill="auto" w:val="clear"/>
        </w:rPr>
        <w:t xml:space="preserve"> </w:t>
      </w:r>
    </w:p>
    <w:p>
      <w:pPr>
        <w:keepNext w:val="true"/>
        <w:keepLines w:val="true"/>
        <w:spacing w:before="400" w:after="120" w:line="360"/>
        <w:ind w:right="0" w:left="0" w:firstLine="0"/>
        <w:jc w:val="both"/>
        <w:rPr>
          <w:rFonts w:ascii="Arial" w:hAnsi="Arial" w:cs="Arial" w:eastAsia="Arial"/>
          <w:b/>
          <w:color w:val="000000"/>
          <w:spacing w:val="0"/>
          <w:position w:val="0"/>
          <w:sz w:val="40"/>
          <w:shd w:fill="auto" w:val="clear"/>
        </w:rPr>
      </w:pPr>
      <w:r>
        <w:rPr>
          <w:rFonts w:ascii="Arial" w:hAnsi="Arial" w:cs="Arial" w:eastAsia="Arial"/>
          <w:b/>
          <w:color w:val="000000"/>
          <w:spacing w:val="0"/>
          <w:position w:val="0"/>
          <w:sz w:val="28"/>
          <w:shd w:fill="auto" w:val="clear"/>
        </w:rPr>
        <w:t xml:space="preserve">Reference list</w:t>
      </w:r>
    </w:p>
    <w:p>
      <w:pPr>
        <w:spacing w:before="0" w:after="0" w:line="360"/>
        <w:ind w:right="0" w:left="0" w:firstLine="0"/>
        <w:jc w:val="both"/>
        <w:rPr>
          <w:rFonts w:ascii="Arial" w:hAnsi="Arial" w:cs="Arial" w:eastAsia="Arial"/>
          <w:color w:val="000000"/>
          <w:spacing w:val="0"/>
          <w:position w:val="0"/>
          <w:sz w:val="20"/>
          <w:shd w:fill="FFFFFF" w:val="clear"/>
        </w:rPr>
      </w:pPr>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Burt, J., Abel, G., Elliott, M.N., Elmore, N., Newbould, J., Davey, A., Llanwarne, N., Maramba, I., Paddison, C., Campbell, J. and Roland, M., 2018. The evaluation of physicians’ communication skills from multiple perspectives. </w:t>
      </w:r>
      <w:r>
        <w:rPr>
          <w:rFonts w:ascii="Arial" w:hAnsi="Arial" w:cs="Arial" w:eastAsia="Arial"/>
          <w:i/>
          <w:color w:val="000000"/>
          <w:spacing w:val="0"/>
          <w:position w:val="0"/>
          <w:sz w:val="22"/>
          <w:shd w:fill="FFFFFF" w:val="clear"/>
        </w:rPr>
        <w:t xml:space="preserve">The Annals of Family Medicine</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16</w:t>
      </w:r>
      <w:r>
        <w:rPr>
          <w:rFonts w:ascii="Arial" w:hAnsi="Arial" w:cs="Arial" w:eastAsia="Arial"/>
          <w:color w:val="000000"/>
          <w:spacing w:val="0"/>
          <w:position w:val="0"/>
          <w:sz w:val="22"/>
          <w:shd w:fill="FFFFFF" w:val="clear"/>
        </w:rPr>
        <w:t xml:space="preserve">(4), pp.330-337. Available at: </w:t>
      </w:r>
      <w:hyperlink xmlns:r="http://schemas.openxmlformats.org/officeDocument/2006/relationships" r:id="docRId0">
        <w:r>
          <w:rPr>
            <w:rFonts w:ascii="Arial" w:hAnsi="Arial" w:cs="Arial" w:eastAsia="Arial"/>
            <w:color w:val="0000FF"/>
            <w:spacing w:val="0"/>
            <w:position w:val="0"/>
            <w:sz w:val="22"/>
            <w:u w:val="single"/>
            <w:shd w:fill="FFFFFF" w:val="clear"/>
          </w:rPr>
          <w:t xml:space="preserve">https://www.annfammed.org/content/annalsfm/16/4/330.full.pdf</w:t>
        </w:r>
      </w:hyperlink>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Butson, M., Tower, J.R. and Schwarz, E.C., 2021. Understanding Lifeguard Recruitment and Selection Practices in Victorian Aquatic and Recreation Centers (ARCs). </w:t>
      </w:r>
      <w:r>
        <w:rPr>
          <w:rFonts w:ascii="Arial" w:hAnsi="Arial" w:cs="Arial" w:eastAsia="Arial"/>
          <w:i/>
          <w:color w:val="000000"/>
          <w:spacing w:val="0"/>
          <w:position w:val="0"/>
          <w:sz w:val="22"/>
          <w:shd w:fill="FFFFFF" w:val="clear"/>
        </w:rPr>
        <w:t xml:space="preserve">International Journal of Aquatic Research and Education</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13</w:t>
      </w:r>
      <w:r>
        <w:rPr>
          <w:rFonts w:ascii="Arial" w:hAnsi="Arial" w:cs="Arial" w:eastAsia="Arial"/>
          <w:color w:val="000000"/>
          <w:spacing w:val="0"/>
          <w:position w:val="0"/>
          <w:sz w:val="22"/>
          <w:shd w:fill="FFFFFF" w:val="clear"/>
        </w:rPr>
        <w:t xml:space="preserve">(3), p.1. Available at: </w:t>
      </w:r>
      <w:hyperlink xmlns:r="http://schemas.openxmlformats.org/officeDocument/2006/relationships" r:id="docRId1">
        <w:r>
          <w:rPr>
            <w:rFonts w:ascii="Arial" w:hAnsi="Arial" w:cs="Arial" w:eastAsia="Arial"/>
            <w:color w:val="000000"/>
            <w:spacing w:val="0"/>
            <w:position w:val="0"/>
            <w:sz w:val="22"/>
            <w:u w:val="single"/>
            <w:shd w:fill="FFFFFF" w:val="clear"/>
          </w:rPr>
          <w:t xml:space="preserve">https://scholarworks.bgsu.edu/cgi/viewcontent.cgi?article=1455</w:t>
        </w:r>
        <w:r>
          <w:rPr>
            <w:rFonts w:ascii="Arial" w:hAnsi="Arial" w:cs="Arial" w:eastAsia="Arial"/>
            <w:vanish/>
            <w:color w:val="000000"/>
            <w:spacing w:val="0"/>
            <w:position w:val="0"/>
            <w:sz w:val="22"/>
            <w:u w:val="single"/>
            <w:shd w:fill="FFFFFF" w:val="clear"/>
          </w:rPr>
          <w:t xml:space="preserve">HYPERLINK "https://scholarworks.bgsu.edu/cgi/viewcontent.cgi?article=1455&amp;context=ijare"</w:t>
        </w:r>
        <w:r>
          <w:rPr>
            <w:rFonts w:ascii="Arial" w:hAnsi="Arial" w:cs="Arial" w:eastAsia="Arial"/>
            <w:color w:val="000000"/>
            <w:spacing w:val="0"/>
            <w:position w:val="0"/>
            <w:sz w:val="22"/>
            <w:u w:val="single"/>
            <w:shd w:fill="FFFFFF" w:val="clear"/>
          </w:rPr>
          <w:t xml:space="preserve">&amp;</w:t>
        </w:r>
        <w:r>
          <w:rPr>
            <w:rFonts w:ascii="Arial" w:hAnsi="Arial" w:cs="Arial" w:eastAsia="Arial"/>
            <w:vanish/>
            <w:color w:val="000000"/>
            <w:spacing w:val="0"/>
            <w:position w:val="0"/>
            <w:sz w:val="22"/>
            <w:u w:val="single"/>
            <w:shd w:fill="FFFFFF" w:val="clear"/>
          </w:rPr>
          <w:t xml:space="preserve">HYPERLINK "https://scholarworks.bgsu.edu/cgi/viewcontent.cgi?article=1455&amp;context=ijare"</w:t>
        </w:r>
        <w:r>
          <w:rPr>
            <w:rFonts w:ascii="Arial" w:hAnsi="Arial" w:cs="Arial" w:eastAsia="Arial"/>
            <w:color w:val="000000"/>
            <w:spacing w:val="0"/>
            <w:position w:val="0"/>
            <w:sz w:val="22"/>
            <w:u w:val="single"/>
            <w:shd w:fill="FFFFFF" w:val="clear"/>
          </w:rPr>
          <w:t xml:space="preserve">context=ijare</w:t>
        </w:r>
      </w:hyperlink>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Hmoud, B. and Laszlo, V., 2019. Will artificial intelligence take over human resources recruitment and selection.</w:t>
      </w:r>
      <w:r>
        <w:rPr>
          <w:rFonts w:ascii="Arial" w:hAnsi="Arial" w:cs="Arial" w:eastAsia="Arial"/>
          <w:i/>
          <w:color w:val="000000"/>
          <w:spacing w:val="0"/>
          <w:position w:val="0"/>
          <w:sz w:val="22"/>
          <w:shd w:fill="FFFFFF" w:val="clear"/>
        </w:rPr>
        <w:t xml:space="preserve">Network Intelligence Studies</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7</w:t>
      </w:r>
      <w:r>
        <w:rPr>
          <w:rFonts w:ascii="Arial" w:hAnsi="Arial" w:cs="Arial" w:eastAsia="Arial"/>
          <w:color w:val="000000"/>
          <w:spacing w:val="0"/>
          <w:position w:val="0"/>
          <w:sz w:val="22"/>
          <w:shd w:fill="FFFFFF" w:val="clear"/>
        </w:rPr>
        <w:t xml:space="preserve">(13), pp.21-30. Available at: /</w:t>
      </w:r>
      <w:hyperlink xmlns:r="http://schemas.openxmlformats.org/officeDocument/2006/relationships" r:id="docRId2">
        <w:r>
          <w:rPr>
            <w:rFonts w:ascii="Arial" w:hAnsi="Arial" w:cs="Arial" w:eastAsia="Arial"/>
            <w:color w:val="000000"/>
            <w:spacing w:val="0"/>
            <w:position w:val="0"/>
            <w:sz w:val="22"/>
            <w:u w:val="single"/>
            <w:shd w:fill="FFFFFF" w:val="clear"/>
          </w:rPr>
          <w:t xml:space="preserve">https://esource.dbs.ie/bitstream/handle/10788/3956/mba_bhalgat.pdf?sequence=1</w:t>
        </w:r>
        <w:r>
          <w:rPr>
            <w:rFonts w:ascii="Arial" w:hAnsi="Arial" w:cs="Arial" w:eastAsia="Arial"/>
            <w:vanish/>
            <w:color w:val="000000"/>
            <w:spacing w:val="0"/>
            <w:position w:val="0"/>
            <w:sz w:val="22"/>
            <w:u w:val="single"/>
            <w:shd w:fill="FFFFFF" w:val="clear"/>
          </w:rPr>
          <w:t xml:space="preserve">HYPERLINK "https://esource.dbs.ie/bitstream/handle/10788/3956/mba_bhalgat.pdf?sequence=1&amp;isAllowed=y"</w:t>
        </w:r>
        <w:r>
          <w:rPr>
            <w:rFonts w:ascii="Arial" w:hAnsi="Arial" w:cs="Arial" w:eastAsia="Arial"/>
            <w:color w:val="000000"/>
            <w:spacing w:val="0"/>
            <w:position w:val="0"/>
            <w:sz w:val="22"/>
            <w:u w:val="single"/>
            <w:shd w:fill="FFFFFF" w:val="clear"/>
          </w:rPr>
          <w:t xml:space="preserve">&amp;</w:t>
        </w:r>
        <w:r>
          <w:rPr>
            <w:rFonts w:ascii="Arial" w:hAnsi="Arial" w:cs="Arial" w:eastAsia="Arial"/>
            <w:vanish/>
            <w:color w:val="000000"/>
            <w:spacing w:val="0"/>
            <w:position w:val="0"/>
            <w:sz w:val="22"/>
            <w:u w:val="single"/>
            <w:shd w:fill="FFFFFF" w:val="clear"/>
          </w:rPr>
          <w:t xml:space="preserve">HYPERLINK "https://esource.dbs.ie/bitstream/handle/10788/3956/mba_bhalgat.pdf?sequence=1&amp;isAllowed=y"</w:t>
        </w:r>
        <w:r>
          <w:rPr>
            <w:rFonts w:ascii="Arial" w:hAnsi="Arial" w:cs="Arial" w:eastAsia="Arial"/>
            <w:color w:val="000000"/>
            <w:spacing w:val="0"/>
            <w:position w:val="0"/>
            <w:sz w:val="22"/>
            <w:u w:val="single"/>
            <w:shd w:fill="FFFFFF" w:val="clear"/>
          </w:rPr>
          <w:t xml:space="preserve">isAllowed=y</w:t>
        </w:r>
      </w:hyperlink>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Körkkö, M., Kotilainen, M.R., Toljamo, S. and Turunen, T., 2020. Developing teacher in-service education through a professional development plan: modelling the process. </w:t>
      </w:r>
      <w:r>
        <w:rPr>
          <w:rFonts w:ascii="Arial" w:hAnsi="Arial" w:cs="Arial" w:eastAsia="Arial"/>
          <w:i/>
          <w:color w:val="000000"/>
          <w:spacing w:val="0"/>
          <w:position w:val="0"/>
          <w:sz w:val="22"/>
          <w:shd w:fill="FFFFFF" w:val="clear"/>
        </w:rPr>
        <w:t xml:space="preserve">European Journal of Teacher Education</w:t>
      </w:r>
      <w:r>
        <w:rPr>
          <w:rFonts w:ascii="Arial" w:hAnsi="Arial" w:cs="Arial" w:eastAsia="Arial"/>
          <w:color w:val="000000"/>
          <w:spacing w:val="0"/>
          <w:position w:val="0"/>
          <w:sz w:val="22"/>
          <w:shd w:fill="FFFFFF" w:val="clear"/>
        </w:rPr>
        <w:t xml:space="preserve">, pp.1-18. Available at: </w:t>
      </w:r>
      <w:hyperlink xmlns:r="http://schemas.openxmlformats.org/officeDocument/2006/relationships" r:id="docRId3">
        <w:r>
          <w:rPr>
            <w:rFonts w:ascii="Arial" w:hAnsi="Arial" w:cs="Arial" w:eastAsia="Arial"/>
            <w:color w:val="0000FF"/>
            <w:spacing w:val="0"/>
            <w:position w:val="0"/>
            <w:sz w:val="22"/>
            <w:u w:val="single"/>
            <w:shd w:fill="FFFFFF" w:val="clear"/>
          </w:rPr>
          <w:t xml:space="preserve">https://www.tandfonline.com/doi/pdf/10.1080/02619768.2020.1827393</w:t>
        </w:r>
      </w:hyperlink>
      <w:r>
        <w:rPr>
          <w:rFonts w:ascii="Arial" w:hAnsi="Arial" w:cs="Arial" w:eastAsia="Arial"/>
          <w:color w:val="000000"/>
          <w:spacing w:val="0"/>
          <w:position w:val="0"/>
          <w:sz w:val="22"/>
          <w:shd w:fill="FFFFFF" w:val="clear"/>
        </w:rPr>
        <w:t xml:space="preserve">Barthelemy, </w:t>
      </w:r>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Priddis, L. and Rogers, S.L., 2018. Development of the reflective practice questionnaire: preliminary findings. </w:t>
      </w:r>
      <w:r>
        <w:rPr>
          <w:rFonts w:ascii="Arial" w:hAnsi="Arial" w:cs="Arial" w:eastAsia="Arial"/>
          <w:i/>
          <w:color w:val="000000"/>
          <w:spacing w:val="0"/>
          <w:position w:val="0"/>
          <w:sz w:val="22"/>
          <w:shd w:fill="FFFFFF" w:val="clear"/>
        </w:rPr>
        <w:t xml:space="preserve">Reflective Practice</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19</w:t>
      </w:r>
      <w:r>
        <w:rPr>
          <w:rFonts w:ascii="Arial" w:hAnsi="Arial" w:cs="Arial" w:eastAsia="Arial"/>
          <w:color w:val="000000"/>
          <w:spacing w:val="0"/>
          <w:position w:val="0"/>
          <w:sz w:val="22"/>
          <w:shd w:fill="FFFFFF" w:val="clear"/>
        </w:rPr>
        <w:t xml:space="preserve">(1), pp.89-104. Available at: /</w:t>
      </w:r>
      <w:r>
        <w:rPr>
          <w:rFonts w:ascii="Arial" w:hAnsi="Arial" w:cs="Arial" w:eastAsia="Arial"/>
          <w:color w:val="auto"/>
          <w:spacing w:val="0"/>
          <w:position w:val="0"/>
          <w:sz w:val="22"/>
          <w:shd w:fill="FFFFFF" w:val="clear"/>
        </w:rPr>
        <w:t xml:space="preserve">https://www.researchgate.net/profile/Shane-Rogers/publication/320168110_Development_of_the_reflective_practice_questionnaire_preliminary_findings/links/5a0e2cf6a6fdcc2b5b5df112/Development-of-the-reflective-practice-questionnaire-preliminary-findings.pdf</w:t>
      </w:r>
    </w:p>
    <w:p>
      <w:pPr>
        <w:spacing w:before="0" w:after="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R.S., McCormick, M., Henderson, C.R. and Knaub, A., 2020. Educational supports and career goals of five women in a graduate astronomy program. </w:t>
      </w:r>
      <w:r>
        <w:rPr>
          <w:rFonts w:ascii="Arial" w:hAnsi="Arial" w:cs="Arial" w:eastAsia="Arial"/>
          <w:i/>
          <w:color w:val="000000"/>
          <w:spacing w:val="0"/>
          <w:position w:val="0"/>
          <w:sz w:val="22"/>
          <w:shd w:fill="FFFFFF" w:val="clear"/>
        </w:rPr>
        <w:t xml:space="preserve">Physical Review Physics Education Research</w:t>
      </w:r>
      <w:r>
        <w:rPr>
          <w:rFonts w:ascii="Arial" w:hAnsi="Arial" w:cs="Arial" w:eastAsia="Arial"/>
          <w:color w:val="000000"/>
          <w:spacing w:val="0"/>
          <w:position w:val="0"/>
          <w:sz w:val="22"/>
          <w:shd w:fill="FFFFFF" w:val="clear"/>
        </w:rPr>
        <w:t xml:space="preserve">, </w:t>
      </w:r>
      <w:r>
        <w:rPr>
          <w:rFonts w:ascii="Arial" w:hAnsi="Arial" w:cs="Arial" w:eastAsia="Arial"/>
          <w:i/>
          <w:color w:val="000000"/>
          <w:spacing w:val="0"/>
          <w:position w:val="0"/>
          <w:sz w:val="22"/>
          <w:shd w:fill="FFFFFF" w:val="clear"/>
        </w:rPr>
        <w:t xml:space="preserve">16</w:t>
      </w:r>
      <w:r>
        <w:rPr>
          <w:rFonts w:ascii="Arial" w:hAnsi="Arial" w:cs="Arial" w:eastAsia="Arial"/>
          <w:color w:val="000000"/>
          <w:spacing w:val="0"/>
          <w:position w:val="0"/>
          <w:sz w:val="22"/>
          <w:shd w:fill="FFFFFF" w:val="clear"/>
        </w:rPr>
        <w:t xml:space="preserve">(1), p.010119. Available at: </w:t>
      </w:r>
      <w:hyperlink xmlns:r="http://schemas.openxmlformats.org/officeDocument/2006/relationships" r:id="docRId4">
        <w:r>
          <w:rPr>
            <w:rFonts w:ascii="Arial" w:hAnsi="Arial" w:cs="Arial" w:eastAsia="Arial"/>
            <w:color w:val="0000FF"/>
            <w:spacing w:val="0"/>
            <w:position w:val="0"/>
            <w:sz w:val="22"/>
            <w:u w:val="single"/>
            <w:shd w:fill="FFFFFF" w:val="clear"/>
          </w:rPr>
          <w:t xml:space="preserve">https://journals.aps.org/prper/pdf/10.1103/PhysRevPhysEducRes.16.010119</w:t>
        </w:r>
      </w:hyperlink>
    </w:p>
    <w:p>
      <w:pPr>
        <w:spacing w:before="240" w:after="240" w:line="360"/>
        <w:ind w:right="0" w:left="0" w:firstLine="0"/>
        <w:jc w:val="both"/>
        <w:rPr>
          <w:rFonts w:ascii="Arial" w:hAnsi="Arial" w:cs="Arial" w:eastAsia="Arial"/>
          <w:color w:val="000000"/>
          <w:spacing w:val="0"/>
          <w:position w:val="0"/>
          <w:sz w:val="22"/>
          <w:shd w:fill="FFFFFF" w:val="clear"/>
        </w:rPr>
      </w:pPr>
      <w:r>
        <w:rPr>
          <w:rFonts w:ascii="Arial" w:hAnsi="Arial" w:cs="Arial" w:eastAsia="Arial"/>
          <w:color w:val="000000"/>
          <w:spacing w:val="0"/>
          <w:position w:val="0"/>
          <w:sz w:val="22"/>
          <w:shd w:fill="FFFFFF" w:val="clear"/>
        </w:rPr>
        <w:t xml:space="preserve">Sekarwinahyu, M., Rustaman, N.Y., Widodo, A. and Riandi, R., 2019, February. Development of problem-based learning for online tutorial program in plant development using Gibbs’ reflective cycle and e-portfolio to enhance reflective thinking skills. In </w:t>
      </w:r>
      <w:r>
        <w:rPr>
          <w:rFonts w:ascii="Arial" w:hAnsi="Arial" w:cs="Arial" w:eastAsia="Arial"/>
          <w:i/>
          <w:color w:val="000000"/>
          <w:spacing w:val="0"/>
          <w:position w:val="0"/>
          <w:sz w:val="22"/>
          <w:shd w:fill="FFFFFF" w:val="clear"/>
        </w:rPr>
        <w:t xml:space="preserve">Journal of Physics: Conference Series</w:t>
      </w:r>
      <w:r>
        <w:rPr>
          <w:rFonts w:ascii="Arial" w:hAnsi="Arial" w:cs="Arial" w:eastAsia="Arial"/>
          <w:color w:val="000000"/>
          <w:spacing w:val="0"/>
          <w:position w:val="0"/>
          <w:sz w:val="22"/>
          <w:shd w:fill="FFFFFF" w:val="clear"/>
        </w:rPr>
        <w:t xml:space="preserve"> (Vol. 1157, No. 2, p. 022099). IOP Publishing. Available at: </w:t>
      </w:r>
      <w:hyperlink xmlns:r="http://schemas.openxmlformats.org/officeDocument/2006/relationships" r:id="docRId5">
        <w:r>
          <w:rPr>
            <w:rFonts w:ascii="Arial" w:hAnsi="Arial" w:cs="Arial" w:eastAsia="Arial"/>
            <w:color w:val="0000FF"/>
            <w:spacing w:val="0"/>
            <w:position w:val="0"/>
            <w:sz w:val="22"/>
            <w:u w:val="single"/>
            <w:shd w:fill="FFFFFF" w:val="clear"/>
          </w:rPr>
          <w:t xml:space="preserve">https://iopscience.iop.org/article/10.1088/1742-6596/1157/2/022099/pdf</w:t>
        </w:r>
      </w:hyperlink>
    </w:p>
  </w:body>
</w:document>
</file>

<file path=word/numbering.xml><?xml version="1.0" encoding="utf-8"?>
<w:numbering xmlns:w="http://schemas.openxmlformats.org/wordprocessingml/2006/main">
  <w:abstractNum w:abstractNumId="0">
    <w:lvl w:ilvl="0">
      <w:start w:val="1"/>
      <w:numFmt w:val="bullet"/>
      <w:lvlText w:val="•"/>
    </w:lvl>
  </w:abstractNum>
  <w:num w:numId="15">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https://scholarworks.bgsu.edu/cgi/viewcontent.cgi?article=1455&amp;context=ijare" Id="docRId1" Type="http://schemas.openxmlformats.org/officeDocument/2006/relationships/hyperlink"/><Relationship TargetMode="External" Target="https://www.tandfonline.com/doi/pdf/10.1080/02619768.2020.1827393" Id="docRId3" Type="http://schemas.openxmlformats.org/officeDocument/2006/relationships/hyperlink"/><Relationship TargetMode="External" Target="https://iopscience.iop.org/article/10.1088/1742-6596/1157/2/022099/pdf" Id="docRId5" Type="http://schemas.openxmlformats.org/officeDocument/2006/relationships/hyperlink"/><Relationship Target="styles.xml" Id="docRId7" Type="http://schemas.openxmlformats.org/officeDocument/2006/relationships/styles"/><Relationship TargetMode="External" Target="https://www.annfammed.org/content/annalsfm/16/4/330.full.pdf" Id="docRId0" Type="http://schemas.openxmlformats.org/officeDocument/2006/relationships/hyperlink"/><Relationship TargetMode="External" Target="https://esource.dbs.ie/bitstream/handle/10788/3956/mba_bhalgat.pdf?sequence=1&amp;isAllowed=y" Id="docRId2" Type="http://schemas.openxmlformats.org/officeDocument/2006/relationships/hyperlink"/><Relationship TargetMode="External" Target="https://journals.aps.org/prper/pdf/10.1103/PhysRevPhysEducRes.16.010119" Id="docRId4" Type="http://schemas.openxmlformats.org/officeDocument/2006/relationships/hyperlink"/><Relationship Target="numbering.xml" Id="docRId6" Type="http://schemas.openxmlformats.org/officeDocument/2006/relationships/numbering"/></Relationships>
</file>