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86BEC2" w14:textId="288D729F" w:rsidR="003C13C9" w:rsidRPr="003C13C9" w:rsidRDefault="0018669C" w:rsidP="003C13C9">
      <w:r>
        <w:rPr>
          <w:noProof/>
        </w:rPr>
        <mc:AlternateContent>
          <mc:Choice Requires="wps">
            <w:drawing>
              <wp:anchor distT="0" distB="0" distL="114300" distR="114300" simplePos="0" relativeHeight="251659264" behindDoc="0" locked="0" layoutInCell="1" allowOverlap="1" wp14:anchorId="42BE22FD" wp14:editId="1351264B">
                <wp:simplePos x="0" y="0"/>
                <wp:positionH relativeFrom="column">
                  <wp:posOffset>-57150</wp:posOffset>
                </wp:positionH>
                <wp:positionV relativeFrom="paragraph">
                  <wp:posOffset>2400300</wp:posOffset>
                </wp:positionV>
                <wp:extent cx="6381750" cy="2476500"/>
                <wp:effectExtent l="0" t="0" r="0" b="0"/>
                <wp:wrapNone/>
                <wp:docPr id="1" name="Text Box 1"/>
                <wp:cNvGraphicFramePr/>
                <a:graphic xmlns:a="http://schemas.openxmlformats.org/drawingml/2006/main">
                  <a:graphicData uri="http://schemas.microsoft.com/office/word/2010/wordprocessingShape">
                    <wps:wsp>
                      <wps:cNvSpPr txBox="1"/>
                      <wps:spPr>
                        <a:xfrm>
                          <a:off x="0" y="0"/>
                          <a:ext cx="6381750" cy="2476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C1C947" w14:textId="168D929F" w:rsidR="00532FE4" w:rsidRPr="0018669C" w:rsidRDefault="00532FE4" w:rsidP="0018669C">
                            <w:pPr>
                              <w:jc w:val="center"/>
                              <w:rPr>
                                <w:rFonts w:cs="Times New Roman"/>
                                <w:b/>
                                <w:color w:val="1A1A1A"/>
                                <w:sz w:val="32"/>
                                <w:szCs w:val="24"/>
                                <w:shd w:val="clear" w:color="auto" w:fill="FFFFFF"/>
                              </w:rPr>
                            </w:pPr>
                            <w:r w:rsidRPr="0018669C">
                              <w:rPr>
                                <w:rFonts w:cs="Times New Roman"/>
                                <w:b/>
                                <w:color w:val="1A1A1A"/>
                                <w:sz w:val="32"/>
                                <w:szCs w:val="24"/>
                                <w:shd w:val="clear" w:color="auto" w:fill="FFFFFF"/>
                              </w:rPr>
                              <w:t xml:space="preserve">Examination and evaluation of the </w:t>
                            </w:r>
                            <w:r>
                              <w:rPr>
                                <w:rFonts w:cs="Times New Roman"/>
                                <w:b/>
                                <w:color w:val="1A1A1A"/>
                                <w:sz w:val="32"/>
                                <w:szCs w:val="24"/>
                                <w:shd w:val="clear" w:color="auto" w:fill="FFFFFF"/>
                              </w:rPr>
                              <w:t>Islamic</w:t>
                            </w:r>
                            <w:r w:rsidRPr="0018669C">
                              <w:rPr>
                                <w:rFonts w:cs="Times New Roman"/>
                                <w:b/>
                                <w:color w:val="1A1A1A"/>
                                <w:sz w:val="32"/>
                                <w:szCs w:val="24"/>
                                <w:shd w:val="clear" w:color="auto" w:fill="FFFFFF"/>
                              </w:rPr>
                              <w:t xml:space="preserve"> feminist thought of Fatema Mernissi with reference to a particular </w:t>
                            </w:r>
                            <w:r w:rsidR="00BC07F2" w:rsidRPr="0018669C">
                              <w:rPr>
                                <w:rFonts w:cs="Times New Roman"/>
                                <w:b/>
                                <w:color w:val="1A1A1A"/>
                                <w:sz w:val="32"/>
                                <w:szCs w:val="24"/>
                                <w:shd w:val="clear" w:color="auto" w:fill="FFFFFF"/>
                              </w:rPr>
                              <w:t>theme.</w:t>
                            </w:r>
                          </w:p>
                          <w:p w14:paraId="0E5ED09A" w14:textId="77777777" w:rsidR="00532FE4" w:rsidRPr="00BD4CEF" w:rsidRDefault="00532FE4" w:rsidP="0018669C">
                            <w:pPr>
                              <w:pStyle w:val="NoSpacing"/>
                              <w:jc w:val="center"/>
                              <w:rPr>
                                <w:rFonts w:ascii="Arial" w:eastAsia="Times New Roman" w:hAnsi="Arial" w:cs="Arial"/>
                                <w:b/>
                                <w:color w:val="1A1A1A"/>
                                <w:szCs w:val="21"/>
                              </w:rPr>
                            </w:pPr>
                          </w:p>
                          <w:p w14:paraId="66755E16" w14:textId="77777777" w:rsidR="00532FE4" w:rsidRDefault="00532FE4" w:rsidP="001866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2BE22FD" id="_x0000_t202" coordsize="21600,21600" o:spt="202" path="m,l,21600r21600,l21600,xe">
                <v:stroke joinstyle="miter"/>
                <v:path gradientshapeok="t" o:connecttype="rect"/>
              </v:shapetype>
              <v:shape id="Text Box 1" o:spid="_x0000_s1026" type="#_x0000_t202" style="position:absolute;left:0;text-align:left;margin-left:-4.5pt;margin-top:189pt;width:502.5pt;height:19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" filled="f" stroked="f" strokeweight=".5pt">
                <v:textbox>
                  <w:txbxContent>
                    <w:p w14:paraId="75C1C947" w14:textId="168D929F" w:rsidR="00532FE4" w:rsidRPr="0018669C" w:rsidRDefault="00532FE4" w:rsidP="0018669C">
                      <w:pPr>
                        <w:jc w:val="center"/>
                        <w:rPr>
                          <w:rFonts w:cs="Times New Roman"/>
                          <w:b/>
                          <w:color w:val="1A1A1A"/>
                          <w:sz w:val="32"/>
                          <w:szCs w:val="24"/>
                          <w:shd w:val="clear" w:color="auto" w:fill="FFFFFF"/>
                        </w:rPr>
                      </w:pPr>
                      <w:r w:rsidRPr="0018669C">
                        <w:rPr>
                          <w:rFonts w:cs="Times New Roman"/>
                          <w:b/>
                          <w:color w:val="1A1A1A"/>
                          <w:sz w:val="32"/>
                          <w:szCs w:val="24"/>
                          <w:shd w:val="clear" w:color="auto" w:fill="FFFFFF"/>
                        </w:rPr>
                        <w:t xml:space="preserve">Examination and evaluation of the </w:t>
                      </w:r>
                      <w:r>
                        <w:rPr>
                          <w:rFonts w:cs="Times New Roman"/>
                          <w:b/>
                          <w:color w:val="1A1A1A"/>
                          <w:sz w:val="32"/>
                          <w:szCs w:val="24"/>
                          <w:shd w:val="clear" w:color="auto" w:fill="FFFFFF"/>
                        </w:rPr>
                        <w:t>Islamic</w:t>
                      </w:r>
                      <w:r w:rsidRPr="0018669C">
                        <w:rPr>
                          <w:rFonts w:cs="Times New Roman"/>
                          <w:b/>
                          <w:color w:val="1A1A1A"/>
                          <w:sz w:val="32"/>
                          <w:szCs w:val="24"/>
                          <w:shd w:val="clear" w:color="auto" w:fill="FFFFFF"/>
                        </w:rPr>
                        <w:t xml:space="preserve"> feminist thought of Fatema Mernissi with reference to a particular </w:t>
                      </w:r>
                      <w:r w:rsidR="00BC07F2" w:rsidRPr="0018669C">
                        <w:rPr>
                          <w:rFonts w:cs="Times New Roman"/>
                          <w:b/>
                          <w:color w:val="1A1A1A"/>
                          <w:sz w:val="32"/>
                          <w:szCs w:val="24"/>
                          <w:shd w:val="clear" w:color="auto" w:fill="FFFFFF"/>
                        </w:rPr>
                        <w:t>theme.</w:t>
                      </w:r>
                    </w:p>
                    <w:p w14:paraId="0E5ED09A" w14:textId="77777777" w:rsidR="00532FE4" w:rsidRPr="00BD4CEF" w:rsidRDefault="00532FE4" w:rsidP="0018669C">
                      <w:pPr>
                        <w:pStyle w:val="NoSpacing"/>
                        <w:jc w:val="center"/>
                        <w:rPr>
                          <w:rFonts w:ascii="Arial" w:eastAsia="Times New Roman" w:hAnsi="Arial" w:cs="Arial"/>
                          <w:b/>
                          <w:color w:val="1A1A1A"/>
                          <w:szCs w:val="21"/>
                        </w:rPr>
                      </w:pPr>
                    </w:p>
                    <w:p w14:paraId="66755E16" w14:textId="77777777" w:rsidR="00532FE4" w:rsidRDefault="00532FE4" w:rsidP="0018669C"/>
                  </w:txbxContent>
                </v:textbox>
              </v:shape>
            </w:pict>
          </mc:Fallback>
        </mc:AlternateContent>
      </w:r>
      <w:r>
        <w:br w:type="page"/>
      </w:r>
    </w:p>
    <w:p w14:paraId="7D7450B1" w14:textId="6E14BFE8" w:rsidR="00E657C7" w:rsidRDefault="00E657C7" w:rsidP="003C13C9">
      <w:r w:rsidRPr="00E657C7">
        <w:lastRenderedPageBreak/>
        <w:t xml:space="preserve">The feminist scholars Amina Wadud, Fatima Mernissi, and Riffat Hassan are notable figures in the field of feminist scholarship. These women have emerged as prominent figures in the discourse around the advocacy for gender equality within the context of Islam. While approaching Islam from distinct scholarly perspectives, these researchers aim to clarify the concept of gender equality for Muslim women as outlined in Islamic religious texts, including the Qur'an and the hadith. Additionally, they examine the </w:t>
      </w:r>
      <w:r w:rsidR="00E266A8">
        <w:t>behaviors</w:t>
      </w:r>
      <w:r w:rsidRPr="00E657C7">
        <w:t xml:space="preserve"> of the Prophet Muhammad and Muslim women during the early Islamic era. The contributions of Hassan, Mernissi, and Wadud position them as prominent figures in the clarification and delineation of the rights of Muslim women.</w:t>
      </w:r>
    </w:p>
    <w:p w14:paraId="6CC92120" w14:textId="41CA909B" w:rsidR="003C13C9" w:rsidRPr="001F6DC6" w:rsidRDefault="003C13C9" w:rsidP="003C13C9">
      <w:r w:rsidRPr="00A0512C">
        <w:t>Fatema Mernissi, a prominent and significant feminist personality, was born on September 27, 1940, in the city of Fez, Morocco.</w:t>
      </w:r>
      <w:r>
        <w:rPr>
          <w:rStyle w:val="FootnoteReference"/>
        </w:rPr>
        <w:footnoteReference w:id="1"/>
      </w:r>
      <w:r>
        <w:t xml:space="preserve"> </w:t>
      </w:r>
      <w:r w:rsidRPr="00A0512C">
        <w:t>She lectured, taught, researched, and wrote on social issues</w:t>
      </w:r>
      <w:r>
        <w:t xml:space="preserve"> that affected Islamic women.</w:t>
      </w:r>
      <w:r w:rsidRPr="00A0512C">
        <w:t xml:space="preserve">  Mernissi attended a nationalist-era Quranic school and graduated with honors.</w:t>
      </w:r>
      <w:r>
        <w:rPr>
          <w:rStyle w:val="FootnoteReference"/>
        </w:rPr>
        <w:footnoteReference w:id="2"/>
      </w:r>
      <w:r>
        <w:t xml:space="preserve"> </w:t>
      </w:r>
      <w:r w:rsidRPr="00A0512C">
        <w:t xml:space="preserve">Her early years were marked by an insatiable curiosity about the world and a need for knowledge. She </w:t>
      </w:r>
      <w:r>
        <w:t>had managed to obtain</w:t>
      </w:r>
      <w:r w:rsidRPr="00A0512C">
        <w:t xml:space="preserve"> an education, which was a privilege not afforded to many women back </w:t>
      </w:r>
      <w:r>
        <w:t>in the 1940s.</w:t>
      </w:r>
      <w:r>
        <w:rPr>
          <w:rStyle w:val="FootnoteReference"/>
        </w:rPr>
        <w:footnoteReference w:id="3"/>
      </w:r>
      <w:r>
        <w:t xml:space="preserve">  </w:t>
      </w:r>
      <w:r w:rsidRPr="00A0512C">
        <w:t xml:space="preserve">Her early access to higher education was crucial in her later development as a leading feminist academic. She attended and graduated from an all-girls secondary school on French territory funded by the French government. She began her education at Morocco's University of Rabat, where she majored in political science. Her desire to learn and her will to go against conventional wisdom both pushed her toward higher education outside of </w:t>
      </w:r>
      <w:r w:rsidRPr="00A0512C">
        <w:lastRenderedPageBreak/>
        <w:t>her home country.</w:t>
      </w:r>
      <w:r>
        <w:rPr>
          <w:rStyle w:val="FootnoteReference"/>
        </w:rPr>
        <w:footnoteReference w:id="4"/>
      </w:r>
      <w:r>
        <w:t xml:space="preserve"> </w:t>
      </w:r>
      <w:r w:rsidRPr="00A0512C">
        <w:t xml:space="preserve">In 1974, she graduated from the University of Paris with a doctorate in sociology. </w:t>
      </w:r>
      <w:r>
        <w:t>It was after her studies that she</w:t>
      </w:r>
      <w:r w:rsidRPr="00A0512C">
        <w:t xml:space="preserve"> started her academic career. Women's movements, academic communities, and the larger discussion of social justice, gender, and Islam all benefit</w:t>
      </w:r>
      <w:r>
        <w:t>ed</w:t>
      </w:r>
      <w:r w:rsidRPr="00A0512C">
        <w:t xml:space="preserve"> greatly from Fatema Mernissi's contributions as a feminist, scholar, and advocate for women's rights. Her life and work </w:t>
      </w:r>
      <w:r>
        <w:t>were spent in an endevour to make the world a fairer place.</w:t>
      </w:r>
      <w:r>
        <w:rPr>
          <w:rStyle w:val="FootnoteReference"/>
        </w:rPr>
        <w:footnoteReference w:id="5"/>
      </w:r>
      <w:r w:rsidRPr="001F6DC6">
        <w:t xml:space="preserve"> Fatema Mernissi passed away on November 30, 2015, but her ideas and contributions to the fields of </w:t>
      </w:r>
      <w:r>
        <w:t>Islamic</w:t>
      </w:r>
      <w:r w:rsidRPr="001F6DC6">
        <w:t xml:space="preserve"> studies </w:t>
      </w:r>
      <w:r>
        <w:t xml:space="preserve">and feminism </w:t>
      </w:r>
      <w:r w:rsidRPr="001F6DC6">
        <w:t>continue</w:t>
      </w:r>
      <w:r>
        <w:t>d</w:t>
      </w:r>
      <w:r w:rsidRPr="001F6DC6">
        <w:t xml:space="preserve"> to </w:t>
      </w:r>
      <w:r>
        <w:t>pave</w:t>
      </w:r>
      <w:r w:rsidRPr="001F6DC6">
        <w:t xml:space="preserve"> the way for progress in the pursuit of gender equality.</w:t>
      </w:r>
    </w:p>
    <w:p w14:paraId="110E38C6" w14:textId="503E8985" w:rsidR="006A3B0A" w:rsidRDefault="001857AB" w:rsidP="00DB634C">
      <w:r w:rsidRPr="001857AB">
        <w:t>Islamic feminism is a complex and diverse movement that aims to reconcile Islamic values with the advancement of gender equality</w:t>
      </w:r>
      <w:r w:rsidR="00D53A8F">
        <w:t>.</w:t>
      </w:r>
      <w:r w:rsidR="00516139">
        <w:rPr>
          <w:rStyle w:val="FootnoteReference"/>
        </w:rPr>
        <w:footnoteReference w:id="6"/>
      </w:r>
      <w:r w:rsidR="00D53A8F">
        <w:t xml:space="preserve"> </w:t>
      </w:r>
      <w:r w:rsidRPr="001857AB">
        <w:t>In the contemporary day, there exists a diverse array of feminist perspectives, among which Islamic feminism emerges as a separate discourse that actively engages with religious traditions to challenge prevailing patriarchal standards.</w:t>
      </w:r>
      <w:r w:rsidR="00DD1F31">
        <w:rPr>
          <w:rStyle w:val="FootnoteReference"/>
        </w:rPr>
        <w:footnoteReference w:id="7"/>
      </w:r>
      <w:r w:rsidR="00E232F9">
        <w:t xml:space="preserve"> </w:t>
      </w:r>
      <w:r w:rsidRPr="001857AB">
        <w:t>The convergence of religion and feminism has engendered the emergence of a distinct and dynamic discourse sometimes referred to as the Islamic perspective</w:t>
      </w:r>
      <w:r w:rsidR="00E232F9">
        <w:t>.</w:t>
      </w:r>
      <w:r w:rsidR="0010298F">
        <w:rPr>
          <w:rStyle w:val="FootnoteReference"/>
        </w:rPr>
        <w:footnoteReference w:id="8"/>
      </w:r>
      <w:r w:rsidR="00E232F9">
        <w:t xml:space="preserve"> </w:t>
      </w:r>
      <w:r w:rsidRPr="001857AB">
        <w:t>Fatema Mernissi, a prominent Moroccan writer, sociologist, and trailblazing feminist researcher, has made significant contributions to the advancement of Islamic feminism.</w:t>
      </w:r>
      <w:r w:rsidR="003A1210">
        <w:rPr>
          <w:rStyle w:val="FootnoteReference"/>
        </w:rPr>
        <w:footnoteReference w:id="9"/>
      </w:r>
      <w:r w:rsidR="003A1210">
        <w:t xml:space="preserve"> </w:t>
      </w:r>
      <w:r w:rsidRPr="001857AB">
        <w:t xml:space="preserve">The scholarly contributions of her work have not only expanded the comprehension of the intricate relationship between gender dynamics and Islam, but have also sparked significant dialogues among Muslim communities and educational organizations </w:t>
      </w:r>
      <w:r w:rsidRPr="001857AB">
        <w:lastRenderedPageBreak/>
        <w:t>worldwide</w:t>
      </w:r>
      <w:r w:rsidR="00F75BCB">
        <w:t>.</w:t>
      </w:r>
      <w:r w:rsidR="00EC1EAF">
        <w:rPr>
          <w:rStyle w:val="FootnoteReference"/>
        </w:rPr>
        <w:footnoteReference w:id="10"/>
      </w:r>
      <w:r w:rsidR="00F75BCB">
        <w:t xml:space="preserve">  </w:t>
      </w:r>
      <w:r w:rsidRPr="001857AB">
        <w:t xml:space="preserve">Mernissi's contributions to the field of Islamic feminism are noteworthy and have had a lasting impact. Her dedicated advocacy and insightful perspectives have left </w:t>
      </w:r>
      <w:r w:rsidR="001B4BA1" w:rsidRPr="001857AB">
        <w:t>a legacy</w:t>
      </w:r>
      <w:r w:rsidRPr="001857AB">
        <w:t>.</w:t>
      </w:r>
      <w:r w:rsidR="00EC1EAF">
        <w:rPr>
          <w:rStyle w:val="FootnoteReference"/>
        </w:rPr>
        <w:footnoteReference w:id="11"/>
      </w:r>
      <w:r w:rsidR="00F75BCB">
        <w:t xml:space="preserve"> </w:t>
      </w:r>
      <w:r w:rsidRPr="001857AB">
        <w:t>The objective of this study is to examine the domain of Islamic feminist ideology, specifically highlighting the significant scholarly contributions made by Fatema Mernissi. This essay will undertake a critical evaluation of Mernissi's Islamic feminist ideas, focusing specifically on the subject of patriarchy that is emphasized in her work. By examining her arguments and viewpoints on patriarchy within the framework of Islam, this analysis aims to recognize her significant influence in transforming attitudes and behaviors pertaining to gender roles within Muslim communities. Furthermore, it will elucidate her impact on shaping the prevailing understanding of women's roles in Islam through a critical reassessment of traditional gender constructs.</w:t>
      </w:r>
    </w:p>
    <w:p w14:paraId="239D0F79" w14:textId="2508EFED" w:rsidR="00BA2D2F" w:rsidRDefault="001857AB" w:rsidP="007B1E98">
      <w:r w:rsidRPr="001857AB">
        <w:t>The historical context of feminism within the Islamic tradition is a complex narrative that extends throughout numerous centuries.</w:t>
      </w:r>
      <w:r w:rsidR="00FA00DF">
        <w:rPr>
          <w:rStyle w:val="FootnoteReference"/>
        </w:rPr>
        <w:footnoteReference w:id="12"/>
      </w:r>
      <w:r w:rsidR="007B1E98">
        <w:t xml:space="preserve"> </w:t>
      </w:r>
      <w:r w:rsidR="00591360" w:rsidRPr="00591360">
        <w:t>The early Islamic era extended from the 7th century to the 14th century. During this historical era, the sacred text of Islam known as the "Quran" established specific rules that bestowed upon women a variety of rights. These rights encompassed the entitlement to pursue education, the entitlement to inherit, and the entitlement to possess property. Throughout the duration of the</w:t>
      </w:r>
      <w:r w:rsidR="00B11CB2">
        <w:t xml:space="preserve"> prophet Mohammed's</w:t>
      </w:r>
      <w:r w:rsidR="00591360" w:rsidRPr="00591360">
        <w:t xml:space="preserve"> existence, women actively participated in several domains of communal existence, including trade, politics, and education. Aisha bint Abu Bakr, a notable female figure in early Islamic history, made significant contributions to the advancement of Islamic thinking and jurisprudence.</w:t>
      </w:r>
      <w:r w:rsidR="00B11CB2">
        <w:rPr>
          <w:rStyle w:val="FootnoteReference"/>
        </w:rPr>
        <w:footnoteReference w:id="13"/>
      </w:r>
      <w:r w:rsidR="00591360" w:rsidRPr="00591360">
        <w:t xml:space="preserve">  Furthermore, it is worth noting that Fatimah </w:t>
      </w:r>
      <w:r w:rsidR="00591360" w:rsidRPr="00591360">
        <w:lastRenderedPageBreak/>
        <w:t>al-Fihri made a significant contribution to the development of early Islamic feminist ideology through her establishment of the University of Al Quaraouiyine in Morocco</w:t>
      </w:r>
      <w:r w:rsidR="00695654" w:rsidRPr="00695654">
        <w:t xml:space="preserve">. </w:t>
      </w:r>
      <w:r w:rsidR="00B11CB2">
        <w:rPr>
          <w:rStyle w:val="FootnoteReference"/>
        </w:rPr>
        <w:footnoteReference w:id="14"/>
      </w:r>
    </w:p>
    <w:p w14:paraId="56351F77" w14:textId="4F04F19F" w:rsidR="003C13C9" w:rsidRDefault="003C13C9" w:rsidP="007B1E98">
      <w:r w:rsidRPr="001857AB">
        <w:t>The contemporary iteration of Islamic feminism has been significantly influenced by societal and historical transformations</w:t>
      </w:r>
      <w:r w:rsidRPr="005E6ED9">
        <w:t>.  Islamic feminism has developed over time in response to a number of significant historical events and social movements.</w:t>
      </w:r>
      <w:r>
        <w:rPr>
          <w:rStyle w:val="FootnoteReference"/>
        </w:rPr>
        <w:footnoteReference w:id="15"/>
      </w:r>
      <w:r>
        <w:t xml:space="preserve"> </w:t>
      </w:r>
      <w:r w:rsidRPr="00591360">
        <w:t>The subsequent movements played a crucial role in the development of Islamic feminism</w:t>
      </w:r>
      <w:r>
        <w:t>.</w:t>
      </w:r>
    </w:p>
    <w:p w14:paraId="2771B80C" w14:textId="225AA7FC" w:rsidR="00053FEA" w:rsidRPr="003C13C9" w:rsidRDefault="00591360" w:rsidP="00053FEA">
      <w:pPr>
        <w:tabs>
          <w:tab w:val="left" w:pos="5175"/>
        </w:tabs>
      </w:pPr>
      <w:r w:rsidRPr="00591360">
        <w:t>The conclusion of the 14th century witnessed the imposition of specific limitations on women's rights</w:t>
      </w:r>
      <w:r w:rsidR="00053FEA">
        <w:t>.</w:t>
      </w:r>
      <w:r w:rsidR="00A907CA">
        <w:rPr>
          <w:rStyle w:val="FootnoteReference"/>
        </w:rPr>
        <w:footnoteReference w:id="16"/>
      </w:r>
      <w:r w:rsidR="00053FEA">
        <w:t xml:space="preserve"> </w:t>
      </w:r>
      <w:r w:rsidRPr="00591360">
        <w:t xml:space="preserve">Over the course of history, conventional interpretations of Islamic </w:t>
      </w:r>
      <w:r w:rsidR="007B02CA" w:rsidRPr="00591360">
        <w:t>Fiqh</w:t>
      </w:r>
      <w:r w:rsidRPr="00591360">
        <w:t xml:space="preserve"> have imposed restrictions on the extent of women's involvement and entitlements within the realm of public affairs. In light of the political fragmentation and western colonialism experienced in the Muslim world, various reform movements emerged as a response. Notably, the Aligarh movement in India and the Wahhabi movement in Arabia advocated for a reversion to a more pristine manifestation of the Islamic faith</w:t>
      </w:r>
      <w:r w:rsidR="00EA223F">
        <w:t>.</w:t>
      </w:r>
      <w:r w:rsidR="00FA00DF">
        <w:rPr>
          <w:rStyle w:val="FootnoteReference"/>
        </w:rPr>
        <w:footnoteReference w:id="17"/>
      </w:r>
      <w:r w:rsidR="00EA223F">
        <w:t xml:space="preserve"> </w:t>
      </w:r>
      <w:r w:rsidR="007B02CA" w:rsidRPr="003C13C9">
        <w:t>Other</w:t>
      </w:r>
      <w:r w:rsidRPr="003C13C9">
        <w:t xml:space="preserve"> reformist movements actively fought for the expansion of educational opportunities for women, thereby initiating the commencement of women's participation in the public sphere</w:t>
      </w:r>
      <w:r w:rsidR="00EA223F" w:rsidRPr="003C13C9">
        <w:t>.</w:t>
      </w:r>
      <w:r w:rsidR="00CE3078" w:rsidRPr="003C13C9">
        <w:rPr>
          <w:rStyle w:val="FootnoteReference"/>
        </w:rPr>
        <w:footnoteReference w:id="18"/>
      </w:r>
      <w:r w:rsidR="00EA223F" w:rsidRPr="003C13C9">
        <w:t xml:space="preserve"> </w:t>
      </w:r>
    </w:p>
    <w:p w14:paraId="4C247623" w14:textId="080EC454" w:rsidR="00B65F79" w:rsidRDefault="00591360" w:rsidP="00053FEA">
      <w:pPr>
        <w:tabs>
          <w:tab w:val="left" w:pos="5175"/>
        </w:tabs>
      </w:pPr>
      <w:r w:rsidRPr="00591360">
        <w:t>During the early 20th century, Muslim women such as Qasim Amina in Egypt and Syria, as well as Huda Sha</w:t>
      </w:r>
      <w:r w:rsidR="004E5BEB">
        <w:t>’</w:t>
      </w:r>
      <w:r w:rsidRPr="00591360">
        <w:t xml:space="preserve">arawi in Egypt, emerged as prominent figures advocating for women's rights. These rights primarily encompassed the pursuit of education and the inclusion of women in political </w:t>
      </w:r>
      <w:r w:rsidRPr="00591360">
        <w:lastRenderedPageBreak/>
        <w:t>elections, particularly the right to vote.</w:t>
      </w:r>
      <w:r w:rsidR="00B375CD" w:rsidRPr="00B375CD">
        <w:rPr>
          <w:rStyle w:val="FootnoteReference"/>
        </w:rPr>
        <w:t xml:space="preserve"> </w:t>
      </w:r>
      <w:r w:rsidR="00B375CD">
        <w:rPr>
          <w:rStyle w:val="FootnoteReference"/>
        </w:rPr>
        <w:footnoteReference w:id="19"/>
      </w:r>
      <w:r w:rsidRPr="00591360">
        <w:t xml:space="preserve"> The proliferation of nationalist and secular movements throughout a significant number of Muslim-majority nations has presented opportunities for women to engage in social and political engagement.</w:t>
      </w:r>
    </w:p>
    <w:p w14:paraId="2DD4FAE7" w14:textId="398E81D0" w:rsidR="00B65F79" w:rsidRDefault="00591360" w:rsidP="00053FEA">
      <w:pPr>
        <w:tabs>
          <w:tab w:val="left" w:pos="5175"/>
        </w:tabs>
      </w:pPr>
      <w:r w:rsidRPr="00591360">
        <w:t>During the 1920s and 1930s, Muslim women established several organizations and networks with the aim of advocating for women's rights and addressing issues pertaining to gender. These organizations functioned as a forum for women, facilitating the exchange of ideas and providing a platform for advocating for societal transformation</w:t>
      </w:r>
      <w:r w:rsidR="00B65F79">
        <w:t>.</w:t>
      </w:r>
      <w:r w:rsidR="00FA00DF">
        <w:rPr>
          <w:rStyle w:val="FootnoteReference"/>
        </w:rPr>
        <w:footnoteReference w:id="20"/>
      </w:r>
      <w:r w:rsidR="00B65F79">
        <w:t xml:space="preserve">  </w:t>
      </w:r>
      <w:r w:rsidRPr="00591360">
        <w:t>Two notable instances are the Egyptian Feminist Union in Egypt and the All-India Women's Conference in India.</w:t>
      </w:r>
      <w:r w:rsidR="00B375CD">
        <w:rPr>
          <w:rStyle w:val="FootnoteReference"/>
        </w:rPr>
        <w:footnoteReference w:id="21"/>
      </w:r>
    </w:p>
    <w:p w14:paraId="41F6F606" w14:textId="26E61A9F" w:rsidR="00276F24" w:rsidRPr="00B375CD" w:rsidRDefault="00591360" w:rsidP="00276F24">
      <w:pPr>
        <w:rPr>
          <w:color w:val="FF0000"/>
        </w:rPr>
      </w:pPr>
      <w:r w:rsidRPr="003C13C9">
        <w:t>The years following World War II witnessed the process of decolonization in numerous nations with Muslim-majority populations, prompting extensive deliberations over legal and political transformations. Prominent Muslim female politicians, such as Benazir Bhutto and Fatima Jinnah, have demonstrated the capacity for women to occupy influential political roles within the context of Pakistan</w:t>
      </w:r>
      <w:r w:rsidR="00276F24" w:rsidRPr="003C13C9">
        <w:t>.</w:t>
      </w:r>
      <w:r w:rsidR="00FA00DF" w:rsidRPr="003C13C9">
        <w:rPr>
          <w:rStyle w:val="FootnoteReference"/>
        </w:rPr>
        <w:footnoteReference w:id="22"/>
      </w:r>
    </w:p>
    <w:p w14:paraId="23958608" w14:textId="474E8BC2" w:rsidR="00276F24" w:rsidRPr="00AE36A4" w:rsidRDefault="00FB0359" w:rsidP="00AE36A4">
      <w:r w:rsidRPr="00FB0359">
        <w:t>During the mid-20th century, a number of nations with Muslim-majority populations implemented legal reforms aimed at enhancing the rights of women in several domains, including inheritance, marriage, and divorce</w:t>
      </w:r>
      <w:r w:rsidR="00AE36A4">
        <w:t>.</w:t>
      </w:r>
      <w:r w:rsidR="00DD1F31">
        <w:rPr>
          <w:rStyle w:val="FootnoteReference"/>
        </w:rPr>
        <w:footnoteReference w:id="23"/>
      </w:r>
      <w:r w:rsidR="00AE36A4">
        <w:t xml:space="preserve"> </w:t>
      </w:r>
      <w:r w:rsidRPr="00FB0359">
        <w:t xml:space="preserve">The aforementioned reforms were designed with the objective of </w:t>
      </w:r>
      <w:r w:rsidRPr="00FB0359">
        <w:lastRenderedPageBreak/>
        <w:t>mitigating gender-based discrimination, drawing inspiration from both international human rights norms and grassroots feminist advocacy within the local context</w:t>
      </w:r>
      <w:r w:rsidR="00AE36A4">
        <w:t>.</w:t>
      </w:r>
      <w:r w:rsidR="00264D78">
        <w:t xml:space="preserve"> </w:t>
      </w:r>
    </w:p>
    <w:p w14:paraId="506C0512" w14:textId="40480D28" w:rsidR="00276F24" w:rsidRDefault="00FB0359" w:rsidP="00276F24">
      <w:r w:rsidRPr="00FB0359">
        <w:t>During the latter half of the 20th century, there was a notable emergence of contemporary Islamic feminism, which was spearheaded by prominent intellectuals such as Amina Wadud in the United States, Leila Ahmed in Egypt, and Fatema Mernissi in Morocco. The aforementioned scholars actively involved themselves in the examination of Islamic traditions and literature in order to contest patriarchal perspectives and advocate for the advancement of gender equality within the context of Islam</w:t>
      </w:r>
      <w:r w:rsidR="00276F24" w:rsidRPr="00AE36A4">
        <w:t>.</w:t>
      </w:r>
      <w:r w:rsidR="003A1210">
        <w:rPr>
          <w:rStyle w:val="FootnoteReference"/>
        </w:rPr>
        <w:footnoteReference w:id="24"/>
      </w:r>
    </w:p>
    <w:p w14:paraId="62A0E7C7" w14:textId="77777777" w:rsidR="00B375CD" w:rsidRDefault="00FB0359" w:rsidP="00C610B4">
      <w:r w:rsidRPr="00FB0359">
        <w:t>The significance of Islamic feminism is of utmost importance in resolving gender-related concerns within cultures predominantly composed of Muslims, as well as in broader contexts.</w:t>
      </w:r>
      <w:r w:rsidR="001D473B">
        <w:rPr>
          <w:rStyle w:val="FootnoteReference"/>
        </w:rPr>
        <w:footnoteReference w:id="25"/>
      </w:r>
      <w:r w:rsidR="00C610B4">
        <w:t xml:space="preserve"> </w:t>
      </w:r>
      <w:r w:rsidRPr="00FB0359">
        <w:t xml:space="preserve">Islamic feminism advocates for a perspective on Islamic teachings that is characterized by a commitment to equality and inclusivity. Academic scholars engage in the process of reinterpreting verses from the Quran and Hadith, which are the sayings of the </w:t>
      </w:r>
      <w:r w:rsidR="00B375CD">
        <w:t>p</w:t>
      </w:r>
      <w:r w:rsidRPr="00FB0359">
        <w:t>rophet Muhammad</w:t>
      </w:r>
      <w:r w:rsidR="00B375CD">
        <w:t>,</w:t>
      </w:r>
      <w:r w:rsidRPr="00FB0359">
        <w:t xml:space="preserve"> with the aim of challenging prevailing orthodox readings that have historically been employed to support and legitimize gender-based discrimination</w:t>
      </w:r>
      <w:r w:rsidR="000F52A2" w:rsidRPr="000F52A2">
        <w:t>.</w:t>
      </w:r>
      <w:r w:rsidR="001D473B">
        <w:rPr>
          <w:rStyle w:val="FootnoteReference"/>
        </w:rPr>
        <w:footnoteReference w:id="26"/>
      </w:r>
      <w:r w:rsidR="00FF543C">
        <w:t xml:space="preserve"> </w:t>
      </w:r>
    </w:p>
    <w:p w14:paraId="5F6BB400" w14:textId="726D6347" w:rsidR="00C610B4" w:rsidRDefault="008D6685" w:rsidP="00C610B4">
      <w:r>
        <w:t>Islamic</w:t>
      </w:r>
      <w:r w:rsidR="00D71182">
        <w:t xml:space="preserve"> feminism respects and acknowledges the needed change </w:t>
      </w:r>
      <w:r w:rsidR="00B375CD">
        <w:t xml:space="preserve">while </w:t>
      </w:r>
      <w:r w:rsidR="00D71182">
        <w:t xml:space="preserve">considering local beliefs and customs. Offering a nuanced framework for challenging gender inequalities while working within </w:t>
      </w:r>
      <w:r>
        <w:t>Islamic</w:t>
      </w:r>
      <w:r w:rsidR="00D71182">
        <w:t xml:space="preserve"> belief and tradition, this approach allows for a more effective engagement with </w:t>
      </w:r>
      <w:r w:rsidR="00D71182">
        <w:lastRenderedPageBreak/>
        <w:t>communities.</w:t>
      </w:r>
      <w:r w:rsidR="001D473B">
        <w:rPr>
          <w:rStyle w:val="FootnoteReference"/>
        </w:rPr>
        <w:footnoteReference w:id="27"/>
      </w:r>
      <w:r w:rsidR="00D71182">
        <w:t xml:space="preserve"> </w:t>
      </w:r>
      <w:r>
        <w:t>Islamic</w:t>
      </w:r>
      <w:r w:rsidR="00D71182">
        <w:t xml:space="preserve"> feminism works within the context of </w:t>
      </w:r>
      <w:r w:rsidR="00FC5486">
        <w:t>Islam</w:t>
      </w:r>
      <w:r w:rsidR="00D71182">
        <w:t xml:space="preserve">. It draws from </w:t>
      </w:r>
      <w:r>
        <w:t>Islamic</w:t>
      </w:r>
      <w:r w:rsidR="00D71182">
        <w:t xml:space="preserve"> traditions, values, and texts to argue for gender equality.  Individuals who are hesitant to accept feminist perspectives that appear to conflict with their religious identity find this authenticity appealing.</w:t>
      </w:r>
      <w:r w:rsidR="001D473B">
        <w:rPr>
          <w:rStyle w:val="FootnoteReference"/>
        </w:rPr>
        <w:footnoteReference w:id="28"/>
      </w:r>
      <w:r w:rsidR="00D71182">
        <w:t xml:space="preserve"> </w:t>
      </w:r>
      <w:r w:rsidR="00FB0359" w:rsidRPr="00FB0359">
        <w:t xml:space="preserve">Furthermore, Islamic feminism advocates for policy reforms that entail the questioning of discriminatory legislation pertaining </w:t>
      </w:r>
      <w:r w:rsidR="00B375CD">
        <w:t>to women's</w:t>
      </w:r>
      <w:r w:rsidR="00FB0359" w:rsidRPr="00FB0359">
        <w:t xml:space="preserve"> matters </w:t>
      </w:r>
      <w:r w:rsidR="00B375CD">
        <w:t>such</w:t>
      </w:r>
      <w:r w:rsidR="00FB0359" w:rsidRPr="00FB0359">
        <w:t xml:space="preserve"> as domestic abuse, divorce, marriage, and inheritance</w:t>
      </w:r>
      <w:r w:rsidR="00D71182">
        <w:t>.</w:t>
      </w:r>
      <w:r w:rsidR="001D473B">
        <w:rPr>
          <w:rStyle w:val="FootnoteReference"/>
        </w:rPr>
        <w:footnoteReference w:id="29"/>
      </w:r>
      <w:r w:rsidR="000F52A2">
        <w:t xml:space="preserve"> </w:t>
      </w:r>
      <w:r w:rsidR="00FB0359" w:rsidRPr="00FB0359">
        <w:t>One crucial element of Islamic feminism involves the reconciliation between Western feminist viewpoints and those rooted in the Islamic religion. This serves to actively contribute to the worldwide discourse on human rights and gender equality, while also facilitating a substantive exchange on gender differences</w:t>
      </w:r>
      <w:r w:rsidR="000F52A2">
        <w:t>.</w:t>
      </w:r>
      <w:r w:rsidR="001D473B">
        <w:rPr>
          <w:rStyle w:val="FootnoteReference"/>
        </w:rPr>
        <w:footnoteReference w:id="30"/>
      </w:r>
      <w:r w:rsidR="000F52A2">
        <w:t xml:space="preserve"> </w:t>
      </w:r>
    </w:p>
    <w:p w14:paraId="16F75F70" w14:textId="67F5C583" w:rsidR="00DB634C" w:rsidRPr="00DB634C" w:rsidRDefault="003E7CD1" w:rsidP="00DB634C">
      <w:r>
        <w:t>Fatima Mernissi emerged as a pioneering figure whose substantial contributions to Islamic feminist philosophy were manifested through her considerable campaigning, written works, and scholarly endeavors</w:t>
      </w:r>
      <w:r w:rsidR="00DB634C">
        <w:t>.</w:t>
      </w:r>
      <w:r w:rsidR="00BE75EB">
        <w:rPr>
          <w:rStyle w:val="FootnoteReference"/>
        </w:rPr>
        <w:footnoteReference w:id="31"/>
      </w:r>
      <w:r w:rsidR="00DB634C">
        <w:t xml:space="preserve"> </w:t>
      </w:r>
      <w:r w:rsidRPr="003E7CD1">
        <w:t xml:space="preserve">Mernissi's contributions have had a tremendous impact on the subject of Islamic feminism, leading to a significant reshaping of understanding </w:t>
      </w:r>
      <w:r w:rsidR="00B375CD">
        <w:t>of</w:t>
      </w:r>
      <w:r w:rsidRPr="003E7CD1">
        <w:t xml:space="preserve"> the intersection of Islam and gender.</w:t>
      </w:r>
      <w:r w:rsidR="001D473B">
        <w:rPr>
          <w:rStyle w:val="FootnoteReference"/>
        </w:rPr>
        <w:footnoteReference w:id="32"/>
      </w:r>
      <w:r w:rsidR="00DB634C">
        <w:t xml:space="preserve">  </w:t>
      </w:r>
      <w:r w:rsidR="00E5568B" w:rsidRPr="00E5568B">
        <w:t xml:space="preserve">Mernissi conducted a comprehensive study of traditional Islamic religious texts, including the Qur'an and the hadith. Additionally, she engaged with the works of prominent Islamic scholars such as al-Tabari, Ibn Hisham, Ibn Sa'd, al-'Asqalani, al-Bukhari, and al-Nasi'i. These scholars' writings encompassed various subjects, ranging from biographies of the Prophet </w:t>
      </w:r>
      <w:r w:rsidR="00E5568B" w:rsidRPr="00E5568B">
        <w:lastRenderedPageBreak/>
        <w:t>to collections of hadiths and biographical accounts of the Companions of the Prophet.</w:t>
      </w:r>
      <w:r w:rsidR="00E5568B">
        <w:rPr>
          <w:rStyle w:val="FootnoteReference"/>
        </w:rPr>
        <w:footnoteReference w:id="33"/>
      </w:r>
      <w:r w:rsidR="00E5568B" w:rsidRPr="00E5568B">
        <w:t xml:space="preserve"> </w:t>
      </w:r>
      <w:r w:rsidRPr="003E7CD1">
        <w:t>Fat</w:t>
      </w:r>
      <w:r w:rsidR="00561A9A">
        <w:t>i</w:t>
      </w:r>
      <w:r w:rsidRPr="003E7CD1">
        <w:t>ma Mernissi's principal scholarly contribution is in her reevaluation and reinterpretation of Islamic scriptures</w:t>
      </w:r>
      <w:r w:rsidR="00C72CD3">
        <w:t>.</w:t>
      </w:r>
      <w:r w:rsidR="00E5568B" w:rsidRPr="00E5568B">
        <w:t xml:space="preserve"> Mernissi conducted an analysis of the literary works authored by lesser-known Islamic writers with the aim of identifying the origins of misogyny against Muslim women. Subsequently, her objective was to clarify that such misogyny does not align with the principles of Islam.</w:t>
      </w:r>
      <w:r w:rsidR="001D473B">
        <w:rPr>
          <w:rStyle w:val="FootnoteReference"/>
        </w:rPr>
        <w:footnoteReference w:id="34"/>
      </w:r>
      <w:r w:rsidR="00C72CD3">
        <w:t xml:space="preserve"> </w:t>
      </w:r>
      <w:r w:rsidRPr="003E7CD1">
        <w:t>Both the Hadith and the Quran were reinterpreted by her from a feminist perspective, earning her widespread renown</w:t>
      </w:r>
      <w:r w:rsidR="00DD1F31">
        <w:t>.</w:t>
      </w:r>
      <w:r w:rsidR="001D473B">
        <w:rPr>
          <w:rStyle w:val="FootnoteReference"/>
        </w:rPr>
        <w:footnoteReference w:id="35"/>
      </w:r>
      <w:r w:rsidR="00DD1F31">
        <w:t xml:space="preserve"> </w:t>
      </w:r>
      <w:r w:rsidRPr="003E7CD1">
        <w:t>She reinterpreted these texts in ways that emphasized women's rights, dignity, and agency, challenging traditional patriarchal interpretations</w:t>
      </w:r>
      <w:r w:rsidR="00FB3174">
        <w:t>.</w:t>
      </w:r>
      <w:r w:rsidR="001D473B">
        <w:rPr>
          <w:rStyle w:val="FootnoteReference"/>
        </w:rPr>
        <w:footnoteReference w:id="36"/>
      </w:r>
      <w:r w:rsidR="00FB3174">
        <w:t xml:space="preserve"> </w:t>
      </w:r>
      <w:r w:rsidRPr="003E7CD1">
        <w:t>Her method</w:t>
      </w:r>
      <w:r w:rsidR="00B375CD">
        <w:t>s</w:t>
      </w:r>
      <w:r w:rsidRPr="003E7CD1">
        <w:t xml:space="preserve"> promoted a more inclusive understanding of the Quran and other Islamic texts</w:t>
      </w:r>
      <w:r w:rsidR="001D473B">
        <w:t xml:space="preserve">. </w:t>
      </w:r>
      <w:r w:rsidR="001D473B">
        <w:rPr>
          <w:rStyle w:val="FootnoteReference"/>
        </w:rPr>
        <w:footnoteReference w:id="37"/>
      </w:r>
      <w:r w:rsidR="001D473B">
        <w:t xml:space="preserve"> </w:t>
      </w:r>
      <w:r w:rsidRPr="003E7CD1">
        <w:t>She shed light on women's often-overlooked contributions to Islamic society, culture, and history. She challenged the stereotypical view of Muslim women as helpless victims by emphasizing their leadership roles in business, politics, and other spheres throughout history</w:t>
      </w:r>
      <w:r w:rsidR="00C72CD3">
        <w:t>.</w:t>
      </w:r>
      <w:r w:rsidR="001D473B">
        <w:rPr>
          <w:rStyle w:val="FootnoteReference"/>
        </w:rPr>
        <w:footnoteReference w:id="38"/>
      </w:r>
      <w:r w:rsidR="00C72CD3">
        <w:t xml:space="preserve"> </w:t>
      </w:r>
    </w:p>
    <w:p w14:paraId="6184C94C" w14:textId="065614D8" w:rsidR="003672C3" w:rsidRDefault="003E7CD1" w:rsidP="003672C3">
      <w:r w:rsidRPr="003E7CD1">
        <w:t>In patriarchal societies, men hold all positions of authority and responsibility, while women are relegated to the background.</w:t>
      </w:r>
      <w:r w:rsidR="001D473B">
        <w:rPr>
          <w:rStyle w:val="FootnoteReference"/>
        </w:rPr>
        <w:footnoteReference w:id="39"/>
      </w:r>
      <w:r w:rsidR="00FD62B0">
        <w:t xml:space="preserve"> </w:t>
      </w:r>
      <w:r w:rsidR="007623D4">
        <w:t xml:space="preserve">Mernissi’s </w:t>
      </w:r>
      <w:r w:rsidRPr="003E7CD1">
        <w:t>articles delved deeply into the subordination of Muslim women under Islamic patriarchy and traditional standards</w:t>
      </w:r>
      <w:r w:rsidR="00112574">
        <w:t>.</w:t>
      </w:r>
      <w:r w:rsidR="001D473B">
        <w:rPr>
          <w:rStyle w:val="FootnoteReference"/>
        </w:rPr>
        <w:footnoteReference w:id="40"/>
      </w:r>
      <w:r w:rsidR="00112574">
        <w:t xml:space="preserve"> </w:t>
      </w:r>
      <w:r w:rsidRPr="003E7CD1">
        <w:t xml:space="preserve">She worked to educate people about how patriarchal interpretations of Islam were used to justify discrimination against women and the </w:t>
      </w:r>
      <w:r w:rsidRPr="003E7CD1">
        <w:lastRenderedPageBreak/>
        <w:t>limiting of their freedom and rights. As a staunch opponent of patriarchy, she advocated for a rethinking of these justifications</w:t>
      </w:r>
      <w:r w:rsidR="007623D4">
        <w:t xml:space="preserve">. </w:t>
      </w:r>
      <w:r w:rsidRPr="003E7CD1">
        <w:t>She published a seminal work titled "Beyond the Veil: Male-Female Dynamics in Modern Muslim Society" in 1975</w:t>
      </w:r>
      <w:r w:rsidR="007623D4">
        <w:t>.</w:t>
      </w:r>
      <w:r w:rsidR="007623D4">
        <w:rPr>
          <w:rStyle w:val="FootnoteReference"/>
        </w:rPr>
        <w:footnoteReference w:id="41"/>
      </w:r>
      <w:r w:rsidRPr="003E7CD1">
        <w:t xml:space="preserve"> This book analyzed the multifaceted nature of gender roles in Islamic countries like Morocco</w:t>
      </w:r>
      <w:r w:rsidR="007623D4">
        <w:t xml:space="preserve">. </w:t>
      </w:r>
      <w:r w:rsidR="007623D4" w:rsidRPr="007623D4">
        <w:t>Mernissi actively addressed prevalent misconceptions and biases surrounding Muslim women, aiming to promote a comprehensive and nuanced analysis of their lived experiences.</w:t>
      </w:r>
      <w:r w:rsidR="001D473B">
        <w:rPr>
          <w:rStyle w:val="FootnoteReference"/>
        </w:rPr>
        <w:footnoteReference w:id="42"/>
      </w:r>
      <w:r w:rsidR="00E77EB4">
        <w:t xml:space="preserve"> </w:t>
      </w:r>
      <w:r w:rsidRPr="003E7CD1">
        <w:t>The influence of this monograph extended much beyond the academy, stimulating debates on women's rights in Islam and igniting feminist groups in countries where Islam is the dominant religion.</w:t>
      </w:r>
    </w:p>
    <w:p w14:paraId="23710673" w14:textId="7A9E662F" w:rsidR="002F5151" w:rsidRDefault="002F5151" w:rsidP="00AA5018">
      <w:r w:rsidRPr="002F5151">
        <w:t xml:space="preserve">Mernissi firmly believed that the patriarchal structures of Islamic traditions and texts were to blame for the perpetuation of gender inequality in Muslim-majority communities. According to her, the actual Islamic principles are not displayed in </w:t>
      </w:r>
      <w:r w:rsidR="007623D4">
        <w:t>religious</w:t>
      </w:r>
      <w:r w:rsidRPr="002F5151">
        <w:t xml:space="preserve"> buildings, but rather power dynamics and cultural standards.</w:t>
      </w:r>
      <w:r w:rsidR="00C173F7">
        <w:rPr>
          <w:rStyle w:val="FootnoteReference"/>
        </w:rPr>
        <w:footnoteReference w:id="43"/>
      </w:r>
      <w:r w:rsidR="00754FCC">
        <w:t xml:space="preserve"> </w:t>
      </w:r>
      <w:r w:rsidRPr="002F5151">
        <w:t>Many conventional interpretations of the Quran and Hadith, she argues, have been heavily impacted by cultural biases. As a result, she consistently advocated for a more gender-neutral and inclusive interpretation of Islamic teachings and worked to destroy patriarchal systems within the religion.</w:t>
      </w:r>
      <w:r w:rsidR="00643B23">
        <w:rPr>
          <w:rStyle w:val="FootnoteReference"/>
        </w:rPr>
        <w:footnoteReference w:id="44"/>
      </w:r>
      <w:r w:rsidR="00643B23">
        <w:t xml:space="preserve"> </w:t>
      </w:r>
      <w:r w:rsidRPr="002F5151">
        <w:t xml:space="preserve">In order to find new readings that </w:t>
      </w:r>
      <w:r w:rsidR="000A4D51">
        <w:t>upheld</w:t>
      </w:r>
      <w:r w:rsidRPr="002F5151">
        <w:t xml:space="preserve"> women's rights and agency, she emphasized reading these texts again via a critical feminist lens. The Harem is a well-known instance of segregation on the basis of gender.</w:t>
      </w:r>
      <w:r w:rsidR="00B02E05">
        <w:rPr>
          <w:rStyle w:val="FootnoteReference"/>
        </w:rPr>
        <w:footnoteReference w:id="45"/>
      </w:r>
      <w:r w:rsidR="00530CE6">
        <w:t xml:space="preserve"> </w:t>
      </w:r>
      <w:r>
        <w:t xml:space="preserve">Mernissi analyzed the traditional Islamic practice of keeping women confined in harems and the segregation of sexes. She spoke out against what </w:t>
      </w:r>
      <w:r>
        <w:lastRenderedPageBreak/>
        <w:t xml:space="preserve">she saw as patriarchal norms that kept women from participating fully in politics, the workplace, and society at large. She wrote in her book titled </w:t>
      </w:r>
      <w:r w:rsidRPr="00561A9A">
        <w:rPr>
          <w:i/>
          <w:iCs/>
        </w:rPr>
        <w:t>the Veil</w:t>
      </w:r>
      <w:r w:rsidR="00561A9A" w:rsidRPr="00561A9A">
        <w:rPr>
          <w:i/>
          <w:iCs/>
        </w:rPr>
        <w:t xml:space="preserve"> and the Male Elite</w:t>
      </w:r>
      <w:r>
        <w:t xml:space="preserve"> that gender roles in Islam developed historically. Ascribing this to the Qur'an is a shocking display of cultural and historical illiteracy.</w:t>
      </w:r>
      <w:r w:rsidR="001D473B">
        <w:rPr>
          <w:rStyle w:val="FootnoteReference"/>
        </w:rPr>
        <w:footnoteReference w:id="46"/>
      </w:r>
      <w:bookmarkStart w:id="1" w:name="_Toc147402496"/>
      <w:r w:rsidRPr="002F5151">
        <w:t xml:space="preserve"> </w:t>
      </w:r>
      <w:r w:rsidR="00E266A8">
        <w:t>Mernissi’s book</w:t>
      </w:r>
      <w:r w:rsidR="00E266A8" w:rsidRPr="00E266A8">
        <w:t xml:space="preserve"> examines the duties and rights of Muslim women during the early Islamic period, and is organised into two distinct sections. The first section comprises chapters one through four, which centre on several key themes. Firstly, it explores the contemporary Muslim preoccupation with time, particularly the inclination to reflect on the past as a means of reestablishing authority in response to the global democratisation process. This phenomenon has engendered a sense of apprehension among Muslim men, who perceive a potential erosion of their power. Secondly, it delves into the early history of Islam and its fundamental principles. Lastly, it conducts an examination of misogynistic ahadith attributed to Abu Bakra and Abu Hurayra. Part two of the study largely focuses on examining the life of Muhammad in Medina, namely from years three through eight. The objective is to analyse the events that transpired during this period and their significance in laying the foundation for the incorporation of the hijab into the Islamic faith.</w:t>
      </w:r>
      <w:r w:rsidR="00E266A8">
        <w:rPr>
          <w:rStyle w:val="FootnoteReference"/>
        </w:rPr>
        <w:footnoteReference w:id="47"/>
      </w:r>
    </w:p>
    <w:bookmarkEnd w:id="1"/>
    <w:p w14:paraId="21E7E56A" w14:textId="71434C48" w:rsidR="00843E4C" w:rsidRDefault="00843E4C" w:rsidP="00843E4C">
      <w:r w:rsidRPr="00843E4C">
        <w:t>Mernissi emphasized the value of women's dedication to Islamic history and the role they played in the development of early Islamic chronicles</w:t>
      </w:r>
      <w:r w:rsidR="00AA5018">
        <w:t>.</w:t>
      </w:r>
      <w:r w:rsidR="00643B23">
        <w:rPr>
          <w:rStyle w:val="FootnoteReference"/>
        </w:rPr>
        <w:footnoteReference w:id="48"/>
      </w:r>
      <w:r w:rsidRPr="00843E4C">
        <w:t xml:space="preserve"> She challenged the standard narrative by highlighting the organization of women in the early Muslim community, which had previously </w:t>
      </w:r>
      <w:r w:rsidRPr="00843E4C">
        <w:lastRenderedPageBreak/>
        <w:t>portrayed women as passive recipients of male-ruled, harsh norms</w:t>
      </w:r>
      <w:r w:rsidR="00AA5018">
        <w:t>.</w:t>
      </w:r>
      <w:r w:rsidR="0059600E">
        <w:rPr>
          <w:rStyle w:val="FootnoteReference"/>
        </w:rPr>
        <w:footnoteReference w:id="49"/>
      </w:r>
      <w:r w:rsidR="00AA5018">
        <w:t xml:space="preserve"> </w:t>
      </w:r>
      <w:r>
        <w:t xml:space="preserve">She felt that women's movements and opinions had been marginalized for too long. </w:t>
      </w:r>
    </w:p>
    <w:p w14:paraId="2460AD23" w14:textId="5F17B261" w:rsidR="00631BF3" w:rsidRDefault="00843E4C" w:rsidP="00843E4C">
      <w:r>
        <w:t xml:space="preserve">In her article </w:t>
      </w:r>
      <w:r w:rsidRPr="00631BF3">
        <w:rPr>
          <w:i/>
          <w:iCs/>
        </w:rPr>
        <w:t>Women's Rebellion and Islamic Memory</w:t>
      </w:r>
      <w:r>
        <w:t xml:space="preserve">, </w:t>
      </w:r>
      <w:r w:rsidR="00631BF3">
        <w:t>Mernissi argues that</w:t>
      </w:r>
      <w:r>
        <w:t xml:space="preserve"> </w:t>
      </w:r>
    </w:p>
    <w:p w14:paraId="498468E1" w14:textId="2BDEECAF" w:rsidR="005C18A4" w:rsidRDefault="00843E4C" w:rsidP="00631BF3">
      <w:pPr>
        <w:ind w:left="284" w:right="284"/>
      </w:pPr>
      <w:r>
        <w:t>Our historical moment is selective as it has kept only those traces that made us dream of the past as an ideal, totally controlled and dreamlike place, where everything is harmonious and smooth, under the rule of a wise, compassionate, and just sovereign.</w:t>
      </w:r>
      <w:r w:rsidR="00B02E05">
        <w:rPr>
          <w:rStyle w:val="FootnoteReference"/>
        </w:rPr>
        <w:footnoteReference w:id="50"/>
      </w:r>
    </w:p>
    <w:p w14:paraId="13519B7D" w14:textId="0D34FA2B" w:rsidR="00631BF3" w:rsidRDefault="00843E4C" w:rsidP="00AA5018">
      <w:bookmarkStart w:id="2" w:name="_Toc147402497"/>
      <w:r w:rsidRPr="00843E4C">
        <w:t>By rejecting the patriarchal narrative that had dominated historical records, she hoped that her words would help retrieve and reintegrate women's voices and encounters into the collective memory of Islam.</w:t>
      </w:r>
      <w:bookmarkEnd w:id="2"/>
      <w:r w:rsidR="00BC2DDC" w:rsidRPr="00BC2DDC">
        <w:t xml:space="preserve"> Mernissi argues that in order to challenge the prevailing male-dominated power structure, a distinct approach to writing and analysis is necessary, one that may deviate from conventional norms and embrace a certain level of disorder. The individual possesses an understanding of their engagement in the construction of an alternative narrative, which intentionally avoids asserting notions of objectivity and order. The author's objective is to create a contrast between her narrative and the masculine narrative, specifically avoiding the latter's assertion of absolute truth.</w:t>
      </w:r>
      <w:r w:rsidR="00BC2DDC">
        <w:rPr>
          <w:rStyle w:val="FootnoteReference"/>
        </w:rPr>
        <w:footnoteReference w:id="51"/>
      </w:r>
    </w:p>
    <w:p w14:paraId="40AE857C" w14:textId="17CC4A78" w:rsidR="00676F1A" w:rsidRDefault="00843E4C" w:rsidP="00AA5018">
      <w:r w:rsidRPr="00843E4C">
        <w:t>Mernissi understood the significance of considering the historical and social context of Islamic scriptures.</w:t>
      </w:r>
      <w:r w:rsidR="00643B23">
        <w:rPr>
          <w:rStyle w:val="FootnoteReference"/>
        </w:rPr>
        <w:footnoteReference w:id="52"/>
      </w:r>
      <w:r w:rsidR="00AA5018">
        <w:t xml:space="preserve"> </w:t>
      </w:r>
      <w:r w:rsidRPr="00843E4C">
        <w:t>She argued that the Quran and Hadith should be understood in the context of the social orders in which they were revealed, rather than being rigidly applied to modern contexts.</w:t>
      </w:r>
      <w:r w:rsidR="0059600E">
        <w:rPr>
          <w:rStyle w:val="FootnoteReference"/>
        </w:rPr>
        <w:footnoteReference w:id="53"/>
      </w:r>
      <w:r w:rsidR="00AA5018">
        <w:t xml:space="preserve"> </w:t>
      </w:r>
      <w:r w:rsidRPr="00843E4C">
        <w:t xml:space="preserve">Fatema </w:t>
      </w:r>
      <w:r w:rsidRPr="00843E4C">
        <w:lastRenderedPageBreak/>
        <w:t>Mernissi was strongly against the customary translations that have been used to enslave women. She claimed that several passages in the Quran and the Hadith had been cherry-picked to support male authority.</w:t>
      </w:r>
      <w:r w:rsidR="0059600E">
        <w:rPr>
          <w:rStyle w:val="FootnoteReference"/>
        </w:rPr>
        <w:footnoteReference w:id="54"/>
      </w:r>
      <w:r w:rsidR="00AA5018" w:rsidRPr="00A65D4B">
        <w:t xml:space="preserve"> </w:t>
      </w:r>
    </w:p>
    <w:p w14:paraId="24A036F6" w14:textId="1DE9670D" w:rsidR="00843E4C" w:rsidRDefault="00843E4C" w:rsidP="00843E4C">
      <w:r w:rsidRPr="00843E4C">
        <w:t xml:space="preserve">According to her argument in </w:t>
      </w:r>
      <w:r w:rsidRPr="00631BF3">
        <w:rPr>
          <w:i/>
          <w:iCs/>
        </w:rPr>
        <w:t>The Veil and the Male Elite</w:t>
      </w:r>
      <w:r w:rsidRPr="00843E4C">
        <w:t>,</w:t>
      </w:r>
      <w:r w:rsidR="00631BF3">
        <w:t xml:space="preserve"> Mernissi wrote,</w:t>
      </w:r>
    </w:p>
    <w:p w14:paraId="7CC631E4" w14:textId="49C635DE" w:rsidR="00676F1A" w:rsidRDefault="00843E4C" w:rsidP="00631BF3">
      <w:pPr>
        <w:ind w:left="284" w:right="284"/>
      </w:pPr>
      <w:r w:rsidRPr="00843E4C">
        <w:t>I believe that all the historic harm that has been done to the human condition can be summed up in two words: patriarchy and segregation.</w:t>
      </w:r>
      <w:r w:rsidR="00DA479A">
        <w:rPr>
          <w:rStyle w:val="FootnoteReference"/>
        </w:rPr>
        <w:footnoteReference w:id="55"/>
      </w:r>
    </w:p>
    <w:p w14:paraId="4063BBDC" w14:textId="4202D9A9" w:rsidR="005F3755" w:rsidRDefault="005F3755" w:rsidP="005F3755">
      <w:pPr>
        <w:ind w:right="284"/>
      </w:pPr>
      <w:r w:rsidRPr="005F3755">
        <w:t>Mernissi emphasises the significance of female Muslim characters who have demonstrated resistance, such as Sakina (or Sukayna), the granddaughter of the Prophet. Sakina exhibited assertiveness by exerting her agency in dictating the terms of her marriage contract, including the stipulation that her husband would not be permitted to enter into a polygamous marriage. According to Mernissi, the presence of figures like Sakina throughout the history of Islam serves as evidence that contemporary feminist assertions are not imported from the West, but rather originate from within the Islamic tradition.</w:t>
      </w:r>
      <w:r>
        <w:t xml:space="preserve"> She wrote </w:t>
      </w:r>
    </w:p>
    <w:p w14:paraId="11CE5D11" w14:textId="0A837672" w:rsidR="005F3755" w:rsidRDefault="005F3755" w:rsidP="005F3755">
      <w:pPr>
        <w:ind w:left="284" w:right="284"/>
      </w:pPr>
      <w:r>
        <w:rPr>
          <w:sz w:val="25"/>
          <w:szCs w:val="25"/>
          <w:shd w:val="clear" w:color="auto" w:fill="FFFFFF"/>
        </w:rPr>
        <w:t>When women express themselves and say how they wish to be loved,</w:t>
      </w:r>
      <w:r>
        <w:rPr>
          <w:rFonts w:ascii="Arial" w:hAnsi="Arial" w:cs="Arial"/>
        </w:rPr>
        <w:br/>
      </w:r>
      <w:r>
        <w:rPr>
          <w:sz w:val="25"/>
          <w:szCs w:val="25"/>
          <w:shd w:val="clear" w:color="auto" w:fill="FFFFFF"/>
        </w:rPr>
        <w:t>we realize that the feminist discourse is not a diabolical import from the</w:t>
      </w:r>
      <w:r>
        <w:rPr>
          <w:rFonts w:ascii="Arial" w:hAnsi="Arial" w:cs="Arial"/>
        </w:rPr>
        <w:br/>
      </w:r>
      <w:r>
        <w:rPr>
          <w:sz w:val="25"/>
          <w:szCs w:val="25"/>
          <w:shd w:val="clear" w:color="auto" w:fill="FFFFFF"/>
        </w:rPr>
        <w:t>West.</w:t>
      </w:r>
      <w:r>
        <w:rPr>
          <w:rStyle w:val="FootnoteReference"/>
          <w:sz w:val="25"/>
          <w:szCs w:val="25"/>
          <w:shd w:val="clear" w:color="auto" w:fill="FFFFFF"/>
        </w:rPr>
        <w:footnoteReference w:id="56"/>
      </w:r>
    </w:p>
    <w:p w14:paraId="5A74F6FC" w14:textId="70D78A44" w:rsidR="00676F1A" w:rsidRDefault="00843E4C" w:rsidP="00676F1A">
      <w:r w:rsidRPr="00843E4C">
        <w:t>Her approach took into account the dynamic nature of Muslim social structures, tran</w:t>
      </w:r>
      <w:r w:rsidR="00A07175" w:rsidRPr="00843E4C">
        <w:t>wrote.</w:t>
      </w:r>
      <w:r w:rsidRPr="00843E4C">
        <w:t xml:space="preserve">ng the text with greater nuance and sensitivity. She examined the veiling debate within Islam and offered </w:t>
      </w:r>
      <w:r w:rsidRPr="00843E4C">
        <w:lastRenderedPageBreak/>
        <w:t>feminist perspectives on women's freedom.</w:t>
      </w:r>
      <w:r w:rsidR="00643B23">
        <w:rPr>
          <w:rStyle w:val="FootnoteReference"/>
        </w:rPr>
        <w:footnoteReference w:id="57"/>
      </w:r>
      <w:r w:rsidR="00A65D4B">
        <w:t xml:space="preserve"> </w:t>
      </w:r>
      <w:r w:rsidRPr="00843E4C">
        <w:t>She sparked arguments on the dress code of women in Islam by exploring the cultural and historical backgrounds of veiling and asserting that it is a social regulation rather than a religious necessity</w:t>
      </w:r>
      <w:r w:rsidR="00433489">
        <w:t xml:space="preserve">. </w:t>
      </w:r>
    </w:p>
    <w:p w14:paraId="5B18ED5A" w14:textId="685F6549" w:rsidR="006D7647" w:rsidRDefault="00A0512C" w:rsidP="006D7647">
      <w:r w:rsidRPr="00A0512C">
        <w:t>Mernissi's writings as an Islamic feminist on the topic of patriarchy have made significant strides in combating sexism in Muslim communities.</w:t>
      </w:r>
      <w:r w:rsidR="009B7EE4">
        <w:rPr>
          <w:rStyle w:val="FootnoteReference"/>
        </w:rPr>
        <w:footnoteReference w:id="58"/>
      </w:r>
      <w:r w:rsidR="00B74BC5">
        <w:t xml:space="preserve"> </w:t>
      </w:r>
      <w:r w:rsidRPr="00A0512C">
        <w:t>Her writing effectively pushed back against the patriarchal canons of Islamic tradition and text by highlighting the cultural and historical background of gender norms and their inherent malleability.</w:t>
      </w:r>
      <w:r w:rsidR="009B7EE4">
        <w:rPr>
          <w:rStyle w:val="FootnoteReference"/>
        </w:rPr>
        <w:footnoteReference w:id="59"/>
      </w:r>
      <w:r w:rsidR="00862523">
        <w:t xml:space="preserve"> She encouraged women to reclaim their deserved place within society and religion. Additionally, her work has facilitated cross-cultural correspondence by eliminating the gaps between western and </w:t>
      </w:r>
      <w:r w:rsidR="008D6685">
        <w:t>Islamic</w:t>
      </w:r>
      <w:r w:rsidR="00862523">
        <w:t xml:space="preserve"> </w:t>
      </w:r>
      <w:r w:rsidR="005C69EC">
        <w:t>notions</w:t>
      </w:r>
      <w:r w:rsidR="00862523">
        <w:t xml:space="preserve"> of feminism. </w:t>
      </w:r>
    </w:p>
    <w:p w14:paraId="1C861201" w14:textId="47B1D1C2" w:rsidR="006D7647" w:rsidRDefault="00A0512C" w:rsidP="006D7647">
      <w:r w:rsidRPr="00A0512C">
        <w:t>The work of Mernissi is not without flaws, detractors, and debate. Some have argued that Mernissi's translations of Islamic scriptures give a biased or revisionist interpretation. While her optional readings are substantial, her approach has not found widespread acceptance among Muslims. Mernissi's work unambiguously influenced strategy shifts within Muslim-majority states, despite the lack of a compelling grant</w:t>
      </w:r>
      <w:r w:rsidR="005C69EC">
        <w:t xml:space="preserve">. </w:t>
      </w:r>
      <w:r w:rsidRPr="00A0512C">
        <w:t xml:space="preserve">It has also been stated that the social intricacies and diversity of Muslim social hierarchies are not considered sufficiently in Mernissi's work. </w:t>
      </w:r>
    </w:p>
    <w:p w14:paraId="2919F88F" w14:textId="2B26C642" w:rsidR="006D7647" w:rsidRDefault="00A0512C" w:rsidP="006D7647">
      <w:r w:rsidRPr="00A0512C">
        <w:t>Several other religious scholars have argued against Mernissi's translations of Islamic texts because they see them as challenging conventional rigid power and universality</w:t>
      </w:r>
      <w:r w:rsidR="00FE1D54">
        <w:t>.</w:t>
      </w:r>
      <w:r w:rsidR="006654FD">
        <w:rPr>
          <w:rStyle w:val="FootnoteReference"/>
        </w:rPr>
        <w:footnoteReference w:id="60"/>
      </w:r>
      <w:r w:rsidR="00FE1D54">
        <w:t xml:space="preserve"> </w:t>
      </w:r>
      <w:r w:rsidRPr="00A0512C">
        <w:t xml:space="preserve">Some have </w:t>
      </w:r>
      <w:r w:rsidRPr="00A0512C">
        <w:lastRenderedPageBreak/>
        <w:t xml:space="preserve">accused Mernissi of promoting radical feminist ideas from the West </w:t>
      </w:r>
      <w:r w:rsidR="005C69EC">
        <w:t>to</w:t>
      </w:r>
      <w:r w:rsidRPr="00A0512C">
        <w:t xml:space="preserve"> the detriment of authentic Islamic values. Her critics argue that her writing undermines the cohesiveness of Islamic societies.</w:t>
      </w:r>
      <w:r w:rsidR="0059600E">
        <w:rPr>
          <w:rStyle w:val="FootnoteReference"/>
        </w:rPr>
        <w:footnoteReference w:id="61"/>
      </w:r>
      <w:r w:rsidR="006D7647">
        <w:t xml:space="preserve"> </w:t>
      </w:r>
      <w:r w:rsidRPr="00A0512C">
        <w:t xml:space="preserve">Mernissi's ideas and support for women's rights have met with strong hostility in several moderate and tyrannical Muslim countries. The rights and opportunities of women have not always increased significantly </w:t>
      </w:r>
      <w:r w:rsidR="005C69EC" w:rsidRPr="00A0512C">
        <w:t>because of</w:t>
      </w:r>
      <w:r w:rsidRPr="00A0512C">
        <w:t xml:space="preserve"> her efforts.</w:t>
      </w:r>
      <w:r w:rsidR="006654FD">
        <w:rPr>
          <w:rStyle w:val="FootnoteReference"/>
        </w:rPr>
        <w:footnoteReference w:id="62"/>
      </w:r>
    </w:p>
    <w:p w14:paraId="5754B720" w14:textId="0880A59E" w:rsidR="00BA0822" w:rsidRDefault="00BA0822" w:rsidP="006D7647">
      <w:r w:rsidRPr="00BA0822">
        <w:t>Throughout the late twentieth and early twenty-first centuries, Mer</w:t>
      </w:r>
      <w:r>
        <w:t>n</w:t>
      </w:r>
      <w:r w:rsidRPr="00BA0822">
        <w:t>issi has directed her primary efforts towards revitalising civil society and promoting democracy in Morocco and other predominantly Muslim societies, employing diverse technologies such as the Internet. The objectives are pursued through two initiatives, namely the organisation she presides over, Synergie Civique, and her website.</w:t>
      </w:r>
      <w:r>
        <w:rPr>
          <w:rStyle w:val="FootnoteReference"/>
        </w:rPr>
        <w:footnoteReference w:id="63"/>
      </w:r>
    </w:p>
    <w:p w14:paraId="7095B7AF" w14:textId="7C29DF62" w:rsidR="00BA0822" w:rsidRPr="006D7647" w:rsidRDefault="00BA0822" w:rsidP="006D7647">
      <w:r w:rsidRPr="00BA0822">
        <w:t xml:space="preserve">Mernissi sustains robust connections with Muslim communities in Europe and the United States by means of her written works and public addresses delivered in those regions. Mernissi, predominantly composes in Western languages (French and English in her case). This choice of language effectively restricts her readership to Anglophone and Francophone communities both within the Muslim world and in the West. Mernissi's decision to compose in both English and French is manifestly deliberate. She is of the opinion that she is unable to speak or write freely in Arabic, and that whenever she attempts to do so, she is overcome with the sensation that a police officer is standing directly beside her. Due to the fact that she composes so little scholarly work in </w:t>
      </w:r>
      <w:r w:rsidRPr="00BA0822">
        <w:lastRenderedPageBreak/>
        <w:t>Arabic, she identifies as a member of the group of intellectuals who have deliberately isolated themselves from their native vernacular.</w:t>
      </w:r>
      <w:r>
        <w:rPr>
          <w:rStyle w:val="FootnoteReference"/>
        </w:rPr>
        <w:footnoteReference w:id="64"/>
      </w:r>
    </w:p>
    <w:p w14:paraId="043A95DD" w14:textId="7509DF6F" w:rsidR="007A2964" w:rsidRPr="007A2964" w:rsidRDefault="00A0512C" w:rsidP="007A2964">
      <w:r w:rsidRPr="00A0512C">
        <w:t xml:space="preserve">Mernissi </w:t>
      </w:r>
      <w:r w:rsidR="005C69EC">
        <w:t>has</w:t>
      </w:r>
      <w:r w:rsidRPr="00A0512C">
        <w:t xml:space="preserve"> left an indelible mark on modern Islamic feminism, acting as a cornerstone for activists and academics seeking to reconcile Islam with female equality.  Through her efforts to reinterpret Islamic texts, raise voices against patriarchal standards, and bring attention to women's contributions to Islamic history, she has inspired a new generation of feminists.</w:t>
      </w:r>
      <w:r w:rsidR="006654FD">
        <w:rPr>
          <w:rStyle w:val="FootnoteReference"/>
        </w:rPr>
        <w:footnoteReference w:id="65"/>
      </w:r>
      <w:r w:rsidR="007A2964">
        <w:t xml:space="preserve"> </w:t>
      </w:r>
      <w:r w:rsidRPr="00A0512C">
        <w:t xml:space="preserve">Mernissi's emphasis on the empowerment of women has completely transformed the discourse of gender issues within Islam, resulting in explicit acceptance of women's </w:t>
      </w:r>
      <w:r w:rsidR="005C69EC">
        <w:t>rights</w:t>
      </w:r>
      <w:r w:rsidRPr="00A0512C">
        <w:t xml:space="preserve"> and a larger engagement of women in society and religious elements</w:t>
      </w:r>
      <w:r w:rsidR="0059600E">
        <w:t>.</w:t>
      </w:r>
      <w:r w:rsidR="006654FD">
        <w:rPr>
          <w:rStyle w:val="FootnoteReference"/>
        </w:rPr>
        <w:footnoteReference w:id="66"/>
      </w:r>
      <w:r w:rsidR="0059600E">
        <w:t xml:space="preserve"> </w:t>
      </w:r>
      <w:r w:rsidRPr="00A0512C">
        <w:t>Her research also helped close the gap between western and Islamic feminism, leading to a more nuanced discussion of the intersection of faith and gender</w:t>
      </w:r>
      <w:r w:rsidR="006E4D92">
        <w:t>.</w:t>
      </w:r>
      <w:r w:rsidR="0059600E">
        <w:rPr>
          <w:rStyle w:val="FootnoteReference"/>
        </w:rPr>
        <w:footnoteReference w:id="67"/>
      </w:r>
      <w:r w:rsidR="006E4D92">
        <w:t xml:space="preserve"> </w:t>
      </w:r>
      <w:r w:rsidRPr="00A0512C">
        <w:t>Mernissi's impact goes beyond Islamic feminism and into the broader field of gender studies, where her work has facilitated a richer understanding of the interconnectedness of gender, religion, and culture</w:t>
      </w:r>
      <w:r w:rsidR="00601A43">
        <w:t>.</w:t>
      </w:r>
      <w:r w:rsidR="006654FD">
        <w:rPr>
          <w:rStyle w:val="FootnoteReference"/>
        </w:rPr>
        <w:footnoteReference w:id="68"/>
      </w:r>
      <w:r w:rsidR="00601A43">
        <w:t xml:space="preserve"> </w:t>
      </w:r>
    </w:p>
    <w:p w14:paraId="05508EF4" w14:textId="13102915" w:rsidR="00676BFB" w:rsidRDefault="00A0512C" w:rsidP="00676BFB">
      <w:r w:rsidRPr="00A0512C">
        <w:t xml:space="preserve">Fatema Mernissi's feminist ideology has made significant advancements in challenging patriarchal standards, offering useful perspectives on gender roles within Muslim societies. </w:t>
      </w:r>
      <w:r w:rsidR="00E266A8">
        <w:t xml:space="preserve">Islamic feminists in countries such as Indonesia </w:t>
      </w:r>
      <w:r w:rsidR="00312CFC">
        <w:t xml:space="preserve">have been greatly influenced by her work, translating her books and using them to advocate </w:t>
      </w:r>
      <w:r w:rsidR="00A07175" w:rsidRPr="00312CFC">
        <w:t>the</w:t>
      </w:r>
      <w:r w:rsidR="00312CFC" w:rsidRPr="00312CFC">
        <w:t xml:space="preserve"> pursuit of gender justice within the context of an Islamic-based framework.</w:t>
      </w:r>
      <w:r w:rsidR="00312CFC">
        <w:rPr>
          <w:rStyle w:val="FootnoteReference"/>
        </w:rPr>
        <w:footnoteReference w:id="69"/>
      </w:r>
      <w:r w:rsidR="00312CFC">
        <w:t xml:space="preserve"> </w:t>
      </w:r>
      <w:r w:rsidRPr="00A0512C">
        <w:t xml:space="preserve">Nevertheless, it is important to acknowledge that Mernissi's approach is not devoid </w:t>
      </w:r>
      <w:r w:rsidRPr="00A0512C">
        <w:lastRenderedPageBreak/>
        <w:t>of certain limitations and areas of contention. Mernissi's perspectives have been subject to criticism due to her tendency to selectively interpret information and the potential implications of cultural insensitivity that may arise from her work. Notwithstanding the intricacies involved, she assumed a prominent position in making significant contributions to the continued evolution of Islamic feminist perspectives. Her contributions are still widely discussed in contemporary discourse, as they persistently serve as a source of inspiration for ongoing conversations surrounding the topic of female equality within the context of Islam.</w:t>
      </w:r>
    </w:p>
    <w:p w14:paraId="74AE21D6" w14:textId="77777777" w:rsidR="00192EE8" w:rsidRPr="00676BFB" w:rsidRDefault="00192EE8" w:rsidP="00676BFB"/>
    <w:p w14:paraId="57550461" w14:textId="2498F854" w:rsidR="001F6DC6" w:rsidRDefault="001F6DC6">
      <w:pPr>
        <w:spacing w:line="259" w:lineRule="auto"/>
        <w:jc w:val="left"/>
        <w:rPr>
          <w:rFonts w:eastAsiaTheme="majorEastAsia" w:cstheme="majorBidi"/>
          <w:b/>
          <w:sz w:val="32"/>
          <w:szCs w:val="32"/>
        </w:rPr>
      </w:pPr>
      <w:r>
        <w:br w:type="page"/>
      </w:r>
    </w:p>
    <w:p w14:paraId="7395DDF8" w14:textId="2B4D4F09" w:rsidR="006755DB" w:rsidRDefault="00A07175" w:rsidP="00E43C86">
      <w:pPr>
        <w:pStyle w:val="Heading1"/>
        <w:jc w:val="center"/>
      </w:pPr>
      <w:r>
        <w:lastRenderedPageBreak/>
        <w:t>Bibliography</w:t>
      </w:r>
    </w:p>
    <w:p w14:paraId="23145E2C" w14:textId="5F6D7BBA" w:rsidR="00B11CB2" w:rsidRPr="00B11CB2" w:rsidRDefault="00B11CB2" w:rsidP="00B11CB2">
      <w:pPr>
        <w:rPr>
          <w:szCs w:val="24"/>
        </w:rPr>
      </w:pPr>
      <w:r w:rsidRPr="00B11CB2">
        <w:rPr>
          <w:rFonts w:cs="Times New Roman"/>
          <w:color w:val="404040" w:themeColor="text1" w:themeTint="BF"/>
          <w:szCs w:val="24"/>
        </w:rPr>
        <w:t>A</w:t>
      </w:r>
      <w:r w:rsidRPr="00B11CB2">
        <w:rPr>
          <w:rFonts w:cs="Times New Roman"/>
          <w:color w:val="404040" w:themeColor="text1" w:themeTint="BF"/>
          <w:szCs w:val="24"/>
          <w:shd w:val="clear" w:color="auto" w:fill="FFFFFF"/>
        </w:rPr>
        <w:t>bdelkader, E. (2010). From Aisha bint Abu Bakr to Asmaa Mahfouz: The Legacy of Muslim Women in Populist Revolutions. </w:t>
      </w:r>
      <w:r w:rsidRPr="00B11CB2">
        <w:rPr>
          <w:rStyle w:val="Emphasis"/>
          <w:rFonts w:cs="Times New Roman"/>
          <w:color w:val="404040" w:themeColor="text1" w:themeTint="BF"/>
          <w:szCs w:val="24"/>
          <w:shd w:val="clear" w:color="auto" w:fill="FFFFFF"/>
        </w:rPr>
        <w:t>Yearbook of Islamic and Middle Eastern Law Online</w:t>
      </w:r>
      <w:r w:rsidRPr="00B11CB2">
        <w:rPr>
          <w:rFonts w:cs="Times New Roman"/>
          <w:color w:val="404040" w:themeColor="text1" w:themeTint="BF"/>
          <w:szCs w:val="24"/>
          <w:shd w:val="clear" w:color="auto" w:fill="FFFFFF"/>
        </w:rPr>
        <w:t>, </w:t>
      </w:r>
      <w:r w:rsidRPr="00B11CB2">
        <w:rPr>
          <w:rStyle w:val="Emphasis"/>
          <w:rFonts w:cs="Times New Roman"/>
          <w:color w:val="404040" w:themeColor="text1" w:themeTint="BF"/>
          <w:szCs w:val="24"/>
          <w:shd w:val="clear" w:color="auto" w:fill="FFFFFF"/>
        </w:rPr>
        <w:t>16</w:t>
      </w:r>
      <w:r w:rsidRPr="00B11CB2">
        <w:rPr>
          <w:rFonts w:cs="Times New Roman"/>
          <w:color w:val="404040" w:themeColor="text1" w:themeTint="BF"/>
          <w:szCs w:val="24"/>
          <w:shd w:val="clear" w:color="auto" w:fill="FFFFFF"/>
        </w:rPr>
        <w:t>(1), 53-68, p57.</w:t>
      </w:r>
    </w:p>
    <w:p w14:paraId="337E3DAB" w14:textId="4B7A0210" w:rsidR="00532FE4" w:rsidRPr="000C58E5" w:rsidRDefault="00532FE4" w:rsidP="008F15A3">
      <w:pPr>
        <w:ind w:left="720" w:hanging="720"/>
      </w:pPr>
      <w:r w:rsidRPr="00B11CB2">
        <w:rPr>
          <w:szCs w:val="24"/>
        </w:rPr>
        <w:t xml:space="preserve"> “About Fatema.” n.d. Fatema Mernissi. Accessed</w:t>
      </w:r>
      <w:r w:rsidRPr="000C58E5">
        <w:t xml:space="preserve"> October 4, 2023. </w:t>
      </w:r>
      <w:hyperlink r:id="rId8" w:anchor=":~:text=About%20Fatema%20Mernissi" w:history="1">
        <w:r w:rsidR="00CA2C53" w:rsidRPr="006B53E0">
          <w:rPr>
            <w:rStyle w:val="Hyperlink"/>
          </w:rPr>
          <w:t>https://fatemamernissi.com/about-us#:~:text=About%20Fatema%20Mernissi</w:t>
        </w:r>
      </w:hyperlink>
      <w:r w:rsidRPr="000C58E5">
        <w:t>.</w:t>
      </w:r>
      <w:r w:rsidR="00CA2C53">
        <w:t xml:space="preserve"> </w:t>
      </w:r>
      <w:r w:rsidRPr="000C58E5">
        <w:rPr>
          <w:shd w:val="clear" w:color="auto" w:fill="FFFFFF"/>
        </w:rPr>
        <w:t>Ahmad, Ambar. </w:t>
      </w:r>
      <w:r w:rsidRPr="00CB6703">
        <w:rPr>
          <w:i/>
          <w:iCs/>
          <w:shd w:val="clear" w:color="auto" w:fill="FFFFFF"/>
        </w:rPr>
        <w:t>Islamic feminism-a contradiction in terms</w:t>
      </w:r>
      <w:r w:rsidRPr="000C58E5">
        <w:rPr>
          <w:shd w:val="clear" w:color="auto" w:fill="FFFFFF"/>
        </w:rPr>
        <w:t>?. New Delhi: Friedrich-Ebert-Stiftung, 2015.</w:t>
      </w:r>
    </w:p>
    <w:p w14:paraId="0D10A164" w14:textId="77777777" w:rsidR="00532FE4" w:rsidRPr="000C58E5" w:rsidRDefault="00532FE4" w:rsidP="008F15A3">
      <w:pPr>
        <w:ind w:left="720" w:hanging="720"/>
      </w:pPr>
      <w:r w:rsidRPr="000C58E5">
        <w:rPr>
          <w:shd w:val="clear" w:color="auto" w:fill="FFFFFF"/>
        </w:rPr>
        <w:t>Al-Abdlie, Jawaher Jubran Ahmed. "</w:t>
      </w:r>
      <w:r w:rsidRPr="00CB6703">
        <w:rPr>
          <w:i/>
          <w:iCs/>
          <w:shd w:val="clear" w:color="auto" w:fill="FFFFFF"/>
        </w:rPr>
        <w:t>A multidemensional approach to Islamic feminism: comparing the writings of Amina Wadud, Fatima Mernissi, and Zainab Al-Ghazali</w:t>
      </w:r>
      <w:r w:rsidRPr="000C58E5">
        <w:rPr>
          <w:shd w:val="clear" w:color="auto" w:fill="FFFFFF"/>
        </w:rPr>
        <w:t>." PhD diss., Hamad Bin Khalifa University (Qatar), 2019.</w:t>
      </w:r>
    </w:p>
    <w:p w14:paraId="520C2BC1" w14:textId="77777777" w:rsidR="00532FE4" w:rsidRPr="000C58E5" w:rsidRDefault="00532FE4" w:rsidP="008F15A3">
      <w:pPr>
        <w:ind w:left="720" w:hanging="720"/>
      </w:pPr>
      <w:r w:rsidRPr="000C58E5">
        <w:rPr>
          <w:shd w:val="clear" w:color="auto" w:fill="FFFFFF"/>
        </w:rPr>
        <w:t>Al-Refi'i, Jassim M. Jassim. "Crystallization of the Islamic Feminist Fatema Mernissi in Maruf Al Rusafi's Poetry." Journal of Tikrit University for Humanities 28, no. 2 (2021): 82-92.</w:t>
      </w:r>
    </w:p>
    <w:p w14:paraId="37F76E52" w14:textId="77777777" w:rsidR="00532FE4" w:rsidRDefault="00532FE4" w:rsidP="008F15A3">
      <w:pPr>
        <w:ind w:left="720" w:hanging="720"/>
        <w:rPr>
          <w:shd w:val="clear" w:color="auto" w:fill="FFFFFF"/>
        </w:rPr>
      </w:pPr>
      <w:r w:rsidRPr="000C58E5">
        <w:rPr>
          <w:shd w:val="clear" w:color="auto" w:fill="FFFFFF"/>
        </w:rPr>
        <w:t>Andrea, Bernadette. "“Double Critique” and the Sufi Praxis of Travel in Leila Ahmed's A Border Passage and Fatema Mernissi's Scheherazade Goes West." Journeys 22, no. 1 (2021): 1-20.</w:t>
      </w:r>
    </w:p>
    <w:p w14:paraId="4DD44484" w14:textId="635559B0" w:rsidR="00BA0822" w:rsidRPr="000C58E5" w:rsidRDefault="00BA0822" w:rsidP="008F15A3">
      <w:pPr>
        <w:ind w:left="720" w:hanging="720"/>
      </w:pPr>
      <w:r w:rsidRPr="00BA0822">
        <w:t>Armajani, Jon. </w:t>
      </w:r>
      <w:r w:rsidRPr="00BA0822">
        <w:rPr>
          <w:i/>
          <w:iCs/>
        </w:rPr>
        <w:t>Dynamic Islam: Liberal Muslim Perspectives in a Transnational Age</w:t>
      </w:r>
      <w:r w:rsidRPr="00BA0822">
        <w:t>. </w:t>
      </w:r>
      <w:r>
        <w:t>(Oxford:</w:t>
      </w:r>
      <w:r w:rsidRPr="00BA0822">
        <w:t> University Press of America, 2004</w:t>
      </w:r>
      <w:r>
        <w:t>),</w:t>
      </w:r>
    </w:p>
    <w:p w14:paraId="2A500626" w14:textId="77777777" w:rsidR="00532FE4" w:rsidRPr="000C58E5" w:rsidRDefault="00532FE4" w:rsidP="008F15A3">
      <w:pPr>
        <w:ind w:left="720" w:hanging="720"/>
      </w:pPr>
      <w:r w:rsidRPr="000C58E5">
        <w:rPr>
          <w:color w:val="222222"/>
          <w:shd w:val="clear" w:color="auto" w:fill="FFFFFF"/>
        </w:rPr>
        <w:t>Bano, Masooda. </w:t>
      </w:r>
      <w:r w:rsidRPr="000C58E5">
        <w:rPr>
          <w:i/>
          <w:iCs/>
          <w:color w:val="222222"/>
          <w:shd w:val="clear" w:color="auto" w:fill="FFFFFF"/>
        </w:rPr>
        <w:t>Female Islamic education movements: The re-democratisation of Islamic knowledge</w:t>
      </w:r>
      <w:r w:rsidRPr="000C58E5">
        <w:rPr>
          <w:color w:val="222222"/>
          <w:shd w:val="clear" w:color="auto" w:fill="FFFFFF"/>
        </w:rPr>
        <w:t>. Cambridge University Press, 2017.</w:t>
      </w:r>
    </w:p>
    <w:p w14:paraId="5B08A8C9" w14:textId="77777777" w:rsidR="00532FE4" w:rsidRPr="000C58E5" w:rsidRDefault="00532FE4" w:rsidP="008F15A3">
      <w:pPr>
        <w:ind w:left="720" w:hanging="720"/>
      </w:pPr>
      <w:r w:rsidRPr="000C58E5">
        <w:rPr>
          <w:shd w:val="clear" w:color="auto" w:fill="FFFFFF"/>
        </w:rPr>
        <w:t>Barazangi, Nimat Hafez. "Fatema Mernissi and the Hadith: Agent of Social Change." (2016).</w:t>
      </w:r>
    </w:p>
    <w:p w14:paraId="763FFDB5" w14:textId="77777777" w:rsidR="00532FE4" w:rsidRPr="000C58E5" w:rsidRDefault="00532FE4" w:rsidP="008F15A3">
      <w:pPr>
        <w:ind w:left="720" w:hanging="720"/>
      </w:pPr>
      <w:r w:rsidRPr="000C58E5">
        <w:rPr>
          <w:shd w:val="clear" w:color="auto" w:fill="FFFFFF"/>
        </w:rPr>
        <w:lastRenderedPageBreak/>
        <w:t>Barlas, Asma. Believing women in Islam: Unreading patriarchal interpretations of the Qur'an. University of Texas Press, 2019.</w:t>
      </w:r>
    </w:p>
    <w:p w14:paraId="0FF50F07" w14:textId="77777777" w:rsidR="00532FE4" w:rsidRPr="000C58E5" w:rsidRDefault="00532FE4" w:rsidP="008F15A3">
      <w:pPr>
        <w:ind w:left="720" w:hanging="720"/>
      </w:pPr>
      <w:r w:rsidRPr="000C58E5">
        <w:rPr>
          <w:shd w:val="clear" w:color="auto" w:fill="FFFFFF"/>
        </w:rPr>
        <w:t>Barlow, Rebecca, and Shahram Akbarzadeh. "Women’s rights in the Muslim world: reform or reconstruction?." In International Law and Islamic Law, pp. 411-424. Routledge, 2017.</w:t>
      </w:r>
    </w:p>
    <w:p w14:paraId="474E4633" w14:textId="77777777" w:rsidR="00532FE4" w:rsidRPr="000C58E5" w:rsidRDefault="00532FE4" w:rsidP="008F15A3">
      <w:pPr>
        <w:ind w:left="720" w:hanging="720"/>
      </w:pPr>
      <w:r w:rsidRPr="000C58E5">
        <w:rPr>
          <w:shd w:val="clear" w:color="auto" w:fill="FFFFFF"/>
        </w:rPr>
        <w:t>Connell, Raewyn. "Meeting at the edge of fear: Theory on a world scale." Feminist theory 16, no. 1 (2015): 49-66.</w:t>
      </w:r>
    </w:p>
    <w:p w14:paraId="20E7F762" w14:textId="77777777" w:rsidR="00532FE4" w:rsidRPr="000C58E5" w:rsidRDefault="00532FE4" w:rsidP="008F15A3">
      <w:pPr>
        <w:ind w:left="720" w:hanging="720"/>
      </w:pPr>
      <w:r w:rsidRPr="000C58E5">
        <w:rPr>
          <w:shd w:val="clear" w:color="auto" w:fill="FFFFFF"/>
        </w:rPr>
        <w:t>Cooke, Miriam. "Fatima Mernissi 1940–2015." Review of Middle East Studies 49, no. 2 (2015): 217-219.</w:t>
      </w:r>
    </w:p>
    <w:p w14:paraId="7E0A30CE" w14:textId="77777777" w:rsidR="00532FE4" w:rsidRPr="000C58E5" w:rsidRDefault="00532FE4" w:rsidP="008F15A3">
      <w:pPr>
        <w:ind w:left="720" w:hanging="720"/>
      </w:pPr>
      <w:r w:rsidRPr="000C58E5">
        <w:rPr>
          <w:shd w:val="clear" w:color="auto" w:fill="FFFFFF"/>
        </w:rPr>
        <w:t>Cooke, Miriam. "Multiple critique: Islamic feminist rhetorical strategies." In Postcolonialism, feminism and religious discourse, pp. 142-160. Routledge, 2015.</w:t>
      </w:r>
    </w:p>
    <w:p w14:paraId="67FF569B" w14:textId="77777777" w:rsidR="00532FE4" w:rsidRPr="000C58E5" w:rsidRDefault="00532FE4" w:rsidP="008F15A3">
      <w:pPr>
        <w:ind w:left="720" w:hanging="720"/>
      </w:pPr>
      <w:r w:rsidRPr="000C58E5">
        <w:rPr>
          <w:shd w:val="clear" w:color="auto" w:fill="FFFFFF"/>
        </w:rPr>
        <w:t>Dalaman, Zeynep Banu. "From secular Muslim feminisim to Islamic feminism (s) and new generation Islamic feminists in Egypt, Iran and Turkey." Border Crossing 11, no. 1 (2021): 77-91.</w:t>
      </w:r>
    </w:p>
    <w:p w14:paraId="49AA573E" w14:textId="77777777" w:rsidR="00532FE4" w:rsidRPr="000C58E5" w:rsidRDefault="00532FE4" w:rsidP="008F15A3">
      <w:pPr>
        <w:ind w:left="720" w:hanging="720"/>
      </w:pPr>
      <w:r w:rsidRPr="000C58E5">
        <w:rPr>
          <w:shd w:val="clear" w:color="auto" w:fill="FFFFFF"/>
        </w:rPr>
        <w:t>de Oliveira, Jessica da Silva Correia. "Fatema Mernissi's writings as a gateway to postcolonial islamic feminisms and intersectionality in the Maghreb." Revista Debates 15, no. 3 (2021): 133-157.</w:t>
      </w:r>
    </w:p>
    <w:p w14:paraId="26E1C4AF" w14:textId="77777777" w:rsidR="00532FE4" w:rsidRPr="000C58E5" w:rsidRDefault="00532FE4" w:rsidP="008F15A3">
      <w:pPr>
        <w:ind w:left="720" w:hanging="720"/>
      </w:pPr>
      <w:r w:rsidRPr="000C58E5">
        <w:rPr>
          <w:shd w:val="clear" w:color="auto" w:fill="FFFFFF"/>
        </w:rPr>
        <w:t>Djelloul, Ghaliya. "Islamic feminism: A contradiction in terms." Oroginal in French. Translated by Mike Routledge. First Published by La Revue Nouvelle 1 (2018): 2018.</w:t>
      </w:r>
    </w:p>
    <w:p w14:paraId="3E433B46" w14:textId="77777777" w:rsidR="00532FE4" w:rsidRPr="000C58E5" w:rsidRDefault="00532FE4" w:rsidP="008F15A3">
      <w:pPr>
        <w:ind w:left="720" w:hanging="720"/>
      </w:pPr>
      <w:r w:rsidRPr="000C58E5">
        <w:rPr>
          <w:shd w:val="clear" w:color="auto" w:fill="FFFFFF"/>
        </w:rPr>
        <w:t>Elboubekri, Abdellah. "Is patriarchy an Islamic legacy? A reflection on Fatima Mernissi's Dreams of Trespass and Najat El Hachmi's The Last Patriarch." Journal of Multicultural Discourses 10, no. 1 (2015): 25-48.</w:t>
      </w:r>
    </w:p>
    <w:p w14:paraId="3445D422" w14:textId="77777777" w:rsidR="00532FE4" w:rsidRPr="000C58E5" w:rsidRDefault="00532FE4" w:rsidP="008F15A3">
      <w:pPr>
        <w:ind w:left="720" w:hanging="720"/>
      </w:pPr>
      <w:r w:rsidRPr="000C58E5">
        <w:rPr>
          <w:shd w:val="clear" w:color="auto" w:fill="FFFFFF"/>
        </w:rPr>
        <w:lastRenderedPageBreak/>
        <w:t>Ennaji, Moha. "Mernissi’s impact on Islamic feminism: a critique of the religious approach." British Journal of Middle Eastern Studies 49, no. 4 (2022): 629-651.</w:t>
      </w:r>
    </w:p>
    <w:p w14:paraId="75E7DECF" w14:textId="77777777" w:rsidR="00532FE4" w:rsidRPr="000C58E5" w:rsidRDefault="00532FE4" w:rsidP="008F15A3">
      <w:pPr>
        <w:ind w:left="720" w:hanging="720"/>
      </w:pPr>
      <w:r w:rsidRPr="000C58E5">
        <w:rPr>
          <w:shd w:val="clear" w:color="auto" w:fill="FFFFFF"/>
        </w:rPr>
        <w:t>Fleischmann, Ellen L. "The other “awakening”: The emergence of women’s movements in the modern Middle East, 1900–1940." In A Social History of Women and Gender in the Modern Middle East, pp. 89-139. Routledge, 2018.</w:t>
      </w:r>
    </w:p>
    <w:p w14:paraId="5B5BAFD2" w14:textId="77777777" w:rsidR="00532FE4" w:rsidRDefault="00532FE4" w:rsidP="008F15A3">
      <w:pPr>
        <w:ind w:left="720" w:hanging="720"/>
      </w:pPr>
      <w:r w:rsidRPr="00B762CA">
        <w:t>Fox, Margalit. 2015. “Fatema Mernissi, a Founder of Islamic Feminism, Dies at 75 (Published 2015).” </w:t>
      </w:r>
      <w:r w:rsidRPr="00B762CA">
        <w:rPr>
          <w:i/>
          <w:iCs/>
        </w:rPr>
        <w:t>The New York Times</w:t>
      </w:r>
      <w:r w:rsidRPr="00B762CA">
        <w:t xml:space="preserve">, December 10, 2015, sec. World. </w:t>
      </w:r>
      <w:hyperlink r:id="rId9" w:history="1">
        <w:r w:rsidRPr="00332235">
          <w:t>https://www.nytimes.com/2015/12/10/world/middleeast/fatema-mernissi-a-founder-of-islamic-feminism-dies-at-75.html</w:t>
        </w:r>
      </w:hyperlink>
      <w:r w:rsidRPr="00B762CA">
        <w:t>.</w:t>
      </w:r>
    </w:p>
    <w:p w14:paraId="6774F89B" w14:textId="77777777" w:rsidR="00532FE4" w:rsidRPr="00532FE4" w:rsidRDefault="00532FE4" w:rsidP="00532FE4">
      <w:pPr>
        <w:ind w:left="720" w:hanging="720"/>
        <w:rPr>
          <w:szCs w:val="24"/>
        </w:rPr>
      </w:pPr>
      <w:r w:rsidRPr="00532FE4">
        <w:rPr>
          <w:szCs w:val="24"/>
        </w:rPr>
        <w:t>“Fatema Mernissi.” n.d. Middle East Studies Association. https://mesana.org/awards/category/fatema-mernissi-book-award/biographical-sketch-of-fatema-mernissi.</w:t>
      </w:r>
    </w:p>
    <w:p w14:paraId="0D72530A" w14:textId="77777777" w:rsidR="00532FE4" w:rsidRDefault="00532FE4" w:rsidP="00532FE4">
      <w:pPr>
        <w:ind w:left="720" w:hanging="720"/>
      </w:pPr>
      <w:r w:rsidRPr="00B762CA">
        <w:t xml:space="preserve">‌“Inspiring Thursday: Fatema Mernissi - WOMEN against VIOLENCE EUROPE.” 2021. February 11, 2021. </w:t>
      </w:r>
      <w:hyperlink r:id="rId10" w:history="1">
        <w:r w:rsidRPr="00533D10">
          <w:t>https://wave-network.org/inspiring-thursday-fatema-mernissi/</w:t>
        </w:r>
      </w:hyperlink>
      <w:r w:rsidRPr="00B762CA">
        <w:t>.</w:t>
      </w:r>
    </w:p>
    <w:p w14:paraId="75E85C5A" w14:textId="77777777" w:rsidR="00532FE4" w:rsidRPr="000C58E5" w:rsidRDefault="00532FE4" w:rsidP="00240769">
      <w:r w:rsidRPr="000C58E5">
        <w:rPr>
          <w:color w:val="222222"/>
          <w:shd w:val="clear" w:color="auto" w:fill="FFFFFF"/>
        </w:rPr>
        <w:t>Islam, Md Nazrul. </w:t>
      </w:r>
      <w:r w:rsidRPr="000C58E5">
        <w:rPr>
          <w:i/>
          <w:iCs/>
          <w:color w:val="222222"/>
          <w:shd w:val="clear" w:color="auto" w:fill="FFFFFF"/>
        </w:rPr>
        <w:t>Islam and democracy in South Asia</w:t>
      </w:r>
      <w:r w:rsidRPr="000C58E5">
        <w:rPr>
          <w:color w:val="222222"/>
          <w:shd w:val="clear" w:color="auto" w:fill="FFFFFF"/>
        </w:rPr>
        <w:t>. Palgrave Macmillan, 2020.</w:t>
      </w:r>
    </w:p>
    <w:p w14:paraId="6E2BF1F6" w14:textId="77777777" w:rsidR="00532FE4" w:rsidRPr="000C58E5" w:rsidRDefault="00532FE4" w:rsidP="008F15A3">
      <w:pPr>
        <w:ind w:left="720" w:hanging="720"/>
      </w:pPr>
      <w:r w:rsidRPr="000C58E5">
        <w:rPr>
          <w:color w:val="222222"/>
          <w:shd w:val="clear" w:color="auto" w:fill="FFFFFF"/>
        </w:rPr>
        <w:t>Jalajel, David Solomon. </w:t>
      </w:r>
      <w:r w:rsidRPr="000C58E5">
        <w:rPr>
          <w:i/>
          <w:iCs/>
          <w:color w:val="222222"/>
          <w:shd w:val="clear" w:color="auto" w:fill="FFFFFF"/>
        </w:rPr>
        <w:t>Women and leadership in Islamic law: A critical analysis of classical legal texts</w:t>
      </w:r>
      <w:r w:rsidRPr="000C58E5">
        <w:rPr>
          <w:color w:val="222222"/>
          <w:shd w:val="clear" w:color="auto" w:fill="FFFFFF"/>
        </w:rPr>
        <w:t>. Taylor &amp; Francis, 2016.</w:t>
      </w:r>
    </w:p>
    <w:p w14:paraId="26EE6194" w14:textId="77777777" w:rsidR="00532FE4" w:rsidRPr="000C58E5" w:rsidRDefault="00532FE4" w:rsidP="008F15A3">
      <w:pPr>
        <w:ind w:left="720" w:hanging="720"/>
      </w:pPr>
      <w:r w:rsidRPr="000C58E5">
        <w:rPr>
          <w:shd w:val="clear" w:color="auto" w:fill="FFFFFF"/>
        </w:rPr>
        <w:t>Jayawardena, Kumari. Feminism and nationalism in the Third World. Verso Books, 2016.</w:t>
      </w:r>
    </w:p>
    <w:p w14:paraId="2222444F" w14:textId="77777777" w:rsidR="00532FE4" w:rsidRPr="000C58E5" w:rsidRDefault="00532FE4" w:rsidP="008F15A3">
      <w:pPr>
        <w:ind w:left="720" w:hanging="720"/>
      </w:pPr>
      <w:r w:rsidRPr="000C58E5">
        <w:rPr>
          <w:shd w:val="clear" w:color="auto" w:fill="FFFFFF"/>
        </w:rPr>
        <w:t>Khattab, Moushira. "The struggle of Egyptian women for equal rights continues: Two steps forward, one step backward." Women’s Movements in Post-“Arab Spring” North Africa (2016): 127-142.</w:t>
      </w:r>
    </w:p>
    <w:p w14:paraId="17A34080" w14:textId="77777777" w:rsidR="00532FE4" w:rsidRPr="000C58E5" w:rsidRDefault="00532FE4" w:rsidP="008F15A3">
      <w:pPr>
        <w:ind w:left="720" w:hanging="720"/>
      </w:pPr>
      <w:r w:rsidRPr="000C58E5">
        <w:rPr>
          <w:shd w:val="clear" w:color="auto" w:fill="FFFFFF"/>
        </w:rPr>
        <w:lastRenderedPageBreak/>
        <w:t>Khettal, Lydia. "Space and Resistance in Virginia Woolf’s Mrs. Dalloway (1925) and Fatima Mernissi’s The Veil and the Male Elite (1991)." PhD diss., Université Mouloud Mammeri Tizi Ouzou, 2018.</w:t>
      </w:r>
    </w:p>
    <w:p w14:paraId="6CEE3202" w14:textId="77777777" w:rsidR="00532FE4" w:rsidRPr="000C58E5" w:rsidRDefault="00532FE4" w:rsidP="008F15A3">
      <w:pPr>
        <w:ind w:left="720" w:hanging="720"/>
      </w:pPr>
      <w:r w:rsidRPr="000C58E5">
        <w:rPr>
          <w:color w:val="222222"/>
          <w:shd w:val="clear" w:color="auto" w:fill="FFFFFF"/>
        </w:rPr>
        <w:t>Lee, Abigail Grace. "Dreaming of New Realities in Fatima Mernissi's Dreams of Trespass, A Harem Girlhood." (2020).</w:t>
      </w:r>
    </w:p>
    <w:p w14:paraId="090169D2" w14:textId="77777777" w:rsidR="00532FE4" w:rsidRDefault="00532FE4" w:rsidP="008F15A3">
      <w:pPr>
        <w:ind w:left="720" w:hanging="720"/>
        <w:rPr>
          <w:shd w:val="clear" w:color="auto" w:fill="FFFFFF"/>
        </w:rPr>
      </w:pPr>
      <w:r w:rsidRPr="000C58E5">
        <w:rPr>
          <w:shd w:val="clear" w:color="auto" w:fill="FFFFFF"/>
        </w:rPr>
        <w:t>Manzoor, Asma, Seema Manzoor, and UmmeHani Rummana Zaheer. "Economic AND Political Leadership Role OF Muslim Women In Global Context." Journal of Positive School Psychology 7, no. 6 (2023): 1217-1226.</w:t>
      </w:r>
    </w:p>
    <w:p w14:paraId="3CACC9F5" w14:textId="02DF6E2C" w:rsidR="00BC2DDC" w:rsidRDefault="00BC2DDC" w:rsidP="008F15A3">
      <w:pPr>
        <w:ind w:left="720" w:hanging="720"/>
      </w:pPr>
      <w:r>
        <w:t xml:space="preserve">E. Marmudah,’ Hadith, Justice, and Gender Equality: Indonesian Progressive Muslims’ Thought’ </w:t>
      </w:r>
      <w:r w:rsidRPr="00BC2DDC">
        <w:rPr>
          <w:i/>
          <w:iCs/>
        </w:rPr>
        <w:t>Pertanika J. Soc. Sci. &amp; Hum.</w:t>
      </w:r>
      <w:r>
        <w:t xml:space="preserve"> 27 (1): 405 - 417 (2019), p408.</w:t>
      </w:r>
    </w:p>
    <w:p w14:paraId="1FD5F61B" w14:textId="6DEF68F0" w:rsidR="00B04BBE" w:rsidRPr="00B04BBE" w:rsidRDefault="00B04BBE" w:rsidP="008F15A3">
      <w:pPr>
        <w:ind w:left="720" w:hanging="720"/>
        <w:rPr>
          <w:szCs w:val="24"/>
          <w:shd w:val="clear" w:color="auto" w:fill="FFFFFF"/>
        </w:rPr>
      </w:pPr>
      <w:r w:rsidRPr="00B04BBE">
        <w:rPr>
          <w:szCs w:val="24"/>
          <w:shd w:val="clear" w:color="auto" w:fill="FFFFFF"/>
        </w:rPr>
        <w:t xml:space="preserve">Mernissi, </w:t>
      </w:r>
      <w:r w:rsidRPr="00B04BBE">
        <w:rPr>
          <w:szCs w:val="24"/>
        </w:rPr>
        <w:t xml:space="preserve">Fatima. </w:t>
      </w:r>
      <w:r w:rsidRPr="00B04BBE">
        <w:rPr>
          <w:i/>
          <w:iCs/>
          <w:szCs w:val="24"/>
          <w:shd w:val="clear" w:color="auto" w:fill="FFFFFF"/>
        </w:rPr>
        <w:t>L’Amour dans les pays Musulmans</w:t>
      </w:r>
      <w:r w:rsidRPr="00B04BBE">
        <w:rPr>
          <w:szCs w:val="24"/>
          <w:shd w:val="clear" w:color="auto" w:fill="FFFFFF"/>
        </w:rPr>
        <w:t>, (France: Le Fennec, 2009</w:t>
      </w:r>
      <w:r>
        <w:rPr>
          <w:szCs w:val="24"/>
          <w:shd w:val="clear" w:color="auto" w:fill="FFFFFF"/>
        </w:rPr>
        <w:t>).</w:t>
      </w:r>
    </w:p>
    <w:p w14:paraId="43FF6181" w14:textId="6605F70A" w:rsidR="00631BF3" w:rsidRPr="000C58E5" w:rsidRDefault="00631BF3" w:rsidP="008F15A3">
      <w:pPr>
        <w:ind w:left="720" w:hanging="720"/>
      </w:pPr>
      <w:r w:rsidRPr="00631BF3">
        <w:t>Mernissi, Fatima. Women's Rebellion &amp; Islamic Memory. United Kingdom, Zed Books, 1996,.</w:t>
      </w:r>
    </w:p>
    <w:p w14:paraId="164550C5" w14:textId="77777777" w:rsidR="00532FE4" w:rsidRPr="000C58E5" w:rsidRDefault="00532FE4" w:rsidP="008F15A3">
      <w:pPr>
        <w:ind w:left="720" w:hanging="720"/>
      </w:pPr>
      <w:r w:rsidRPr="000C58E5">
        <w:rPr>
          <w:shd w:val="clear" w:color="auto" w:fill="FFFFFF"/>
        </w:rPr>
        <w:t>Mernissi, Fatima. "Muslim Women’s Roles and Scholarship." Equals in Learning and Piety: Muslim Women Scholars in Nigeria and North America (2023): 43.</w:t>
      </w:r>
    </w:p>
    <w:p w14:paraId="7C3840DF" w14:textId="77777777" w:rsidR="00532FE4" w:rsidRPr="000C58E5" w:rsidRDefault="00532FE4" w:rsidP="008F15A3">
      <w:pPr>
        <w:ind w:left="720" w:hanging="720"/>
      </w:pPr>
      <w:r w:rsidRPr="000C58E5">
        <w:rPr>
          <w:shd w:val="clear" w:color="auto" w:fill="FFFFFF"/>
        </w:rPr>
        <w:t>Mir-Hosseini, Ziba. "The challenges of Islamic feminism." Gender a výzkum 20, no. 2 (2019): 108-122.</w:t>
      </w:r>
    </w:p>
    <w:p w14:paraId="151DAAC4" w14:textId="77777777" w:rsidR="00532FE4" w:rsidRDefault="00532FE4" w:rsidP="008F15A3">
      <w:pPr>
        <w:ind w:left="720" w:hanging="720"/>
        <w:rPr>
          <w:shd w:val="clear" w:color="auto" w:fill="FFFFFF"/>
        </w:rPr>
      </w:pPr>
      <w:r w:rsidRPr="000C58E5">
        <w:rPr>
          <w:shd w:val="clear" w:color="auto" w:fill="FFFFFF"/>
        </w:rPr>
        <w:t>Moghissi, Haideh. Populism and feminism in Iran: Women’s struggle in a male-defined revolutionary movement. Springer, 2016.</w:t>
      </w:r>
    </w:p>
    <w:p w14:paraId="55A19E66" w14:textId="1C18EE5E" w:rsidR="007B02CA" w:rsidRPr="007B02CA" w:rsidRDefault="007B02CA" w:rsidP="008F15A3">
      <w:pPr>
        <w:ind w:left="720" w:hanging="720"/>
        <w:rPr>
          <w:szCs w:val="24"/>
        </w:rPr>
      </w:pPr>
      <w:r w:rsidRPr="007B02CA">
        <w:rPr>
          <w:rFonts w:cs="Times New Roman"/>
          <w:szCs w:val="24"/>
          <w:shd w:val="clear" w:color="auto" w:fill="FFFFFF"/>
        </w:rPr>
        <w:t>Moosa, Ebrahim; Jeffrey T. Kenney</w:t>
      </w:r>
      <w:r w:rsidRPr="007B02CA">
        <w:rPr>
          <w:szCs w:val="24"/>
        </w:rPr>
        <w:t xml:space="preserve">, eds. </w:t>
      </w:r>
      <w:r w:rsidRPr="007B02CA">
        <w:rPr>
          <w:i/>
          <w:iCs/>
          <w:szCs w:val="24"/>
        </w:rPr>
        <w:t>Islam in the Modern World</w:t>
      </w:r>
      <w:r w:rsidRPr="007B02CA">
        <w:rPr>
          <w:szCs w:val="24"/>
        </w:rPr>
        <w:t>. (Abingdon: Taylor &amp; Francis, 2013)</w:t>
      </w:r>
      <w:r>
        <w:rPr>
          <w:szCs w:val="24"/>
        </w:rPr>
        <w:t>.</w:t>
      </w:r>
    </w:p>
    <w:p w14:paraId="2E2CEF81" w14:textId="77777777" w:rsidR="00532FE4" w:rsidRPr="000C58E5" w:rsidRDefault="00532FE4" w:rsidP="008F15A3">
      <w:pPr>
        <w:ind w:left="720" w:hanging="720"/>
      </w:pPr>
      <w:r w:rsidRPr="000C58E5">
        <w:rPr>
          <w:shd w:val="clear" w:color="auto" w:fill="FFFFFF"/>
        </w:rPr>
        <w:t>Moruzzi, Norma Claire. "In Memoriam: Fatima Mernissi, 1940–2015." (2016): 455-459.</w:t>
      </w:r>
    </w:p>
    <w:p w14:paraId="0CECFA96" w14:textId="77777777" w:rsidR="00532FE4" w:rsidRPr="000C58E5" w:rsidRDefault="00532FE4" w:rsidP="008F15A3">
      <w:pPr>
        <w:ind w:left="720" w:hanging="720"/>
      </w:pPr>
      <w:r w:rsidRPr="000C58E5">
        <w:rPr>
          <w:shd w:val="clear" w:color="auto" w:fill="FFFFFF"/>
        </w:rPr>
        <w:lastRenderedPageBreak/>
        <w:t>Muhibbu-Din, Mahmudat O. "Feminism and modern Islamic politics: The fact and the fallacy." International Journal of Islamic Thought 15 (2019): 44-59.</w:t>
      </w:r>
    </w:p>
    <w:p w14:paraId="7A561458" w14:textId="77777777" w:rsidR="00532FE4" w:rsidRPr="000C58E5" w:rsidRDefault="00532FE4" w:rsidP="008F15A3">
      <w:pPr>
        <w:ind w:left="720" w:hanging="720"/>
      </w:pPr>
      <w:r w:rsidRPr="000C58E5">
        <w:rPr>
          <w:shd w:val="clear" w:color="auto" w:fill="FFFFFF"/>
        </w:rPr>
        <w:t>Navarro, Laura. "Approaching feminism from the margins: The case of Islamic feminisms." Alternatif Politika 8, no. Special (2016): 82-94.</w:t>
      </w:r>
    </w:p>
    <w:p w14:paraId="53577B97" w14:textId="77777777" w:rsidR="00532FE4" w:rsidRPr="000C58E5" w:rsidRDefault="00532FE4" w:rsidP="008F15A3">
      <w:pPr>
        <w:ind w:left="720" w:hanging="720"/>
      </w:pPr>
      <w:r w:rsidRPr="000C58E5">
        <w:rPr>
          <w:color w:val="222222"/>
          <w:shd w:val="clear" w:color="auto" w:fill="FFFFFF"/>
        </w:rPr>
        <w:t>Oliveira, Jessica da Silva C. de, and Jessica da Silva C. de Oliveira. "East and West Encounters and Double Critique in Fatema Mernissi’s Writings." </w:t>
      </w:r>
      <w:r w:rsidRPr="000C58E5">
        <w:rPr>
          <w:i/>
          <w:iCs/>
          <w:color w:val="222222"/>
          <w:shd w:val="clear" w:color="auto" w:fill="FFFFFF"/>
        </w:rPr>
        <w:t>Postcolonial Maghreb and the Limits of IR</w:t>
      </w:r>
      <w:r w:rsidRPr="000C58E5">
        <w:rPr>
          <w:color w:val="222222"/>
          <w:shd w:val="clear" w:color="auto" w:fill="FFFFFF"/>
        </w:rPr>
        <w:t> (2020): 175-210.</w:t>
      </w:r>
    </w:p>
    <w:p w14:paraId="5E2D2100" w14:textId="77777777" w:rsidR="00532FE4" w:rsidRPr="000C58E5" w:rsidRDefault="00532FE4" w:rsidP="008F15A3">
      <w:pPr>
        <w:ind w:left="720" w:hanging="720"/>
      </w:pPr>
      <w:r w:rsidRPr="000C58E5">
        <w:rPr>
          <w:shd w:val="clear" w:color="auto" w:fill="FFFFFF"/>
        </w:rPr>
        <w:t>Prempeh, Charles. "“Hijab Is My Identity”: Beyond the Politics of the Veil: The Appropriations of the Veil in an Inner-City Muslim Area of Accra (Ghana) since the 1980s." Journal of Africana Religions 10, no. 1 (2022): 20-46.</w:t>
      </w:r>
    </w:p>
    <w:p w14:paraId="0457F257" w14:textId="77777777" w:rsidR="00532FE4" w:rsidRPr="000C58E5" w:rsidRDefault="00532FE4" w:rsidP="008F15A3">
      <w:pPr>
        <w:ind w:left="720" w:hanging="720"/>
      </w:pPr>
      <w:r w:rsidRPr="000C58E5">
        <w:rPr>
          <w:shd w:val="clear" w:color="auto" w:fill="FFFFFF"/>
        </w:rPr>
        <w:t>Pringle, Rosemary. "Destabilising patriarchy." In Transitions, pp. 198-211. Routledge, 2020.</w:t>
      </w:r>
    </w:p>
    <w:p w14:paraId="3CF8B851" w14:textId="77777777" w:rsidR="00532FE4" w:rsidRPr="000C58E5" w:rsidRDefault="00532FE4" w:rsidP="008F15A3">
      <w:pPr>
        <w:ind w:left="720" w:hanging="720"/>
      </w:pPr>
      <w:r w:rsidRPr="000C58E5">
        <w:rPr>
          <w:shd w:val="clear" w:color="auto" w:fill="FFFFFF"/>
        </w:rPr>
        <w:t>Puspita, Adinda Novelia. "Feminism According to Fatima Mernissi's Thinking." Citizen: Jurnal Ilmiah Multidisiplin Indonesia 1, no. 1 (2021).</w:t>
      </w:r>
    </w:p>
    <w:p w14:paraId="2CC3C48F" w14:textId="77777777" w:rsidR="00532FE4" w:rsidRPr="000C58E5" w:rsidRDefault="00532FE4" w:rsidP="008F15A3">
      <w:pPr>
        <w:ind w:left="720" w:hanging="720"/>
      </w:pPr>
      <w:r w:rsidRPr="000C58E5">
        <w:rPr>
          <w:shd w:val="clear" w:color="auto" w:fill="FFFFFF"/>
        </w:rPr>
        <w:t>Qazi, Muhammad Salman, and Riaz Ahmad Saeed. "Challenging Grand Narrative through Little Narrative: An Analysis of Fatima Mernissi’s Perspectives." Journal of Religious and Social Studies 1, no. 02 Jul-Dec (2021): 51-64.</w:t>
      </w:r>
    </w:p>
    <w:p w14:paraId="6D586036" w14:textId="376AF760" w:rsidR="00532FE4" w:rsidRPr="000C58E5" w:rsidRDefault="00631BF3" w:rsidP="008F15A3">
      <w:pPr>
        <w:ind w:left="720" w:hanging="720"/>
      </w:pPr>
      <w:r w:rsidRPr="000C58E5">
        <w:rPr>
          <w:shd w:val="clear" w:color="auto" w:fill="FFFFFF"/>
        </w:rPr>
        <w:t>Rhouni, Raja</w:t>
      </w:r>
      <w:r w:rsidR="00532FE4" w:rsidRPr="000C58E5">
        <w:rPr>
          <w:shd w:val="clear" w:color="auto" w:fill="FFFFFF"/>
        </w:rPr>
        <w:t xml:space="preserve">. "Between Feminism and Islam: </w:t>
      </w:r>
      <w:r>
        <w:rPr>
          <w:shd w:val="clear" w:color="auto" w:fill="FFFFFF"/>
        </w:rPr>
        <w:t>Fatima</w:t>
      </w:r>
      <w:r w:rsidR="00532FE4" w:rsidRPr="000C58E5">
        <w:rPr>
          <w:shd w:val="clear" w:color="auto" w:fill="FFFFFF"/>
        </w:rPr>
        <w:t xml:space="preserve"> Mernissi and her Legacy." Samyukta: A Journal of Gender and Culture 2, no. 1 (2017).</w:t>
      </w:r>
    </w:p>
    <w:p w14:paraId="726FF5A5" w14:textId="77777777" w:rsidR="00532FE4" w:rsidRDefault="00532FE4" w:rsidP="008F15A3">
      <w:pPr>
        <w:ind w:left="720" w:hanging="720"/>
        <w:rPr>
          <w:shd w:val="clear" w:color="auto" w:fill="FFFFFF"/>
        </w:rPr>
      </w:pPr>
      <w:r w:rsidRPr="000C58E5">
        <w:rPr>
          <w:shd w:val="clear" w:color="auto" w:fill="FFFFFF"/>
        </w:rPr>
        <w:t>Rhouni, Raja. "Mernissi, Fatima." In Oxford Research Encyclopedia of African History. 2020.</w:t>
      </w:r>
    </w:p>
    <w:p w14:paraId="422DDF93" w14:textId="6A63847C" w:rsidR="005F3755" w:rsidRPr="005F3755" w:rsidRDefault="005F3755" w:rsidP="008F15A3">
      <w:pPr>
        <w:ind w:left="720" w:hanging="720"/>
        <w:rPr>
          <w:szCs w:val="24"/>
          <w:shd w:val="clear" w:color="auto" w:fill="FFFFFF"/>
        </w:rPr>
      </w:pPr>
      <w:r w:rsidRPr="005F3755">
        <w:rPr>
          <w:rFonts w:cs="Times New Roman"/>
          <w:color w:val="000000"/>
          <w:szCs w:val="24"/>
          <w:shd w:val="clear" w:color="auto" w:fill="FFFFFF"/>
        </w:rPr>
        <w:t>Rhouni, R.R. Revisiting Islam From ‘Within’". In </w:t>
      </w:r>
      <w:r w:rsidRPr="005F3755">
        <w:rPr>
          <w:rStyle w:val="Emphasis"/>
          <w:rFonts w:cs="Times New Roman"/>
          <w:color w:val="000000"/>
          <w:szCs w:val="24"/>
          <w:shd w:val="clear" w:color="auto" w:fill="FFFFFF"/>
        </w:rPr>
        <w:t>Secular and Islamic Feminist Critiques in the</w:t>
      </w:r>
      <w:r>
        <w:rPr>
          <w:rStyle w:val="Emphasis"/>
          <w:rFonts w:cs="Times New Roman"/>
          <w:color w:val="000000"/>
          <w:szCs w:val="24"/>
          <w:shd w:val="clear" w:color="auto" w:fill="FFFFFF"/>
        </w:rPr>
        <w:t xml:space="preserve"> </w:t>
      </w:r>
      <w:r w:rsidRPr="005F3755">
        <w:rPr>
          <w:rStyle w:val="Emphasis"/>
          <w:rFonts w:cs="Times New Roman"/>
          <w:color w:val="000000"/>
          <w:szCs w:val="24"/>
          <w:shd w:val="clear" w:color="auto" w:fill="FFFFFF"/>
        </w:rPr>
        <w:t>Work of Fatima Mernissi</w:t>
      </w:r>
      <w:r w:rsidRPr="005F3755">
        <w:rPr>
          <w:rFonts w:cs="Times New Roman"/>
          <w:color w:val="000000"/>
          <w:szCs w:val="24"/>
          <w:shd w:val="clear" w:color="auto" w:fill="FFFFFF"/>
        </w:rPr>
        <w:t>. (Leiden: Brill,2009),</w:t>
      </w:r>
    </w:p>
    <w:p w14:paraId="4C2FA8DC" w14:textId="77777777" w:rsidR="00532FE4" w:rsidRPr="000C58E5" w:rsidRDefault="00532FE4" w:rsidP="00532FE4">
      <w:pPr>
        <w:ind w:left="720" w:hanging="720"/>
      </w:pPr>
      <w:r w:rsidRPr="000C58E5">
        <w:lastRenderedPageBreak/>
        <w:t xml:space="preserve"> “Remembering Islamic Feminist Fatema Mernissi.” n.d. NPR.org. </w:t>
      </w:r>
      <w:hyperlink r:id="rId11" w:history="1">
        <w:r w:rsidRPr="008C0D42">
          <w:t>https://www.npr.org/2015/12/10/459223430/remembering-islamic-feminist-fatema-mernissi</w:t>
        </w:r>
      </w:hyperlink>
      <w:r w:rsidRPr="000C58E5">
        <w:t>.</w:t>
      </w:r>
    </w:p>
    <w:p w14:paraId="5B6DEBBE" w14:textId="77777777" w:rsidR="00532FE4" w:rsidRPr="008C0D42" w:rsidRDefault="00532FE4" w:rsidP="00532FE4">
      <w:pPr>
        <w:ind w:left="720" w:hanging="720"/>
      </w:pPr>
      <w:r w:rsidRPr="000C58E5">
        <w:t xml:space="preserve">“Reset Dialogues on Civilizations | a Venue for All Tribes.” 2015. Reset Dialogues on Civilizations | a Venue for All Tribes. 2015. </w:t>
      </w:r>
      <w:hyperlink r:id="rId12" w:history="1">
        <w:r w:rsidRPr="008C0D42">
          <w:t>https://www.resetdoc.org/story/fatema-mernissi-the-pride-of-islamic-feminism-in-modern-times/</w:t>
        </w:r>
      </w:hyperlink>
      <w:r w:rsidRPr="008C0D42">
        <w:t>.</w:t>
      </w:r>
    </w:p>
    <w:p w14:paraId="22F9C07A" w14:textId="1A5154C4" w:rsidR="00532FE4" w:rsidRPr="000C58E5" w:rsidRDefault="00532FE4" w:rsidP="008F15A3">
      <w:pPr>
        <w:ind w:left="720" w:hanging="720"/>
      </w:pPr>
      <w:r w:rsidRPr="000C58E5">
        <w:rPr>
          <w:shd w:val="clear" w:color="auto" w:fill="FFFFFF"/>
        </w:rPr>
        <w:t>Saeed, Asia, Nabila Akbar, Izza Bilal Karori, and Muhammad Imran. "</w:t>
      </w:r>
      <w:r w:rsidR="00CB6703" w:rsidRPr="00CB6703">
        <w:rPr>
          <w:i/>
          <w:iCs/>
          <w:shd w:val="clear" w:color="auto" w:fill="FFFFFF"/>
        </w:rPr>
        <w:t>Re-Constructing Stereotypical Image Of Muslim Women: A Case Study Of Memoir; Dreams Of Trespass: Tales Of A Harem Girlhood By Fatima Mernissi</w:t>
      </w:r>
      <w:r w:rsidRPr="000C58E5">
        <w:rPr>
          <w:shd w:val="clear" w:color="auto" w:fill="FFFFFF"/>
        </w:rPr>
        <w:t>." Harf-o-Sukhan 4, no. 1 (2020): 21-33.</w:t>
      </w:r>
    </w:p>
    <w:p w14:paraId="6259C3BD" w14:textId="77777777" w:rsidR="00532FE4" w:rsidRPr="000C58E5" w:rsidRDefault="00532FE4" w:rsidP="008F15A3">
      <w:pPr>
        <w:ind w:left="720" w:hanging="720"/>
      </w:pPr>
      <w:r w:rsidRPr="000C58E5">
        <w:rPr>
          <w:shd w:val="clear" w:color="auto" w:fill="FFFFFF"/>
        </w:rPr>
        <w:t>Sarwar, Azam, and Hong Zeng. "Breaking free from patriarchal appropriation of sacred texts: An Islamic feminist critique of Bol." Asian Journal of Women's Studies 27, no. 4 (2021): 465-487.</w:t>
      </w:r>
    </w:p>
    <w:p w14:paraId="28B70513" w14:textId="77777777" w:rsidR="00532FE4" w:rsidRPr="000C58E5" w:rsidRDefault="00532FE4" w:rsidP="008F15A3">
      <w:pPr>
        <w:ind w:left="720" w:hanging="720"/>
      </w:pPr>
      <w:r w:rsidRPr="000C58E5">
        <w:rPr>
          <w:shd w:val="clear" w:color="auto" w:fill="FFFFFF"/>
        </w:rPr>
        <w:t>Shahin, Farah. "Islamic Feminism and Hegemonic Discourses on Faith and Gender in Islam." International Journal of Islam in Asia 1, no. 1 (2020): 27-48.</w:t>
      </w:r>
    </w:p>
    <w:p w14:paraId="104A7476" w14:textId="77777777" w:rsidR="00532FE4" w:rsidRPr="000C58E5" w:rsidRDefault="00532FE4" w:rsidP="008F15A3">
      <w:pPr>
        <w:ind w:left="720" w:hanging="720"/>
      </w:pPr>
      <w:r w:rsidRPr="000C58E5">
        <w:rPr>
          <w:shd w:val="clear" w:color="auto" w:fill="FFFFFF"/>
        </w:rPr>
        <w:t>Shehabuddin, Elora. Sisters in the Mirror: A History of Muslim Women and the Global Politics of Feminism. Univ of California Press, 2021.</w:t>
      </w:r>
    </w:p>
    <w:p w14:paraId="13627C15" w14:textId="77777777" w:rsidR="00532FE4" w:rsidRPr="000C58E5" w:rsidRDefault="00532FE4" w:rsidP="008F15A3">
      <w:pPr>
        <w:ind w:left="720" w:hanging="720"/>
      </w:pPr>
      <w:r w:rsidRPr="000C58E5">
        <w:rPr>
          <w:shd w:val="clear" w:color="auto" w:fill="FFFFFF"/>
        </w:rPr>
        <w:t>Stack, Roohi Khan. "An analysis of Muslim  women’s rights based on the works of Amina Wadud, Fatima Mernissi, and Riffat Hassan." PhD diss., Harvard University, 2020.</w:t>
      </w:r>
    </w:p>
    <w:p w14:paraId="443EE15C" w14:textId="77777777" w:rsidR="00532FE4" w:rsidRPr="000C58E5" w:rsidRDefault="00532FE4" w:rsidP="008F15A3">
      <w:pPr>
        <w:ind w:left="720" w:hanging="720"/>
      </w:pPr>
      <w:r w:rsidRPr="000C58E5">
        <w:rPr>
          <w:shd w:val="clear" w:color="auto" w:fill="FFFFFF"/>
        </w:rPr>
        <w:t>Tahiri, Halima. "Fatima Mernissi: Islamic Feminism and the Reinterpretation of Hadith as an Agent of Social Change."</w:t>
      </w:r>
    </w:p>
    <w:p w14:paraId="520450D4" w14:textId="1189A99A" w:rsidR="001C2911" w:rsidRPr="000C58E5" w:rsidRDefault="001C2911" w:rsidP="008F15A3">
      <w:pPr>
        <w:ind w:left="720" w:hanging="720"/>
      </w:pPr>
      <w:r w:rsidRPr="00BA0822">
        <w:lastRenderedPageBreak/>
        <w:t>Woolf, Daniel R. </w:t>
      </w:r>
      <w:r w:rsidRPr="001C2911">
        <w:rPr>
          <w:i/>
          <w:iCs/>
        </w:rPr>
        <w:t>The Oxford History of Historical Writing: Volume 5: Historical Writing Since 1945</w:t>
      </w:r>
      <w:r w:rsidRPr="00BA0822">
        <w:t>. </w:t>
      </w:r>
      <w:r>
        <w:t xml:space="preserve">(Oxford: </w:t>
      </w:r>
      <w:r w:rsidRPr="00BA0822">
        <w:t>O</w:t>
      </w:r>
      <w:r>
        <w:t>xford University Press</w:t>
      </w:r>
      <w:r w:rsidRPr="00BA0822">
        <w:t>, 2011</w:t>
      </w:r>
      <w:r>
        <w:t>)</w:t>
      </w:r>
    </w:p>
    <w:p w14:paraId="46BFAF8A" w14:textId="089CBE57" w:rsidR="000C58E5" w:rsidRPr="00441FBF" w:rsidRDefault="00532FE4" w:rsidP="00633CD9">
      <w:pPr>
        <w:ind w:left="720" w:hanging="720"/>
      </w:pPr>
      <w:r w:rsidRPr="000C58E5">
        <w:t>Zaid, Derif. n.d. “Veil and the Male Elite - a Feminist Interpretation of Womens Rights in Islam - [By,FatimaMernissi].Pdf.” </w:t>
      </w:r>
      <w:r w:rsidRPr="000C58E5">
        <w:rPr>
          <w:i/>
          <w:iCs/>
        </w:rPr>
        <w:t>Www.academia.edu</w:t>
      </w:r>
      <w:r w:rsidRPr="000C58E5">
        <w:t xml:space="preserve">. </w:t>
      </w:r>
      <w:hyperlink r:id="rId13" w:history="1">
        <w:r w:rsidRPr="00256BC2">
          <w:t>https://www.academia.edu/30969452/Veil_and_the_Male_Elite_A_Feminist_Interpretation_of_Womens_Rights_in_Islam_By_Fatima_Mernissi_pdf</w:t>
        </w:r>
      </w:hyperlink>
      <w:r w:rsidRPr="000C58E5">
        <w:t>.</w:t>
      </w:r>
    </w:p>
    <w:sectPr w:rsidR="000C58E5" w:rsidRPr="00441FBF">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755563" w14:textId="77777777" w:rsidR="000F4E75" w:rsidRDefault="000F4E75" w:rsidP="00BE75EB">
      <w:pPr>
        <w:spacing w:after="0" w:line="240" w:lineRule="auto"/>
      </w:pPr>
      <w:r>
        <w:separator/>
      </w:r>
    </w:p>
  </w:endnote>
  <w:endnote w:type="continuationSeparator" w:id="0">
    <w:p w14:paraId="03887DDE" w14:textId="77777777" w:rsidR="000F4E75" w:rsidRDefault="000F4E75" w:rsidP="00BE75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16D028" w14:textId="77777777" w:rsidR="000F4E75" w:rsidRDefault="000F4E75" w:rsidP="00BE75EB">
      <w:pPr>
        <w:spacing w:after="0" w:line="240" w:lineRule="auto"/>
      </w:pPr>
      <w:r>
        <w:separator/>
      </w:r>
    </w:p>
  </w:footnote>
  <w:footnote w:type="continuationSeparator" w:id="0">
    <w:p w14:paraId="1425C0AB" w14:textId="77777777" w:rsidR="000F4E75" w:rsidRDefault="000F4E75" w:rsidP="00BE75EB">
      <w:pPr>
        <w:spacing w:after="0" w:line="240" w:lineRule="auto"/>
      </w:pPr>
      <w:r>
        <w:continuationSeparator/>
      </w:r>
    </w:p>
  </w:footnote>
  <w:footnote w:id="1">
    <w:p w14:paraId="48A91B0F" w14:textId="77777777" w:rsidR="003C13C9" w:rsidRPr="00A0512C" w:rsidRDefault="003C13C9" w:rsidP="003C13C9">
      <w:pPr>
        <w:pStyle w:val="NormalWeb"/>
        <w:spacing w:before="0" w:beforeAutospacing="0" w:after="0" w:afterAutospacing="0"/>
        <w:ind w:left="720" w:hanging="720"/>
        <w:jc w:val="both"/>
        <w:rPr>
          <w:color w:val="000000"/>
          <w:sz w:val="20"/>
          <w:szCs w:val="20"/>
        </w:rPr>
      </w:pPr>
      <w:r>
        <w:rPr>
          <w:rStyle w:val="FootnoteReference"/>
        </w:rPr>
        <w:footnoteRef/>
      </w:r>
      <w:r>
        <w:t xml:space="preserve"> </w:t>
      </w:r>
      <w:r w:rsidRPr="00B762CA">
        <w:rPr>
          <w:color w:val="000000"/>
          <w:sz w:val="20"/>
          <w:szCs w:val="20"/>
        </w:rPr>
        <w:t>Fox, Margalit. 2015. “Fatema Mernissi, a Founder of Islamic Feminism, Dies at 75 (Published 2015).” </w:t>
      </w:r>
      <w:r w:rsidRPr="00B762CA">
        <w:rPr>
          <w:i/>
          <w:iCs/>
          <w:color w:val="000000"/>
          <w:sz w:val="20"/>
          <w:szCs w:val="20"/>
        </w:rPr>
        <w:t>The New York</w:t>
      </w:r>
      <w:r>
        <w:rPr>
          <w:i/>
          <w:iCs/>
          <w:color w:val="000000"/>
          <w:sz w:val="20"/>
          <w:szCs w:val="20"/>
        </w:rPr>
        <w:t xml:space="preserve"> </w:t>
      </w:r>
      <w:r w:rsidRPr="00B762CA">
        <w:rPr>
          <w:i/>
          <w:iCs/>
          <w:color w:val="000000"/>
          <w:sz w:val="20"/>
          <w:szCs w:val="20"/>
        </w:rPr>
        <w:t>Times</w:t>
      </w:r>
      <w:r w:rsidRPr="00B762CA">
        <w:rPr>
          <w:color w:val="000000"/>
          <w:sz w:val="20"/>
          <w:szCs w:val="20"/>
        </w:rPr>
        <w:t>, December 10, 2015, sec. World. https://www.nytimes.com/2015/12/10/world/middleeast/fatema-mernissi-a-founder-of-islamic-feminism-dies-at-75.html.</w:t>
      </w:r>
    </w:p>
  </w:footnote>
  <w:footnote w:id="2">
    <w:p w14:paraId="1A7FDC4D" w14:textId="77777777" w:rsidR="003C13C9" w:rsidRPr="00A0512C" w:rsidRDefault="003C13C9" w:rsidP="003C13C9">
      <w:pPr>
        <w:pStyle w:val="NormalWeb"/>
        <w:spacing w:before="0" w:beforeAutospacing="0" w:after="0" w:afterAutospacing="0"/>
        <w:ind w:left="720" w:hanging="720"/>
        <w:rPr>
          <w:color w:val="000000"/>
          <w:sz w:val="20"/>
          <w:szCs w:val="20"/>
        </w:rPr>
      </w:pPr>
      <w:r w:rsidRPr="00B762CA">
        <w:rPr>
          <w:rStyle w:val="FootnoteReference"/>
          <w:sz w:val="20"/>
          <w:szCs w:val="20"/>
        </w:rPr>
        <w:footnoteRef/>
      </w:r>
      <w:r w:rsidRPr="00B762CA">
        <w:rPr>
          <w:sz w:val="20"/>
          <w:szCs w:val="20"/>
        </w:rPr>
        <w:t xml:space="preserve"> </w:t>
      </w:r>
      <w:r w:rsidRPr="00B762CA">
        <w:rPr>
          <w:color w:val="000000"/>
          <w:sz w:val="20"/>
          <w:szCs w:val="20"/>
        </w:rPr>
        <w:t>“About Fatema.” n.d. Fatema Mernissi. Accessed October 4, 2023. https</w:t>
      </w:r>
      <w:r w:rsidRPr="004F05C3">
        <w:rPr>
          <w:color w:val="000000"/>
          <w:sz w:val="20"/>
          <w:szCs w:val="20"/>
        </w:rPr>
        <w:t>://fatemamernissi.com/about-us#:~:text=About%20Fatema%20Mernissi.</w:t>
      </w:r>
    </w:p>
  </w:footnote>
  <w:footnote w:id="3">
    <w:p w14:paraId="3633453F" w14:textId="77777777" w:rsidR="003C13C9" w:rsidRPr="00A0512C" w:rsidRDefault="003C13C9" w:rsidP="003C13C9">
      <w:pPr>
        <w:pStyle w:val="NormalWeb"/>
        <w:spacing w:before="0" w:beforeAutospacing="0" w:after="0" w:afterAutospacing="0"/>
        <w:ind w:left="720" w:hanging="720"/>
        <w:rPr>
          <w:color w:val="000000"/>
          <w:sz w:val="20"/>
          <w:szCs w:val="20"/>
        </w:rPr>
      </w:pPr>
      <w:r>
        <w:rPr>
          <w:rStyle w:val="FootnoteReference"/>
        </w:rPr>
        <w:footnoteRef/>
      </w:r>
      <w:r>
        <w:t xml:space="preserve"> </w:t>
      </w:r>
      <w:r w:rsidRPr="00B762CA">
        <w:rPr>
          <w:color w:val="000000"/>
          <w:sz w:val="20"/>
          <w:szCs w:val="20"/>
        </w:rPr>
        <w:t>“Inspiring Thursday: Fatema Mernissi - WOMEN against VIOLENCE EUROPE.” 2021. February 11, 2021. https://wave-network.org/inspiring-thursday-fatema-mernissi/.</w:t>
      </w:r>
    </w:p>
  </w:footnote>
  <w:footnote w:id="4">
    <w:p w14:paraId="67F46278" w14:textId="77777777" w:rsidR="003C13C9" w:rsidRPr="00CA2C53" w:rsidRDefault="003C13C9" w:rsidP="003C13C9">
      <w:pPr>
        <w:pStyle w:val="NormalWeb"/>
        <w:spacing w:before="0" w:beforeAutospacing="0" w:after="0" w:afterAutospacing="0"/>
        <w:ind w:left="720" w:hanging="720"/>
        <w:jc w:val="both"/>
        <w:rPr>
          <w:color w:val="000000"/>
          <w:sz w:val="20"/>
          <w:szCs w:val="20"/>
        </w:rPr>
      </w:pPr>
      <w:r>
        <w:rPr>
          <w:rStyle w:val="FootnoteReference"/>
        </w:rPr>
        <w:footnoteRef/>
      </w:r>
      <w:r>
        <w:t xml:space="preserve"> </w:t>
      </w:r>
      <w:r w:rsidRPr="00F60554">
        <w:rPr>
          <w:color w:val="000000"/>
          <w:sz w:val="20"/>
          <w:szCs w:val="20"/>
        </w:rPr>
        <w:t>“Fatema Mernissi.” n.d. Middle East Studies Association. https://mesana.org/awards/category/fatema-mernissi-book-award/biographical-sketch-of-fatema-mernissi.</w:t>
      </w:r>
    </w:p>
  </w:footnote>
  <w:footnote w:id="5">
    <w:p w14:paraId="2572749B" w14:textId="77777777" w:rsidR="003C13C9" w:rsidRPr="004F05C3" w:rsidRDefault="003C13C9" w:rsidP="003C13C9">
      <w:pPr>
        <w:pStyle w:val="FootnoteText"/>
        <w:rPr>
          <w:rFonts w:cs="Times New Roman"/>
        </w:rPr>
      </w:pPr>
      <w:r w:rsidRPr="004F05C3">
        <w:rPr>
          <w:rStyle w:val="FootnoteReference"/>
          <w:rFonts w:cs="Times New Roman"/>
        </w:rPr>
        <w:footnoteRef/>
      </w:r>
      <w:r w:rsidRPr="004F05C3">
        <w:rPr>
          <w:rFonts w:cs="Times New Roman"/>
        </w:rPr>
        <w:t xml:space="preserve"> </w:t>
      </w:r>
      <w:r w:rsidRPr="004F05C3">
        <w:rPr>
          <w:rFonts w:cs="Times New Roman"/>
          <w:color w:val="222222"/>
          <w:shd w:val="clear" w:color="auto" w:fill="FFFFFF"/>
        </w:rPr>
        <w:t>Cooke, Miriam. "Fatima Mernissi 1940–2015." </w:t>
      </w:r>
      <w:r w:rsidRPr="004F05C3">
        <w:rPr>
          <w:rFonts w:cs="Times New Roman"/>
          <w:i/>
          <w:iCs/>
          <w:color w:val="222222"/>
          <w:shd w:val="clear" w:color="auto" w:fill="FFFFFF"/>
        </w:rPr>
        <w:t>Review of Middle East Studies</w:t>
      </w:r>
      <w:r w:rsidRPr="004F05C3">
        <w:rPr>
          <w:rFonts w:cs="Times New Roman"/>
          <w:color w:val="222222"/>
          <w:shd w:val="clear" w:color="auto" w:fill="FFFFFF"/>
        </w:rPr>
        <w:t> 49, no. 2 (2015): 217-219.</w:t>
      </w:r>
    </w:p>
  </w:footnote>
  <w:footnote w:id="6">
    <w:p w14:paraId="42124AC3" w14:textId="77777777" w:rsidR="00532FE4" w:rsidRPr="00DE6D61" w:rsidRDefault="00532FE4">
      <w:pPr>
        <w:pStyle w:val="FootnoteText"/>
        <w:rPr>
          <w:rFonts w:cs="Times New Roman"/>
        </w:rPr>
      </w:pPr>
      <w:r w:rsidRPr="00DE6D61">
        <w:rPr>
          <w:rStyle w:val="FootnoteReference"/>
          <w:rFonts w:cs="Times New Roman"/>
        </w:rPr>
        <w:footnoteRef/>
      </w:r>
      <w:r w:rsidRPr="00DE6D61">
        <w:rPr>
          <w:rFonts w:cs="Times New Roman"/>
        </w:rPr>
        <w:t xml:space="preserve"> </w:t>
      </w:r>
      <w:r w:rsidRPr="00DE6D61">
        <w:rPr>
          <w:rFonts w:cs="Times New Roman"/>
          <w:color w:val="222222"/>
          <w:shd w:val="clear" w:color="auto" w:fill="FFFFFF"/>
        </w:rPr>
        <w:t>Djelloul, Ghaliya. "Islamic feminism: A contradiction in terms." </w:t>
      </w:r>
      <w:r w:rsidRPr="00DE6D61">
        <w:rPr>
          <w:rFonts w:cs="Times New Roman"/>
          <w:i/>
          <w:iCs/>
          <w:color w:val="222222"/>
          <w:shd w:val="clear" w:color="auto" w:fill="FFFFFF"/>
        </w:rPr>
        <w:t>Oroginal in French. Translated by Mike Routledge. First Published by La Revue Nouvelle</w:t>
      </w:r>
      <w:r w:rsidRPr="00DE6D61">
        <w:rPr>
          <w:rFonts w:cs="Times New Roman"/>
          <w:color w:val="222222"/>
          <w:shd w:val="clear" w:color="auto" w:fill="FFFFFF"/>
        </w:rPr>
        <w:t> 1 (2018): 2018.</w:t>
      </w:r>
    </w:p>
  </w:footnote>
  <w:footnote w:id="7">
    <w:p w14:paraId="52CAE1DF" w14:textId="77777777" w:rsidR="00532FE4" w:rsidRPr="00DE6D61" w:rsidRDefault="00532FE4">
      <w:pPr>
        <w:pStyle w:val="FootnoteText"/>
        <w:rPr>
          <w:rFonts w:cs="Times New Roman"/>
        </w:rPr>
      </w:pPr>
      <w:r w:rsidRPr="00DE6D61">
        <w:rPr>
          <w:rStyle w:val="FootnoteReference"/>
          <w:rFonts w:cs="Times New Roman"/>
        </w:rPr>
        <w:footnoteRef/>
      </w:r>
      <w:r w:rsidRPr="00DE6D61">
        <w:rPr>
          <w:rFonts w:cs="Times New Roman"/>
        </w:rPr>
        <w:t xml:space="preserve"> </w:t>
      </w:r>
      <w:r w:rsidRPr="00DE6D61">
        <w:rPr>
          <w:rFonts w:cs="Times New Roman"/>
          <w:color w:val="222222"/>
          <w:shd w:val="clear" w:color="auto" w:fill="FFFFFF"/>
        </w:rPr>
        <w:t>Mir-Hosseini, Ziba. "The challenges of Islamic feminism." </w:t>
      </w:r>
      <w:r w:rsidRPr="00DE6D61">
        <w:rPr>
          <w:rFonts w:cs="Times New Roman"/>
          <w:i/>
          <w:iCs/>
          <w:color w:val="222222"/>
          <w:shd w:val="clear" w:color="auto" w:fill="FFFFFF"/>
        </w:rPr>
        <w:t>Gender a výzkum</w:t>
      </w:r>
      <w:r w:rsidRPr="00DE6D61">
        <w:rPr>
          <w:rFonts w:cs="Times New Roman"/>
          <w:color w:val="222222"/>
          <w:shd w:val="clear" w:color="auto" w:fill="FFFFFF"/>
        </w:rPr>
        <w:t> 20, no. 2 (2019): 108-122.</w:t>
      </w:r>
    </w:p>
  </w:footnote>
  <w:footnote w:id="8">
    <w:p w14:paraId="4C480958" w14:textId="77777777" w:rsidR="00532FE4" w:rsidRPr="00DE6D61" w:rsidRDefault="00532FE4">
      <w:pPr>
        <w:pStyle w:val="FootnoteText"/>
        <w:rPr>
          <w:rFonts w:cs="Times New Roman"/>
        </w:rPr>
      </w:pPr>
      <w:r w:rsidRPr="00DE6D61">
        <w:rPr>
          <w:rStyle w:val="FootnoteReference"/>
          <w:rFonts w:cs="Times New Roman"/>
        </w:rPr>
        <w:footnoteRef/>
      </w:r>
      <w:r w:rsidRPr="00DE6D61">
        <w:rPr>
          <w:rFonts w:cs="Times New Roman"/>
        </w:rPr>
        <w:t xml:space="preserve"> </w:t>
      </w:r>
      <w:r w:rsidRPr="00DE6D61">
        <w:rPr>
          <w:rFonts w:cs="Times New Roman"/>
          <w:color w:val="222222"/>
          <w:shd w:val="clear" w:color="auto" w:fill="FFFFFF"/>
        </w:rPr>
        <w:t>Cooke, Miriam. "Multiple critique: Islamic feminist rhetorical strategies." In </w:t>
      </w:r>
      <w:r w:rsidRPr="00DE6D61">
        <w:rPr>
          <w:rFonts w:cs="Times New Roman"/>
          <w:i/>
          <w:iCs/>
          <w:color w:val="222222"/>
          <w:shd w:val="clear" w:color="auto" w:fill="FFFFFF"/>
        </w:rPr>
        <w:t>Postcolonialism, feminism and religious discourse</w:t>
      </w:r>
      <w:r w:rsidRPr="00DE6D61">
        <w:rPr>
          <w:rFonts w:cs="Times New Roman"/>
          <w:color w:val="222222"/>
          <w:shd w:val="clear" w:color="auto" w:fill="FFFFFF"/>
        </w:rPr>
        <w:t>, pp. 142-160. Routledge, 2015.</w:t>
      </w:r>
    </w:p>
  </w:footnote>
  <w:footnote w:id="9">
    <w:p w14:paraId="029B4CF0" w14:textId="77777777" w:rsidR="00532FE4" w:rsidRPr="00DE6D61" w:rsidRDefault="00532FE4">
      <w:pPr>
        <w:pStyle w:val="FootnoteText"/>
        <w:rPr>
          <w:rFonts w:cs="Times New Roman"/>
        </w:rPr>
      </w:pPr>
      <w:r w:rsidRPr="00DE6D61">
        <w:rPr>
          <w:rStyle w:val="FootnoteReference"/>
          <w:rFonts w:cs="Times New Roman"/>
        </w:rPr>
        <w:footnoteRef/>
      </w:r>
      <w:r w:rsidRPr="00DE6D61">
        <w:rPr>
          <w:rFonts w:cs="Times New Roman"/>
        </w:rPr>
        <w:t xml:space="preserve"> </w:t>
      </w:r>
      <w:r w:rsidRPr="00DE6D61">
        <w:rPr>
          <w:rFonts w:cs="Times New Roman"/>
          <w:color w:val="222222"/>
          <w:shd w:val="clear" w:color="auto" w:fill="FFFFFF"/>
        </w:rPr>
        <w:t>Rhouni, Raja. "Mernissi, Fatima." In </w:t>
      </w:r>
      <w:r w:rsidRPr="00DE6D61">
        <w:rPr>
          <w:rFonts w:cs="Times New Roman"/>
          <w:i/>
          <w:iCs/>
          <w:color w:val="222222"/>
          <w:shd w:val="clear" w:color="auto" w:fill="FFFFFF"/>
        </w:rPr>
        <w:t>Oxford Research Encyclopedia of African History</w:t>
      </w:r>
      <w:r w:rsidRPr="00DE6D61">
        <w:rPr>
          <w:rFonts w:cs="Times New Roman"/>
          <w:color w:val="222222"/>
          <w:shd w:val="clear" w:color="auto" w:fill="FFFFFF"/>
        </w:rPr>
        <w:t>. 2020.</w:t>
      </w:r>
    </w:p>
  </w:footnote>
  <w:footnote w:id="10">
    <w:p w14:paraId="1AE3501B" w14:textId="77777777" w:rsidR="00532FE4" w:rsidRPr="00DE6D61" w:rsidRDefault="00532FE4">
      <w:pPr>
        <w:pStyle w:val="FootnoteText"/>
        <w:rPr>
          <w:rFonts w:cs="Times New Roman"/>
        </w:rPr>
      </w:pPr>
      <w:r w:rsidRPr="00DE6D61">
        <w:rPr>
          <w:rStyle w:val="FootnoteReference"/>
          <w:rFonts w:cs="Times New Roman"/>
        </w:rPr>
        <w:footnoteRef/>
      </w:r>
      <w:r w:rsidRPr="00DE6D61">
        <w:rPr>
          <w:rFonts w:cs="Times New Roman"/>
        </w:rPr>
        <w:t xml:space="preserve"> </w:t>
      </w:r>
      <w:r w:rsidRPr="00DE6D61">
        <w:rPr>
          <w:rFonts w:cs="Times New Roman"/>
          <w:color w:val="222222"/>
          <w:shd w:val="clear" w:color="auto" w:fill="FFFFFF"/>
        </w:rPr>
        <w:t>Ennaji, Moha. "Mernissi’s impact on Islamic feminism: a critique of the religious approach." </w:t>
      </w:r>
      <w:r w:rsidRPr="00DE6D61">
        <w:rPr>
          <w:rFonts w:cs="Times New Roman"/>
          <w:i/>
          <w:iCs/>
          <w:color w:val="222222"/>
          <w:shd w:val="clear" w:color="auto" w:fill="FFFFFF"/>
        </w:rPr>
        <w:t>British Journal of Middle Eastern Studies</w:t>
      </w:r>
      <w:r w:rsidRPr="00DE6D61">
        <w:rPr>
          <w:rFonts w:cs="Times New Roman"/>
          <w:color w:val="222222"/>
          <w:shd w:val="clear" w:color="auto" w:fill="FFFFFF"/>
        </w:rPr>
        <w:t> 49, no. 4 (2022): 629-651.</w:t>
      </w:r>
    </w:p>
  </w:footnote>
  <w:footnote w:id="11">
    <w:p w14:paraId="1D84E924" w14:textId="77777777" w:rsidR="00532FE4" w:rsidRPr="00DE6D61" w:rsidRDefault="00532FE4">
      <w:pPr>
        <w:pStyle w:val="FootnoteText"/>
        <w:rPr>
          <w:rFonts w:cs="Times New Roman"/>
        </w:rPr>
      </w:pPr>
      <w:r w:rsidRPr="00DE6D61">
        <w:rPr>
          <w:rStyle w:val="FootnoteReference"/>
          <w:rFonts w:cs="Times New Roman"/>
        </w:rPr>
        <w:footnoteRef/>
      </w:r>
      <w:r w:rsidRPr="00DE6D61">
        <w:rPr>
          <w:rFonts w:cs="Times New Roman"/>
        </w:rPr>
        <w:t xml:space="preserve"> </w:t>
      </w:r>
      <w:r w:rsidRPr="00DE6D61">
        <w:rPr>
          <w:rFonts w:cs="Times New Roman"/>
          <w:color w:val="222222"/>
          <w:shd w:val="clear" w:color="auto" w:fill="FFFFFF"/>
        </w:rPr>
        <w:t>Navarro, Laura. "Approaching feminism from the margins: The case of Islamic feminisms." </w:t>
      </w:r>
      <w:r w:rsidRPr="00DE6D61">
        <w:rPr>
          <w:rFonts w:cs="Times New Roman"/>
          <w:i/>
          <w:iCs/>
          <w:color w:val="222222"/>
          <w:shd w:val="clear" w:color="auto" w:fill="FFFFFF"/>
        </w:rPr>
        <w:t>Alternatif Politika</w:t>
      </w:r>
      <w:r w:rsidRPr="00DE6D61">
        <w:rPr>
          <w:rFonts w:cs="Times New Roman"/>
          <w:color w:val="222222"/>
          <w:shd w:val="clear" w:color="auto" w:fill="FFFFFF"/>
        </w:rPr>
        <w:t> 8, no. Special (2016): 82-94.</w:t>
      </w:r>
    </w:p>
  </w:footnote>
  <w:footnote w:id="12">
    <w:p w14:paraId="0EF0BF95" w14:textId="77777777" w:rsidR="00532FE4" w:rsidRPr="00DE6D61" w:rsidRDefault="00532FE4">
      <w:pPr>
        <w:pStyle w:val="FootnoteText"/>
        <w:rPr>
          <w:rFonts w:cs="Times New Roman"/>
        </w:rPr>
      </w:pPr>
      <w:r w:rsidRPr="00DE6D61">
        <w:rPr>
          <w:rStyle w:val="FootnoteReference"/>
          <w:rFonts w:cs="Times New Roman"/>
        </w:rPr>
        <w:footnoteRef/>
      </w:r>
      <w:r w:rsidRPr="00DE6D61">
        <w:rPr>
          <w:rFonts w:cs="Times New Roman"/>
        </w:rPr>
        <w:t xml:space="preserve"> </w:t>
      </w:r>
      <w:r w:rsidRPr="00DE6D61">
        <w:rPr>
          <w:rFonts w:cs="Times New Roman"/>
          <w:color w:val="222222"/>
          <w:shd w:val="clear" w:color="auto" w:fill="FFFFFF"/>
        </w:rPr>
        <w:t>Shehabuddin, Elora. </w:t>
      </w:r>
      <w:r w:rsidRPr="00DE6D61">
        <w:rPr>
          <w:rFonts w:cs="Times New Roman"/>
          <w:i/>
          <w:iCs/>
          <w:color w:val="222222"/>
          <w:shd w:val="clear" w:color="auto" w:fill="FFFFFF"/>
        </w:rPr>
        <w:t>Sisters in the Mirror: A History of Muslim Women and the Global Politics of Feminism</w:t>
      </w:r>
      <w:r w:rsidRPr="00DE6D61">
        <w:rPr>
          <w:rFonts w:cs="Times New Roman"/>
          <w:color w:val="222222"/>
          <w:shd w:val="clear" w:color="auto" w:fill="FFFFFF"/>
        </w:rPr>
        <w:t>. Univ of California Press, 2021.</w:t>
      </w:r>
    </w:p>
  </w:footnote>
  <w:footnote w:id="13">
    <w:p w14:paraId="0ED0C45F" w14:textId="064F2346" w:rsidR="00B11CB2" w:rsidRPr="00B11CB2" w:rsidRDefault="00B11CB2">
      <w:pPr>
        <w:pStyle w:val="FootnoteText"/>
        <w:rPr>
          <w:rFonts w:cs="Times New Roman"/>
          <w:color w:val="404040" w:themeColor="text1" w:themeTint="BF"/>
        </w:rPr>
      </w:pPr>
      <w:r w:rsidRPr="00B11CB2">
        <w:rPr>
          <w:rStyle w:val="FootnoteReference"/>
          <w:rFonts w:cs="Times New Roman"/>
          <w:color w:val="404040" w:themeColor="text1" w:themeTint="BF"/>
        </w:rPr>
        <w:footnoteRef/>
      </w:r>
      <w:r w:rsidRPr="00B11CB2">
        <w:rPr>
          <w:rFonts w:cs="Times New Roman"/>
          <w:color w:val="404040" w:themeColor="text1" w:themeTint="BF"/>
        </w:rPr>
        <w:t xml:space="preserve"> </w:t>
      </w:r>
      <w:r>
        <w:rPr>
          <w:rFonts w:cs="Times New Roman"/>
          <w:color w:val="404040" w:themeColor="text1" w:themeTint="BF"/>
        </w:rPr>
        <w:t xml:space="preserve">E. </w:t>
      </w:r>
      <w:r w:rsidRPr="00B11CB2">
        <w:rPr>
          <w:rFonts w:cs="Times New Roman"/>
          <w:color w:val="404040" w:themeColor="text1" w:themeTint="BF"/>
        </w:rPr>
        <w:t>A</w:t>
      </w:r>
      <w:r w:rsidRPr="00B11CB2">
        <w:rPr>
          <w:rFonts w:cs="Times New Roman"/>
          <w:color w:val="404040" w:themeColor="text1" w:themeTint="BF"/>
          <w:shd w:val="clear" w:color="auto" w:fill="FFFFFF"/>
        </w:rPr>
        <w:t>bdelkader</w:t>
      </w:r>
      <w:r>
        <w:rPr>
          <w:rFonts w:cs="Times New Roman"/>
          <w:color w:val="404040" w:themeColor="text1" w:themeTint="BF"/>
          <w:shd w:val="clear" w:color="auto" w:fill="FFFFFF"/>
        </w:rPr>
        <w:t>,</w:t>
      </w:r>
      <w:r w:rsidRPr="00B11CB2">
        <w:rPr>
          <w:rFonts w:cs="Times New Roman"/>
          <w:color w:val="404040" w:themeColor="text1" w:themeTint="BF"/>
          <w:shd w:val="clear" w:color="auto" w:fill="FFFFFF"/>
        </w:rPr>
        <w:t xml:space="preserve"> (2010). From Aisha bint Abu Bakr to Asmaa Mahfouz: The Legacy of Muslim Women in Populist Revolutions. </w:t>
      </w:r>
      <w:r w:rsidRPr="00B11CB2">
        <w:rPr>
          <w:rStyle w:val="Emphasis"/>
          <w:rFonts w:cs="Times New Roman"/>
          <w:color w:val="404040" w:themeColor="text1" w:themeTint="BF"/>
          <w:shd w:val="clear" w:color="auto" w:fill="FFFFFF"/>
        </w:rPr>
        <w:t>Yearbook of Islamic and Middle Eastern Law Online</w:t>
      </w:r>
      <w:r w:rsidRPr="00B11CB2">
        <w:rPr>
          <w:rFonts w:cs="Times New Roman"/>
          <w:color w:val="404040" w:themeColor="text1" w:themeTint="BF"/>
          <w:shd w:val="clear" w:color="auto" w:fill="FFFFFF"/>
        </w:rPr>
        <w:t>, </w:t>
      </w:r>
      <w:r w:rsidRPr="00B11CB2">
        <w:rPr>
          <w:rStyle w:val="Emphasis"/>
          <w:rFonts w:cs="Times New Roman"/>
          <w:color w:val="404040" w:themeColor="text1" w:themeTint="BF"/>
          <w:shd w:val="clear" w:color="auto" w:fill="FFFFFF"/>
        </w:rPr>
        <w:t>16</w:t>
      </w:r>
      <w:r w:rsidRPr="00B11CB2">
        <w:rPr>
          <w:rFonts w:cs="Times New Roman"/>
          <w:color w:val="404040" w:themeColor="text1" w:themeTint="BF"/>
          <w:shd w:val="clear" w:color="auto" w:fill="FFFFFF"/>
        </w:rPr>
        <w:t>(1), 53-68, p57.</w:t>
      </w:r>
    </w:p>
  </w:footnote>
  <w:footnote w:id="14">
    <w:p w14:paraId="62E9131D" w14:textId="239F1C8A" w:rsidR="00B11CB2" w:rsidRPr="00B11CB2" w:rsidRDefault="00B11CB2">
      <w:pPr>
        <w:pStyle w:val="FootnoteText"/>
      </w:pPr>
      <w:r w:rsidRPr="007B02CA">
        <w:rPr>
          <w:rStyle w:val="FootnoteReference"/>
        </w:rPr>
        <w:footnoteRef/>
      </w:r>
      <w:r w:rsidRPr="007B02CA">
        <w:t xml:space="preserve"> </w:t>
      </w:r>
      <w:bookmarkStart w:id="0" w:name="_Hlk150868435"/>
      <w:r w:rsidR="007E211C" w:rsidRPr="007B02CA">
        <w:rPr>
          <w:rFonts w:cs="Times New Roman"/>
          <w:shd w:val="clear" w:color="auto" w:fill="FFFFFF"/>
        </w:rPr>
        <w:t>Ebrahim Moosa, Jeffrey T. Kenney</w:t>
      </w:r>
      <w:r w:rsidR="007E211C" w:rsidRPr="007B02CA">
        <w:t xml:space="preserve">, eds. </w:t>
      </w:r>
      <w:r w:rsidR="007E211C" w:rsidRPr="007B02CA">
        <w:rPr>
          <w:i/>
          <w:iCs/>
        </w:rPr>
        <w:t>Islam in the Modern World</w:t>
      </w:r>
      <w:r w:rsidR="007E211C" w:rsidRPr="007B02CA">
        <w:t>. </w:t>
      </w:r>
      <w:r w:rsidR="007B02CA" w:rsidRPr="007B02CA">
        <w:t>(Abingdon:</w:t>
      </w:r>
      <w:r w:rsidR="007E211C" w:rsidRPr="007B02CA">
        <w:t> Taylor &amp; Francis, 2013</w:t>
      </w:r>
      <w:r w:rsidR="007B02CA" w:rsidRPr="007B02CA">
        <w:t>), p128</w:t>
      </w:r>
      <w:bookmarkEnd w:id="0"/>
      <w:r w:rsidR="007E211C" w:rsidRPr="007E211C">
        <w:t>.</w:t>
      </w:r>
    </w:p>
  </w:footnote>
  <w:footnote w:id="15">
    <w:p w14:paraId="0BB62EFE" w14:textId="77777777" w:rsidR="003C13C9" w:rsidRPr="00DE6D61" w:rsidRDefault="003C13C9" w:rsidP="003C13C9">
      <w:pPr>
        <w:pStyle w:val="FootnoteText"/>
        <w:rPr>
          <w:rFonts w:cs="Times New Roman"/>
        </w:rPr>
      </w:pPr>
      <w:r w:rsidRPr="00DE6D61">
        <w:rPr>
          <w:rStyle w:val="FootnoteReference"/>
          <w:rFonts w:cs="Times New Roman"/>
        </w:rPr>
        <w:footnoteRef/>
      </w:r>
      <w:r w:rsidRPr="00DE6D61">
        <w:rPr>
          <w:rFonts w:cs="Times New Roman"/>
        </w:rPr>
        <w:t xml:space="preserve"> </w:t>
      </w:r>
      <w:r w:rsidRPr="00DE6D61">
        <w:rPr>
          <w:rFonts w:cs="Times New Roman"/>
          <w:color w:val="222222"/>
          <w:shd w:val="clear" w:color="auto" w:fill="FFFFFF"/>
        </w:rPr>
        <w:t>Cooke, Miriam. "Multiple critique: Islamic feminist rhetorical strategies." In </w:t>
      </w:r>
      <w:r w:rsidRPr="00DE6D61">
        <w:rPr>
          <w:rFonts w:cs="Times New Roman"/>
          <w:i/>
          <w:iCs/>
          <w:color w:val="222222"/>
          <w:shd w:val="clear" w:color="auto" w:fill="FFFFFF"/>
        </w:rPr>
        <w:t>Postcolonialism, feminism and religious discourse</w:t>
      </w:r>
      <w:r w:rsidRPr="00DE6D61">
        <w:rPr>
          <w:rFonts w:cs="Times New Roman"/>
          <w:color w:val="222222"/>
          <w:shd w:val="clear" w:color="auto" w:fill="FFFFFF"/>
        </w:rPr>
        <w:t>, pp. 142-160. Routledge, 2015.</w:t>
      </w:r>
    </w:p>
  </w:footnote>
  <w:footnote w:id="16">
    <w:p w14:paraId="720E54D8" w14:textId="77777777" w:rsidR="00532FE4" w:rsidRPr="00DE6D61" w:rsidRDefault="00532FE4" w:rsidP="00DE6D61">
      <w:pPr>
        <w:pStyle w:val="FootnoteText"/>
        <w:rPr>
          <w:rFonts w:cs="Times New Roman"/>
        </w:rPr>
      </w:pPr>
      <w:r w:rsidRPr="00DE6D61">
        <w:rPr>
          <w:rStyle w:val="FootnoteReference"/>
          <w:rFonts w:cs="Times New Roman"/>
        </w:rPr>
        <w:footnoteRef/>
      </w:r>
      <w:r w:rsidRPr="00DE6D61">
        <w:rPr>
          <w:rFonts w:cs="Times New Roman"/>
        </w:rPr>
        <w:t xml:space="preserve"> </w:t>
      </w:r>
      <w:r w:rsidRPr="00DE6D61">
        <w:rPr>
          <w:rFonts w:cs="Times New Roman"/>
          <w:color w:val="222222"/>
          <w:shd w:val="clear" w:color="auto" w:fill="FFFFFF"/>
        </w:rPr>
        <w:t>Muhibbu-Din, Mahmudat O. "Feminism and modern Islamic politics: The fact and the fallacy." </w:t>
      </w:r>
      <w:r w:rsidRPr="00DE6D61">
        <w:rPr>
          <w:rFonts w:cs="Times New Roman"/>
          <w:i/>
          <w:iCs/>
          <w:color w:val="222222"/>
          <w:shd w:val="clear" w:color="auto" w:fill="FFFFFF"/>
        </w:rPr>
        <w:t>International Journal of Islamic Thought</w:t>
      </w:r>
      <w:r w:rsidRPr="00DE6D61">
        <w:rPr>
          <w:rFonts w:cs="Times New Roman"/>
          <w:color w:val="222222"/>
          <w:shd w:val="clear" w:color="auto" w:fill="FFFFFF"/>
        </w:rPr>
        <w:t> 15 (2019): 44-59.</w:t>
      </w:r>
    </w:p>
  </w:footnote>
  <w:footnote w:id="17">
    <w:p w14:paraId="2AD9E898" w14:textId="77777777" w:rsidR="00532FE4" w:rsidRPr="00DE6D61" w:rsidRDefault="00532FE4" w:rsidP="00DE6D61">
      <w:pPr>
        <w:pStyle w:val="FootnoteText"/>
        <w:rPr>
          <w:rFonts w:cs="Times New Roman"/>
        </w:rPr>
      </w:pPr>
      <w:r w:rsidRPr="00DE6D61">
        <w:rPr>
          <w:rStyle w:val="FootnoteReference"/>
          <w:rFonts w:cs="Times New Roman"/>
        </w:rPr>
        <w:footnoteRef/>
      </w:r>
      <w:r w:rsidRPr="00DE6D61">
        <w:rPr>
          <w:rFonts w:cs="Times New Roman"/>
        </w:rPr>
        <w:t xml:space="preserve"> </w:t>
      </w:r>
      <w:r w:rsidRPr="00DE6D61">
        <w:rPr>
          <w:rFonts w:cs="Times New Roman"/>
          <w:color w:val="222222"/>
          <w:shd w:val="clear" w:color="auto" w:fill="FFFFFF"/>
        </w:rPr>
        <w:t>Moghissi, Haideh. </w:t>
      </w:r>
      <w:r w:rsidRPr="00DE6D61">
        <w:rPr>
          <w:rFonts w:cs="Times New Roman"/>
          <w:i/>
          <w:iCs/>
          <w:color w:val="222222"/>
          <w:shd w:val="clear" w:color="auto" w:fill="FFFFFF"/>
        </w:rPr>
        <w:t>Populism and feminism in Iran: Women’s struggle in a male-defined revolutionary movement</w:t>
      </w:r>
      <w:r w:rsidRPr="00DE6D61">
        <w:rPr>
          <w:rFonts w:cs="Times New Roman"/>
          <w:color w:val="222222"/>
          <w:shd w:val="clear" w:color="auto" w:fill="FFFFFF"/>
        </w:rPr>
        <w:t>. Springer, 2016.</w:t>
      </w:r>
    </w:p>
  </w:footnote>
  <w:footnote w:id="18">
    <w:p w14:paraId="04BCC818" w14:textId="77777777" w:rsidR="00532FE4" w:rsidRPr="00DE6D61" w:rsidRDefault="00532FE4" w:rsidP="00DE6D61">
      <w:pPr>
        <w:pStyle w:val="FootnoteText"/>
        <w:rPr>
          <w:rFonts w:cs="Times New Roman"/>
        </w:rPr>
      </w:pPr>
      <w:r w:rsidRPr="00DE6D61">
        <w:rPr>
          <w:rStyle w:val="FootnoteReference"/>
          <w:rFonts w:cs="Times New Roman"/>
        </w:rPr>
        <w:footnoteRef/>
      </w:r>
      <w:r w:rsidRPr="00DE6D61">
        <w:rPr>
          <w:rFonts w:cs="Times New Roman"/>
        </w:rPr>
        <w:t xml:space="preserve"> </w:t>
      </w:r>
      <w:r w:rsidRPr="00DE6D61">
        <w:rPr>
          <w:rFonts w:cs="Times New Roman"/>
          <w:color w:val="222222"/>
          <w:shd w:val="clear" w:color="auto" w:fill="FFFFFF"/>
        </w:rPr>
        <w:t>Jayawardena, Kumari. </w:t>
      </w:r>
      <w:r w:rsidRPr="00DE6D61">
        <w:rPr>
          <w:rFonts w:cs="Times New Roman"/>
          <w:i/>
          <w:iCs/>
          <w:color w:val="222222"/>
          <w:shd w:val="clear" w:color="auto" w:fill="FFFFFF"/>
        </w:rPr>
        <w:t>Feminism and nationalism in the Third World</w:t>
      </w:r>
      <w:r w:rsidRPr="00DE6D61">
        <w:rPr>
          <w:rFonts w:cs="Times New Roman"/>
          <w:color w:val="222222"/>
          <w:shd w:val="clear" w:color="auto" w:fill="FFFFFF"/>
        </w:rPr>
        <w:t>. Verso Books, 2016.</w:t>
      </w:r>
    </w:p>
  </w:footnote>
  <w:footnote w:id="19">
    <w:p w14:paraId="3F750A09" w14:textId="77777777" w:rsidR="00B375CD" w:rsidRPr="00DE6D61" w:rsidRDefault="00B375CD" w:rsidP="00B375CD">
      <w:pPr>
        <w:pStyle w:val="FootnoteText"/>
        <w:rPr>
          <w:rFonts w:cs="Times New Roman"/>
        </w:rPr>
      </w:pPr>
      <w:r w:rsidRPr="00DE6D61">
        <w:rPr>
          <w:rStyle w:val="FootnoteReference"/>
          <w:rFonts w:cs="Times New Roman"/>
        </w:rPr>
        <w:footnoteRef/>
      </w:r>
      <w:r w:rsidRPr="00DE6D61">
        <w:rPr>
          <w:rFonts w:cs="Times New Roman"/>
        </w:rPr>
        <w:t xml:space="preserve"> </w:t>
      </w:r>
      <w:r w:rsidRPr="00DE6D61">
        <w:rPr>
          <w:rFonts w:cs="Times New Roman"/>
          <w:color w:val="222222"/>
          <w:shd w:val="clear" w:color="auto" w:fill="FFFFFF"/>
        </w:rPr>
        <w:t>Khattab, Moushira. "The struggle of Egyptian women for equal rights continues: Two steps forward, one step backward." </w:t>
      </w:r>
      <w:r w:rsidRPr="00DE6D61">
        <w:rPr>
          <w:rFonts w:cs="Times New Roman"/>
          <w:i/>
          <w:iCs/>
          <w:color w:val="222222"/>
          <w:shd w:val="clear" w:color="auto" w:fill="FFFFFF"/>
        </w:rPr>
        <w:t>Women’s Movements in Post-“Arab Spring” North Africa</w:t>
      </w:r>
      <w:r w:rsidRPr="00DE6D61">
        <w:rPr>
          <w:rFonts w:cs="Times New Roman"/>
          <w:color w:val="222222"/>
          <w:shd w:val="clear" w:color="auto" w:fill="FFFFFF"/>
        </w:rPr>
        <w:t> (2016): 127-142.</w:t>
      </w:r>
    </w:p>
  </w:footnote>
  <w:footnote w:id="20">
    <w:p w14:paraId="2A629CC3" w14:textId="77777777" w:rsidR="00532FE4" w:rsidRPr="00DA479A" w:rsidRDefault="00532FE4">
      <w:pPr>
        <w:pStyle w:val="FootnoteText"/>
        <w:rPr>
          <w:rFonts w:cs="Times New Roman"/>
        </w:rPr>
      </w:pPr>
      <w:r w:rsidRPr="00DA479A">
        <w:rPr>
          <w:rStyle w:val="FootnoteReference"/>
          <w:rFonts w:cs="Times New Roman"/>
        </w:rPr>
        <w:footnoteRef/>
      </w:r>
      <w:r w:rsidRPr="00DA479A">
        <w:rPr>
          <w:rFonts w:cs="Times New Roman"/>
        </w:rPr>
        <w:t xml:space="preserve"> </w:t>
      </w:r>
      <w:r w:rsidRPr="00DA479A">
        <w:rPr>
          <w:rFonts w:cs="Times New Roman"/>
          <w:color w:val="222222"/>
          <w:shd w:val="clear" w:color="auto" w:fill="FFFFFF"/>
        </w:rPr>
        <w:t>Fleischmann, Ellen L. "The other “awakening”: The emergence of women’s movements in the modern Middle East, 1900–1940." In </w:t>
      </w:r>
      <w:r w:rsidRPr="00DA479A">
        <w:rPr>
          <w:rFonts w:cs="Times New Roman"/>
          <w:i/>
          <w:iCs/>
          <w:color w:val="222222"/>
          <w:shd w:val="clear" w:color="auto" w:fill="FFFFFF"/>
        </w:rPr>
        <w:t>A Social History of Women and Gender in the Modern Middle East</w:t>
      </w:r>
      <w:r w:rsidRPr="00DA479A">
        <w:rPr>
          <w:rFonts w:cs="Times New Roman"/>
          <w:color w:val="222222"/>
          <w:shd w:val="clear" w:color="auto" w:fill="FFFFFF"/>
        </w:rPr>
        <w:t>, pp. 89-139. Routledge, 2018.</w:t>
      </w:r>
    </w:p>
  </w:footnote>
  <w:footnote w:id="21">
    <w:p w14:paraId="2B16E45A" w14:textId="11F6595D" w:rsidR="00B375CD" w:rsidRPr="00B375CD" w:rsidRDefault="00B375CD">
      <w:pPr>
        <w:pStyle w:val="FootnoteText"/>
        <w:rPr>
          <w:lang w:val="en-GB"/>
        </w:rPr>
      </w:pPr>
      <w:r>
        <w:rPr>
          <w:rStyle w:val="FootnoteReference"/>
        </w:rPr>
        <w:footnoteRef/>
      </w:r>
      <w:r>
        <w:t xml:space="preserve"> </w:t>
      </w:r>
      <w:r w:rsidRPr="00B375CD">
        <w:t>Elora</w:t>
      </w:r>
      <w:r>
        <w:t>,</w:t>
      </w:r>
      <w:r w:rsidRPr="00B375CD">
        <w:t>Shehabuddin. Sisters in the Mirror: A History of Muslim Women and the Global Politics of Feminism. United States, University of California Press, 2021</w:t>
      </w:r>
      <w:r>
        <w:t>, p163.</w:t>
      </w:r>
    </w:p>
  </w:footnote>
  <w:footnote w:id="22">
    <w:p w14:paraId="2424A7AE" w14:textId="77777777" w:rsidR="00532FE4" w:rsidRPr="00DA479A" w:rsidRDefault="00532FE4">
      <w:pPr>
        <w:pStyle w:val="FootnoteText"/>
        <w:rPr>
          <w:rFonts w:cs="Times New Roman"/>
        </w:rPr>
      </w:pPr>
      <w:r w:rsidRPr="00DA479A">
        <w:rPr>
          <w:rStyle w:val="FootnoteReference"/>
          <w:rFonts w:cs="Times New Roman"/>
        </w:rPr>
        <w:footnoteRef/>
      </w:r>
      <w:r w:rsidRPr="00DA479A">
        <w:rPr>
          <w:rFonts w:cs="Times New Roman"/>
        </w:rPr>
        <w:t xml:space="preserve"> </w:t>
      </w:r>
      <w:r w:rsidRPr="00DA479A">
        <w:rPr>
          <w:rFonts w:cs="Times New Roman"/>
          <w:color w:val="222222"/>
          <w:shd w:val="clear" w:color="auto" w:fill="FFFFFF"/>
        </w:rPr>
        <w:t>Manzoor, Asma, Seema Manzoor, and UmmeHani Rummana Zaheer. "Economic AND Political Leadership Role OF Muslim Women In Global Context." </w:t>
      </w:r>
      <w:r w:rsidRPr="00DA479A">
        <w:rPr>
          <w:rFonts w:cs="Times New Roman"/>
          <w:i/>
          <w:iCs/>
          <w:color w:val="222222"/>
          <w:shd w:val="clear" w:color="auto" w:fill="FFFFFF"/>
        </w:rPr>
        <w:t>Journal of Positive School Psychology</w:t>
      </w:r>
      <w:r w:rsidRPr="00DA479A">
        <w:rPr>
          <w:rFonts w:cs="Times New Roman"/>
          <w:color w:val="222222"/>
          <w:shd w:val="clear" w:color="auto" w:fill="FFFFFF"/>
        </w:rPr>
        <w:t> 7, no. 6 (2023): 1217-1226.</w:t>
      </w:r>
    </w:p>
  </w:footnote>
  <w:footnote w:id="23">
    <w:p w14:paraId="2D417296" w14:textId="77777777" w:rsidR="00532FE4" w:rsidRPr="00DA479A" w:rsidRDefault="00532FE4">
      <w:pPr>
        <w:pStyle w:val="FootnoteText"/>
        <w:rPr>
          <w:rFonts w:cs="Times New Roman"/>
        </w:rPr>
      </w:pPr>
      <w:r w:rsidRPr="00DA479A">
        <w:rPr>
          <w:rStyle w:val="FootnoteReference"/>
          <w:rFonts w:cs="Times New Roman"/>
        </w:rPr>
        <w:footnoteRef/>
      </w:r>
      <w:r w:rsidRPr="00DA479A">
        <w:rPr>
          <w:rFonts w:cs="Times New Roman"/>
        </w:rPr>
        <w:t xml:space="preserve"> </w:t>
      </w:r>
      <w:r w:rsidRPr="00DA479A">
        <w:rPr>
          <w:rFonts w:cs="Times New Roman"/>
          <w:color w:val="222222"/>
          <w:shd w:val="clear" w:color="auto" w:fill="FFFFFF"/>
        </w:rPr>
        <w:t>Djelloul, Ghaliya. "Islamic feminism: A contradiction in terms." </w:t>
      </w:r>
      <w:r w:rsidRPr="00DA479A">
        <w:rPr>
          <w:rFonts w:cs="Times New Roman"/>
          <w:i/>
          <w:iCs/>
          <w:color w:val="222222"/>
          <w:shd w:val="clear" w:color="auto" w:fill="FFFFFF"/>
        </w:rPr>
        <w:t>Oroginal in French. Translated by Mike Routledge. First Published by La Revue Nouvelle</w:t>
      </w:r>
      <w:r w:rsidRPr="00DA479A">
        <w:rPr>
          <w:rFonts w:cs="Times New Roman"/>
          <w:color w:val="222222"/>
          <w:shd w:val="clear" w:color="auto" w:fill="FFFFFF"/>
        </w:rPr>
        <w:t> 1 (2018): 2018.</w:t>
      </w:r>
    </w:p>
  </w:footnote>
  <w:footnote w:id="24">
    <w:p w14:paraId="42D5BD0F" w14:textId="77777777" w:rsidR="00532FE4" w:rsidRPr="00DA479A" w:rsidRDefault="00532FE4">
      <w:pPr>
        <w:pStyle w:val="FootnoteText"/>
        <w:rPr>
          <w:rFonts w:cs="Times New Roman"/>
        </w:rPr>
      </w:pPr>
      <w:r w:rsidRPr="00DA479A">
        <w:rPr>
          <w:rStyle w:val="FootnoteReference"/>
          <w:rFonts w:cs="Times New Roman"/>
        </w:rPr>
        <w:footnoteRef/>
      </w:r>
      <w:r w:rsidRPr="00DA479A">
        <w:rPr>
          <w:rFonts w:cs="Times New Roman"/>
        </w:rPr>
        <w:t xml:space="preserve"> </w:t>
      </w:r>
      <w:r w:rsidRPr="00DA479A">
        <w:rPr>
          <w:rFonts w:cs="Times New Roman"/>
          <w:color w:val="222222"/>
          <w:shd w:val="clear" w:color="auto" w:fill="FFFFFF"/>
        </w:rPr>
        <w:t>Stack, Roohi Khan. "An analysis of Muslim  women’s rights based on the works of Amina Wadud, Fatima Mernissi, and Riffat Hassan." PhD diss., Harvard University, 2020.</w:t>
      </w:r>
    </w:p>
  </w:footnote>
  <w:footnote w:id="25">
    <w:p w14:paraId="1CC2B6C0" w14:textId="77777777" w:rsidR="00532FE4" w:rsidRPr="00DA479A" w:rsidRDefault="00532FE4">
      <w:pPr>
        <w:pStyle w:val="FootnoteText"/>
        <w:rPr>
          <w:rFonts w:cs="Times New Roman"/>
        </w:rPr>
      </w:pPr>
      <w:r w:rsidRPr="00DA479A">
        <w:rPr>
          <w:rStyle w:val="FootnoteReference"/>
          <w:rFonts w:cs="Times New Roman"/>
        </w:rPr>
        <w:footnoteRef/>
      </w:r>
      <w:r w:rsidRPr="00DA479A">
        <w:rPr>
          <w:rFonts w:cs="Times New Roman"/>
        </w:rPr>
        <w:t xml:space="preserve"> </w:t>
      </w:r>
      <w:r w:rsidRPr="00DA479A">
        <w:rPr>
          <w:rFonts w:cs="Times New Roman"/>
          <w:color w:val="222222"/>
          <w:shd w:val="clear" w:color="auto" w:fill="FFFFFF"/>
        </w:rPr>
        <w:t>Fleischmann, Ellen L. "The other “awakening”: The emergence of women’s movements in the modern Middle East, 1900–1940." In </w:t>
      </w:r>
      <w:r w:rsidRPr="00DA479A">
        <w:rPr>
          <w:rFonts w:cs="Times New Roman"/>
          <w:i/>
          <w:iCs/>
          <w:color w:val="222222"/>
          <w:shd w:val="clear" w:color="auto" w:fill="FFFFFF"/>
        </w:rPr>
        <w:t>A Social History of Women and Gender in the Modern Middle East</w:t>
      </w:r>
      <w:r w:rsidRPr="00DA479A">
        <w:rPr>
          <w:rFonts w:cs="Times New Roman"/>
          <w:color w:val="222222"/>
          <w:shd w:val="clear" w:color="auto" w:fill="FFFFFF"/>
        </w:rPr>
        <w:t>, pp. 89-139. Routledge, 2018.</w:t>
      </w:r>
    </w:p>
  </w:footnote>
  <w:footnote w:id="26">
    <w:p w14:paraId="74E9B678" w14:textId="77777777" w:rsidR="00532FE4" w:rsidRPr="00DA479A" w:rsidRDefault="00532FE4">
      <w:pPr>
        <w:pStyle w:val="FootnoteText"/>
        <w:rPr>
          <w:rFonts w:cs="Times New Roman"/>
        </w:rPr>
      </w:pPr>
      <w:r w:rsidRPr="00DA479A">
        <w:rPr>
          <w:rStyle w:val="FootnoteReference"/>
          <w:rFonts w:cs="Times New Roman"/>
        </w:rPr>
        <w:footnoteRef/>
      </w:r>
      <w:r w:rsidRPr="00DA479A">
        <w:rPr>
          <w:rFonts w:cs="Times New Roman"/>
        </w:rPr>
        <w:t xml:space="preserve"> </w:t>
      </w:r>
      <w:r w:rsidRPr="00DA479A">
        <w:rPr>
          <w:rFonts w:cs="Times New Roman"/>
          <w:color w:val="222222"/>
          <w:shd w:val="clear" w:color="auto" w:fill="FFFFFF"/>
        </w:rPr>
        <w:t>Barlas, Asma. </w:t>
      </w:r>
      <w:r w:rsidRPr="00DA479A">
        <w:rPr>
          <w:rFonts w:cs="Times New Roman"/>
          <w:i/>
          <w:iCs/>
          <w:color w:val="222222"/>
          <w:shd w:val="clear" w:color="auto" w:fill="FFFFFF"/>
        </w:rPr>
        <w:t>Believing women in Islam: Unreading patriarchal interpretations of the Qur'an</w:t>
      </w:r>
      <w:r w:rsidRPr="00DA479A">
        <w:rPr>
          <w:rFonts w:cs="Times New Roman"/>
          <w:color w:val="222222"/>
          <w:shd w:val="clear" w:color="auto" w:fill="FFFFFF"/>
        </w:rPr>
        <w:t>. University of Texas Press, 2019.</w:t>
      </w:r>
    </w:p>
  </w:footnote>
  <w:footnote w:id="27">
    <w:p w14:paraId="450A07D0" w14:textId="77777777" w:rsidR="00532FE4" w:rsidRPr="00DA479A" w:rsidRDefault="00532FE4">
      <w:pPr>
        <w:pStyle w:val="FootnoteText"/>
        <w:rPr>
          <w:rFonts w:cs="Times New Roman"/>
        </w:rPr>
      </w:pPr>
      <w:r w:rsidRPr="00DA479A">
        <w:rPr>
          <w:rStyle w:val="FootnoteReference"/>
          <w:rFonts w:cs="Times New Roman"/>
        </w:rPr>
        <w:footnoteRef/>
      </w:r>
      <w:r w:rsidRPr="00DA479A">
        <w:rPr>
          <w:rFonts w:cs="Times New Roman"/>
        </w:rPr>
        <w:t xml:space="preserve"> </w:t>
      </w:r>
      <w:r w:rsidRPr="00DA479A">
        <w:rPr>
          <w:rFonts w:cs="Times New Roman"/>
          <w:color w:val="222222"/>
          <w:shd w:val="clear" w:color="auto" w:fill="FFFFFF"/>
        </w:rPr>
        <w:t>Shahin, Farah. "Islamic Feminism and Hegemonic Discourses on Faith and Gender in Islam." </w:t>
      </w:r>
      <w:r w:rsidRPr="00DA479A">
        <w:rPr>
          <w:rFonts w:cs="Times New Roman"/>
          <w:i/>
          <w:iCs/>
          <w:color w:val="222222"/>
          <w:shd w:val="clear" w:color="auto" w:fill="FFFFFF"/>
        </w:rPr>
        <w:t>International Journal of Islam in Asia</w:t>
      </w:r>
      <w:r w:rsidRPr="00DA479A">
        <w:rPr>
          <w:rFonts w:cs="Times New Roman"/>
          <w:color w:val="222222"/>
          <w:shd w:val="clear" w:color="auto" w:fill="FFFFFF"/>
        </w:rPr>
        <w:t> 1, no. 1 (2020): 27-48.</w:t>
      </w:r>
    </w:p>
  </w:footnote>
  <w:footnote w:id="28">
    <w:p w14:paraId="2CDA97E5" w14:textId="77777777" w:rsidR="00532FE4" w:rsidRPr="00DA479A" w:rsidRDefault="00532FE4">
      <w:pPr>
        <w:pStyle w:val="FootnoteText"/>
        <w:rPr>
          <w:rFonts w:cs="Times New Roman"/>
        </w:rPr>
      </w:pPr>
      <w:r w:rsidRPr="00DA479A">
        <w:rPr>
          <w:rStyle w:val="FootnoteReference"/>
          <w:rFonts w:cs="Times New Roman"/>
        </w:rPr>
        <w:footnoteRef/>
      </w:r>
      <w:r w:rsidRPr="00DA479A">
        <w:rPr>
          <w:rFonts w:cs="Times New Roman"/>
        </w:rPr>
        <w:t xml:space="preserve"> </w:t>
      </w:r>
      <w:r w:rsidRPr="00DA479A">
        <w:rPr>
          <w:rFonts w:cs="Times New Roman"/>
          <w:color w:val="222222"/>
          <w:shd w:val="clear" w:color="auto" w:fill="FFFFFF"/>
        </w:rPr>
        <w:t>Sarwar, Azam, and Hong Zeng. "Breaking free from patriarchal appropriation of sacred texts: An Islamic feminist critique of Bol." </w:t>
      </w:r>
      <w:r w:rsidRPr="00DA479A">
        <w:rPr>
          <w:rFonts w:cs="Times New Roman"/>
          <w:i/>
          <w:iCs/>
          <w:color w:val="222222"/>
          <w:shd w:val="clear" w:color="auto" w:fill="FFFFFF"/>
        </w:rPr>
        <w:t>Asian Journal of Women's Studies</w:t>
      </w:r>
      <w:r w:rsidRPr="00DA479A">
        <w:rPr>
          <w:rFonts w:cs="Times New Roman"/>
          <w:color w:val="222222"/>
          <w:shd w:val="clear" w:color="auto" w:fill="FFFFFF"/>
        </w:rPr>
        <w:t> 27, no. 4 (2021): 465-487.</w:t>
      </w:r>
    </w:p>
  </w:footnote>
  <w:footnote w:id="29">
    <w:p w14:paraId="59020428" w14:textId="77777777" w:rsidR="00532FE4" w:rsidRPr="00DA479A" w:rsidRDefault="00532FE4">
      <w:pPr>
        <w:pStyle w:val="FootnoteText"/>
        <w:rPr>
          <w:rFonts w:cs="Times New Roman"/>
        </w:rPr>
      </w:pPr>
      <w:r w:rsidRPr="00DA479A">
        <w:rPr>
          <w:rStyle w:val="FootnoteReference"/>
          <w:rFonts w:cs="Times New Roman"/>
        </w:rPr>
        <w:footnoteRef/>
      </w:r>
      <w:r w:rsidRPr="00DA479A">
        <w:rPr>
          <w:rFonts w:cs="Times New Roman"/>
        </w:rPr>
        <w:t xml:space="preserve"> </w:t>
      </w:r>
      <w:r w:rsidRPr="00DA479A">
        <w:rPr>
          <w:rFonts w:cs="Times New Roman"/>
          <w:color w:val="222222"/>
          <w:shd w:val="clear" w:color="auto" w:fill="FFFFFF"/>
        </w:rPr>
        <w:t>Puspita, Adinda Novelia. "Feminism According to Fatima Mernissi's Thinking." </w:t>
      </w:r>
      <w:r w:rsidRPr="00DA479A">
        <w:rPr>
          <w:rFonts w:cs="Times New Roman"/>
          <w:i/>
          <w:iCs/>
          <w:color w:val="222222"/>
          <w:shd w:val="clear" w:color="auto" w:fill="FFFFFF"/>
        </w:rPr>
        <w:t>Citizen: Jurnal Ilmiah Multidisiplin Indonesia</w:t>
      </w:r>
      <w:r w:rsidRPr="00DA479A">
        <w:rPr>
          <w:rFonts w:cs="Times New Roman"/>
          <w:color w:val="222222"/>
          <w:shd w:val="clear" w:color="auto" w:fill="FFFFFF"/>
        </w:rPr>
        <w:t> 1, no. 1 (2021).</w:t>
      </w:r>
    </w:p>
  </w:footnote>
  <w:footnote w:id="30">
    <w:p w14:paraId="3D6655D0" w14:textId="77777777" w:rsidR="00532FE4" w:rsidRPr="00DA479A" w:rsidRDefault="00532FE4">
      <w:pPr>
        <w:pStyle w:val="FootnoteText"/>
        <w:rPr>
          <w:rFonts w:cs="Times New Roman"/>
        </w:rPr>
      </w:pPr>
      <w:r w:rsidRPr="00DA479A">
        <w:rPr>
          <w:rStyle w:val="FootnoteReference"/>
          <w:rFonts w:cs="Times New Roman"/>
        </w:rPr>
        <w:footnoteRef/>
      </w:r>
      <w:r w:rsidRPr="00DA479A">
        <w:rPr>
          <w:rFonts w:cs="Times New Roman"/>
        </w:rPr>
        <w:t xml:space="preserve"> </w:t>
      </w:r>
      <w:r w:rsidRPr="00DA479A">
        <w:rPr>
          <w:rFonts w:cs="Times New Roman"/>
          <w:color w:val="222222"/>
          <w:shd w:val="clear" w:color="auto" w:fill="FFFFFF"/>
        </w:rPr>
        <w:t>Dalaman, Zeynep Banu. "From secular Muslim feminisim to Islamic feminism (s) and new generation Islamic feminists in Egypt, Iran and Turkey." </w:t>
      </w:r>
      <w:r w:rsidRPr="00DA479A">
        <w:rPr>
          <w:rFonts w:cs="Times New Roman"/>
          <w:i/>
          <w:iCs/>
          <w:color w:val="222222"/>
          <w:shd w:val="clear" w:color="auto" w:fill="FFFFFF"/>
        </w:rPr>
        <w:t>Border Crossing</w:t>
      </w:r>
      <w:r w:rsidRPr="00DA479A">
        <w:rPr>
          <w:rFonts w:cs="Times New Roman"/>
          <w:color w:val="222222"/>
          <w:shd w:val="clear" w:color="auto" w:fill="FFFFFF"/>
        </w:rPr>
        <w:t> 11, no. 1 (2021): 77-91.</w:t>
      </w:r>
    </w:p>
  </w:footnote>
  <w:footnote w:id="31">
    <w:p w14:paraId="19F6D9E4" w14:textId="77777777" w:rsidR="00532FE4" w:rsidRPr="00DA479A" w:rsidRDefault="00532FE4">
      <w:pPr>
        <w:pStyle w:val="FootnoteText"/>
        <w:rPr>
          <w:rFonts w:cs="Times New Roman"/>
        </w:rPr>
      </w:pPr>
      <w:r w:rsidRPr="00DA479A">
        <w:rPr>
          <w:rStyle w:val="FootnoteReference"/>
          <w:rFonts w:cs="Times New Roman"/>
        </w:rPr>
        <w:footnoteRef/>
      </w:r>
      <w:r w:rsidRPr="00DA479A">
        <w:rPr>
          <w:rFonts w:cs="Times New Roman"/>
        </w:rPr>
        <w:t xml:space="preserve"> </w:t>
      </w:r>
      <w:r w:rsidRPr="00DA479A">
        <w:rPr>
          <w:rFonts w:cs="Times New Roman"/>
          <w:color w:val="222222"/>
          <w:shd w:val="clear" w:color="auto" w:fill="FFFFFF"/>
        </w:rPr>
        <w:t>Barazangi, Nimat Hafez. "Fatema Mernissi and the Hadith: Agent of Social Change." (2016).</w:t>
      </w:r>
    </w:p>
  </w:footnote>
  <w:footnote w:id="32">
    <w:p w14:paraId="2E11C4B0" w14:textId="77777777" w:rsidR="00532FE4" w:rsidRPr="00DA479A" w:rsidRDefault="00532FE4">
      <w:pPr>
        <w:pStyle w:val="FootnoteText"/>
        <w:rPr>
          <w:rFonts w:cs="Times New Roman"/>
        </w:rPr>
      </w:pPr>
      <w:r w:rsidRPr="00DA479A">
        <w:rPr>
          <w:rStyle w:val="FootnoteReference"/>
          <w:rFonts w:cs="Times New Roman"/>
        </w:rPr>
        <w:footnoteRef/>
      </w:r>
      <w:r w:rsidRPr="00DA479A">
        <w:rPr>
          <w:rFonts w:cs="Times New Roman"/>
        </w:rPr>
        <w:t xml:space="preserve"> </w:t>
      </w:r>
      <w:r w:rsidRPr="00DA479A">
        <w:rPr>
          <w:rFonts w:cs="Times New Roman"/>
          <w:color w:val="222222"/>
          <w:shd w:val="clear" w:color="auto" w:fill="FFFFFF"/>
        </w:rPr>
        <w:t>Tahiri, Halima. "Fatima Mernissi: Islamic Feminism and the Reinterpretation of Hadith as an Agent of Social Change."</w:t>
      </w:r>
    </w:p>
  </w:footnote>
  <w:footnote w:id="33">
    <w:p w14:paraId="4EF02978" w14:textId="7CC4DCCF" w:rsidR="00E5568B" w:rsidRPr="00E5568B" w:rsidRDefault="00E5568B">
      <w:pPr>
        <w:pStyle w:val="FootnoteText"/>
        <w:rPr>
          <w:lang w:val="en-GB"/>
        </w:rPr>
      </w:pPr>
      <w:r>
        <w:rPr>
          <w:rStyle w:val="FootnoteReference"/>
        </w:rPr>
        <w:footnoteRef/>
      </w:r>
      <w:r>
        <w:t xml:space="preserve"> </w:t>
      </w:r>
      <w:r w:rsidRPr="007623D4">
        <w:t xml:space="preserve">Mernissi, Fatima. Beyond </w:t>
      </w:r>
      <w:r w:rsidRPr="00E5568B">
        <w:rPr>
          <w:i/>
          <w:iCs/>
        </w:rPr>
        <w:t>the Veil: Male-female Dynamics in a Modern Muslim Society</w:t>
      </w:r>
      <w:r w:rsidRPr="007623D4">
        <w:t>. United Kingdom, Schenkman Publishing Company, 1975</w:t>
      </w:r>
      <w:r>
        <w:t>, p8.</w:t>
      </w:r>
    </w:p>
  </w:footnote>
  <w:footnote w:id="34">
    <w:p w14:paraId="7AB36B00" w14:textId="08216B38" w:rsidR="00532FE4" w:rsidRPr="00DA479A" w:rsidRDefault="00532FE4">
      <w:pPr>
        <w:pStyle w:val="FootnoteText"/>
        <w:rPr>
          <w:rFonts w:cs="Times New Roman"/>
        </w:rPr>
      </w:pPr>
      <w:r w:rsidRPr="00DA479A">
        <w:rPr>
          <w:rStyle w:val="FootnoteReference"/>
          <w:rFonts w:cs="Times New Roman"/>
        </w:rPr>
        <w:footnoteRef/>
      </w:r>
      <w:r w:rsidRPr="00DA479A">
        <w:rPr>
          <w:rFonts w:cs="Times New Roman"/>
        </w:rPr>
        <w:t xml:space="preserve"> </w:t>
      </w:r>
      <w:r w:rsidRPr="00DA479A">
        <w:rPr>
          <w:rFonts w:cs="Times New Roman"/>
          <w:color w:val="222222"/>
          <w:shd w:val="clear" w:color="auto" w:fill="FFFFFF"/>
        </w:rPr>
        <w:t xml:space="preserve">Al-Abdlie, Jawaher Jubran Ahmed. "A </w:t>
      </w:r>
      <w:r w:rsidR="00E5568B">
        <w:rPr>
          <w:rFonts w:cs="Times New Roman"/>
          <w:color w:val="222222"/>
          <w:shd w:val="clear" w:color="auto" w:fill="FFFFFF"/>
        </w:rPr>
        <w:t>multidimensional</w:t>
      </w:r>
      <w:r w:rsidRPr="00DA479A">
        <w:rPr>
          <w:rFonts w:cs="Times New Roman"/>
          <w:color w:val="222222"/>
          <w:shd w:val="clear" w:color="auto" w:fill="FFFFFF"/>
        </w:rPr>
        <w:t xml:space="preserve"> approach to Islamic feminism: comparing the writings of Amina Wadud, Fatima Mernissi, and Zainab Al-Ghazali." PhD diss., Hamad Bin Khalifa University (Qatar), 2019.</w:t>
      </w:r>
    </w:p>
  </w:footnote>
  <w:footnote w:id="35">
    <w:p w14:paraId="501CE1C0" w14:textId="77777777" w:rsidR="00532FE4" w:rsidRPr="00DA479A" w:rsidRDefault="00532FE4">
      <w:pPr>
        <w:pStyle w:val="FootnoteText"/>
        <w:rPr>
          <w:rFonts w:cs="Times New Roman"/>
        </w:rPr>
      </w:pPr>
      <w:r w:rsidRPr="00DA479A">
        <w:rPr>
          <w:rStyle w:val="FootnoteReference"/>
          <w:rFonts w:cs="Times New Roman"/>
        </w:rPr>
        <w:footnoteRef/>
      </w:r>
      <w:r w:rsidRPr="00DA479A">
        <w:rPr>
          <w:rFonts w:cs="Times New Roman"/>
        </w:rPr>
        <w:t xml:space="preserve"> </w:t>
      </w:r>
      <w:r w:rsidRPr="00DA479A">
        <w:rPr>
          <w:rFonts w:cs="Times New Roman"/>
          <w:color w:val="222222"/>
          <w:shd w:val="clear" w:color="auto" w:fill="FFFFFF"/>
        </w:rPr>
        <w:t>Rhouni, Raja. "Mernissi, Fatima." In </w:t>
      </w:r>
      <w:r w:rsidRPr="00DA479A">
        <w:rPr>
          <w:rFonts w:cs="Times New Roman"/>
          <w:i/>
          <w:iCs/>
          <w:color w:val="222222"/>
          <w:shd w:val="clear" w:color="auto" w:fill="FFFFFF"/>
        </w:rPr>
        <w:t>Oxford Research Encyclopedia of African History</w:t>
      </w:r>
      <w:r w:rsidRPr="00DA479A">
        <w:rPr>
          <w:rFonts w:cs="Times New Roman"/>
          <w:color w:val="222222"/>
          <w:shd w:val="clear" w:color="auto" w:fill="FFFFFF"/>
        </w:rPr>
        <w:t>. 2020.</w:t>
      </w:r>
    </w:p>
  </w:footnote>
  <w:footnote w:id="36">
    <w:p w14:paraId="7F0D5B3D" w14:textId="77777777" w:rsidR="00532FE4" w:rsidRPr="00DA479A" w:rsidRDefault="00532FE4">
      <w:pPr>
        <w:pStyle w:val="FootnoteText"/>
        <w:rPr>
          <w:rFonts w:cs="Times New Roman"/>
        </w:rPr>
      </w:pPr>
      <w:r w:rsidRPr="00DA479A">
        <w:rPr>
          <w:rStyle w:val="FootnoteReference"/>
          <w:rFonts w:cs="Times New Roman"/>
        </w:rPr>
        <w:footnoteRef/>
      </w:r>
      <w:r w:rsidRPr="00DA479A">
        <w:rPr>
          <w:rFonts w:cs="Times New Roman"/>
        </w:rPr>
        <w:t xml:space="preserve"> </w:t>
      </w:r>
      <w:r w:rsidRPr="00DA479A">
        <w:rPr>
          <w:rFonts w:cs="Times New Roman"/>
          <w:color w:val="222222"/>
          <w:shd w:val="clear" w:color="auto" w:fill="FFFFFF"/>
        </w:rPr>
        <w:t>Stack, Roohi Khan. "An analysis of Muslim women’s rights based on the works of Amina Wadud, Fatima Mernissi, and Riffat Hassan." PhD diss., Harvard University, 2020.</w:t>
      </w:r>
    </w:p>
  </w:footnote>
  <w:footnote w:id="37">
    <w:p w14:paraId="3E7220DB" w14:textId="69D78474" w:rsidR="00532FE4" w:rsidRPr="00DA479A" w:rsidRDefault="00532FE4">
      <w:pPr>
        <w:pStyle w:val="FootnoteText"/>
        <w:rPr>
          <w:rFonts w:cs="Times New Roman"/>
        </w:rPr>
      </w:pPr>
      <w:r w:rsidRPr="00DA479A">
        <w:rPr>
          <w:rStyle w:val="FootnoteReference"/>
          <w:rFonts w:cs="Times New Roman"/>
        </w:rPr>
        <w:footnoteRef/>
      </w:r>
      <w:r w:rsidRPr="00DA479A">
        <w:rPr>
          <w:rFonts w:cs="Times New Roman"/>
        </w:rPr>
        <w:t xml:space="preserve"> </w:t>
      </w:r>
      <w:r w:rsidRPr="00DA479A">
        <w:rPr>
          <w:rFonts w:cs="Times New Roman"/>
          <w:color w:val="222222"/>
          <w:shd w:val="clear" w:color="auto" w:fill="FFFFFF"/>
        </w:rPr>
        <w:t xml:space="preserve">de Oliveira, Jessica da Silva Correia. "Fatema Mernissi's writings as a gateway to postcolonial </w:t>
      </w:r>
      <w:r w:rsidR="00E5568B">
        <w:rPr>
          <w:rFonts w:cs="Times New Roman"/>
          <w:color w:val="222222"/>
          <w:shd w:val="clear" w:color="auto" w:fill="FFFFFF"/>
        </w:rPr>
        <w:t>Islamic</w:t>
      </w:r>
      <w:r w:rsidRPr="00DA479A">
        <w:rPr>
          <w:rFonts w:cs="Times New Roman"/>
          <w:color w:val="222222"/>
          <w:shd w:val="clear" w:color="auto" w:fill="FFFFFF"/>
        </w:rPr>
        <w:t xml:space="preserve"> feminisms and intersectionality in the Maghreb." </w:t>
      </w:r>
      <w:r w:rsidRPr="00DA479A">
        <w:rPr>
          <w:rFonts w:cs="Times New Roman"/>
          <w:i/>
          <w:iCs/>
          <w:color w:val="222222"/>
          <w:shd w:val="clear" w:color="auto" w:fill="FFFFFF"/>
        </w:rPr>
        <w:t>Revista Debates</w:t>
      </w:r>
      <w:r w:rsidRPr="00DA479A">
        <w:rPr>
          <w:rFonts w:cs="Times New Roman"/>
          <w:color w:val="222222"/>
          <w:shd w:val="clear" w:color="auto" w:fill="FFFFFF"/>
        </w:rPr>
        <w:t> 15, no. 3 (2021): 133-157.</w:t>
      </w:r>
    </w:p>
  </w:footnote>
  <w:footnote w:id="38">
    <w:p w14:paraId="3B634867" w14:textId="77777777" w:rsidR="00532FE4" w:rsidRPr="00DA479A" w:rsidRDefault="00532FE4">
      <w:pPr>
        <w:pStyle w:val="FootnoteText"/>
        <w:rPr>
          <w:rFonts w:cs="Times New Roman"/>
        </w:rPr>
      </w:pPr>
      <w:r w:rsidRPr="00DA479A">
        <w:rPr>
          <w:rStyle w:val="FootnoteReference"/>
          <w:rFonts w:cs="Times New Roman"/>
        </w:rPr>
        <w:footnoteRef/>
      </w:r>
      <w:r w:rsidRPr="00DA479A">
        <w:rPr>
          <w:rFonts w:cs="Times New Roman"/>
        </w:rPr>
        <w:t xml:space="preserve"> </w:t>
      </w:r>
      <w:r w:rsidRPr="00DA479A">
        <w:rPr>
          <w:rFonts w:cs="Times New Roman"/>
          <w:color w:val="222222"/>
          <w:shd w:val="clear" w:color="auto" w:fill="FFFFFF"/>
        </w:rPr>
        <w:t>Barlow, Rebecca, and Shahram Akbarzadeh. "Women’s rights in the Muslim world: reform or reconstruction?." In </w:t>
      </w:r>
      <w:r w:rsidRPr="00DA479A">
        <w:rPr>
          <w:rFonts w:cs="Times New Roman"/>
          <w:i/>
          <w:iCs/>
          <w:color w:val="222222"/>
          <w:shd w:val="clear" w:color="auto" w:fill="FFFFFF"/>
        </w:rPr>
        <w:t>International Law and Islamic Law</w:t>
      </w:r>
      <w:r w:rsidRPr="00DA479A">
        <w:rPr>
          <w:rFonts w:cs="Times New Roman"/>
          <w:color w:val="222222"/>
          <w:shd w:val="clear" w:color="auto" w:fill="FFFFFF"/>
        </w:rPr>
        <w:t>, pp. 411-424. Routledge, 2017.</w:t>
      </w:r>
    </w:p>
  </w:footnote>
  <w:footnote w:id="39">
    <w:p w14:paraId="6ADD5EE6" w14:textId="77777777" w:rsidR="00532FE4" w:rsidRPr="00DA479A" w:rsidRDefault="00532FE4">
      <w:pPr>
        <w:pStyle w:val="FootnoteText"/>
        <w:rPr>
          <w:rFonts w:cs="Times New Roman"/>
        </w:rPr>
      </w:pPr>
      <w:r w:rsidRPr="00DA479A">
        <w:rPr>
          <w:rStyle w:val="FootnoteReference"/>
          <w:rFonts w:cs="Times New Roman"/>
        </w:rPr>
        <w:footnoteRef/>
      </w:r>
      <w:r w:rsidRPr="00DA479A">
        <w:rPr>
          <w:rFonts w:cs="Times New Roman"/>
        </w:rPr>
        <w:t xml:space="preserve"> </w:t>
      </w:r>
      <w:r w:rsidRPr="00DA479A">
        <w:rPr>
          <w:rFonts w:cs="Times New Roman"/>
          <w:color w:val="222222"/>
          <w:shd w:val="clear" w:color="auto" w:fill="FFFFFF"/>
        </w:rPr>
        <w:t>Pringle, Rosemary. "Destabilising patriarchy." In </w:t>
      </w:r>
      <w:r w:rsidRPr="00DA479A">
        <w:rPr>
          <w:rFonts w:cs="Times New Roman"/>
          <w:i/>
          <w:iCs/>
          <w:color w:val="222222"/>
          <w:shd w:val="clear" w:color="auto" w:fill="FFFFFF"/>
        </w:rPr>
        <w:t>Transitions</w:t>
      </w:r>
      <w:r w:rsidRPr="00DA479A">
        <w:rPr>
          <w:rFonts w:cs="Times New Roman"/>
          <w:color w:val="222222"/>
          <w:shd w:val="clear" w:color="auto" w:fill="FFFFFF"/>
        </w:rPr>
        <w:t>, pp. 198-211. Routledge, 2020.</w:t>
      </w:r>
    </w:p>
  </w:footnote>
  <w:footnote w:id="40">
    <w:p w14:paraId="7B2ADC8E" w14:textId="77777777" w:rsidR="00532FE4" w:rsidRPr="00DA479A" w:rsidRDefault="00532FE4">
      <w:pPr>
        <w:pStyle w:val="FootnoteText"/>
        <w:rPr>
          <w:rFonts w:cs="Times New Roman"/>
        </w:rPr>
      </w:pPr>
      <w:r w:rsidRPr="00DA479A">
        <w:rPr>
          <w:rStyle w:val="FootnoteReference"/>
          <w:rFonts w:cs="Times New Roman"/>
        </w:rPr>
        <w:footnoteRef/>
      </w:r>
      <w:r w:rsidRPr="00DA479A">
        <w:rPr>
          <w:rFonts w:cs="Times New Roman"/>
        </w:rPr>
        <w:t xml:space="preserve"> </w:t>
      </w:r>
      <w:r w:rsidRPr="00DA479A">
        <w:rPr>
          <w:rFonts w:cs="Times New Roman"/>
          <w:color w:val="222222"/>
          <w:shd w:val="clear" w:color="auto" w:fill="FFFFFF"/>
        </w:rPr>
        <w:t>Barlow, Rebecca, and Shahram Akbarzadeh. "Women’s rights in the Muslim world: reform or reconstruction?." In </w:t>
      </w:r>
      <w:r w:rsidRPr="00DA479A">
        <w:rPr>
          <w:rFonts w:cs="Times New Roman"/>
          <w:i/>
          <w:iCs/>
          <w:color w:val="222222"/>
          <w:shd w:val="clear" w:color="auto" w:fill="FFFFFF"/>
        </w:rPr>
        <w:t>International Law and Islamic Law</w:t>
      </w:r>
      <w:r w:rsidRPr="00DA479A">
        <w:rPr>
          <w:rFonts w:cs="Times New Roman"/>
          <w:color w:val="222222"/>
          <w:shd w:val="clear" w:color="auto" w:fill="FFFFFF"/>
        </w:rPr>
        <w:t>, pp. 411-424. Routledge, 2017.</w:t>
      </w:r>
    </w:p>
  </w:footnote>
  <w:footnote w:id="41">
    <w:p w14:paraId="29254546" w14:textId="145AABAF" w:rsidR="007623D4" w:rsidRPr="007623D4" w:rsidRDefault="007623D4">
      <w:pPr>
        <w:pStyle w:val="FootnoteText"/>
        <w:rPr>
          <w:lang w:val="en-GB"/>
        </w:rPr>
      </w:pPr>
      <w:r>
        <w:rPr>
          <w:rStyle w:val="FootnoteReference"/>
        </w:rPr>
        <w:footnoteRef/>
      </w:r>
      <w:r>
        <w:t xml:space="preserve"> </w:t>
      </w:r>
      <w:r w:rsidRPr="007623D4">
        <w:t xml:space="preserve">Mernissi, Fatima. Beyond </w:t>
      </w:r>
      <w:r w:rsidRPr="00E5568B">
        <w:rPr>
          <w:i/>
          <w:iCs/>
        </w:rPr>
        <w:t>the Veil: Male-female Dynamics in a Modern Muslim Society</w:t>
      </w:r>
      <w:r w:rsidRPr="007623D4">
        <w:t>. United Kingdom, Schenkman Publishing Company, 1975.</w:t>
      </w:r>
    </w:p>
  </w:footnote>
  <w:footnote w:id="42">
    <w:p w14:paraId="61D48F3B" w14:textId="77777777" w:rsidR="00532FE4" w:rsidRPr="00DA479A" w:rsidRDefault="00532FE4">
      <w:pPr>
        <w:pStyle w:val="FootnoteText"/>
        <w:rPr>
          <w:rFonts w:cs="Times New Roman"/>
        </w:rPr>
      </w:pPr>
      <w:r w:rsidRPr="00DA479A">
        <w:rPr>
          <w:rStyle w:val="FootnoteReference"/>
          <w:rFonts w:cs="Times New Roman"/>
        </w:rPr>
        <w:footnoteRef/>
      </w:r>
      <w:r w:rsidRPr="00DA479A">
        <w:rPr>
          <w:rFonts w:cs="Times New Roman"/>
        </w:rPr>
        <w:t xml:space="preserve"> </w:t>
      </w:r>
      <w:r w:rsidRPr="00DA479A">
        <w:rPr>
          <w:rFonts w:cs="Times New Roman"/>
          <w:color w:val="222222"/>
          <w:shd w:val="clear" w:color="auto" w:fill="FFFFFF"/>
        </w:rPr>
        <w:t>Mernissi, Fatima. "Muslim Women’s Roles and Scholarship." </w:t>
      </w:r>
      <w:r w:rsidRPr="00DA479A">
        <w:rPr>
          <w:rFonts w:cs="Times New Roman"/>
          <w:i/>
          <w:iCs/>
          <w:color w:val="222222"/>
          <w:shd w:val="clear" w:color="auto" w:fill="FFFFFF"/>
        </w:rPr>
        <w:t>Equals in Learning and Piety: Muslim Women Scholars in Nigeria and North America</w:t>
      </w:r>
      <w:r w:rsidRPr="00DA479A">
        <w:rPr>
          <w:rFonts w:cs="Times New Roman"/>
          <w:color w:val="222222"/>
          <w:shd w:val="clear" w:color="auto" w:fill="FFFFFF"/>
        </w:rPr>
        <w:t> (2023): 43.</w:t>
      </w:r>
    </w:p>
  </w:footnote>
  <w:footnote w:id="43">
    <w:p w14:paraId="3287A938" w14:textId="77777777" w:rsidR="00532FE4" w:rsidRPr="00DA479A" w:rsidRDefault="00532FE4">
      <w:pPr>
        <w:pStyle w:val="FootnoteText"/>
        <w:rPr>
          <w:rFonts w:cs="Times New Roman"/>
        </w:rPr>
      </w:pPr>
      <w:r w:rsidRPr="00DA479A">
        <w:rPr>
          <w:rStyle w:val="FootnoteReference"/>
          <w:rFonts w:cs="Times New Roman"/>
        </w:rPr>
        <w:footnoteRef/>
      </w:r>
      <w:r w:rsidRPr="00DA479A">
        <w:rPr>
          <w:rFonts w:cs="Times New Roman"/>
        </w:rPr>
        <w:t xml:space="preserve"> </w:t>
      </w:r>
      <w:r w:rsidRPr="00DA479A">
        <w:rPr>
          <w:rFonts w:cs="Times New Roman"/>
          <w:color w:val="222222"/>
          <w:shd w:val="clear" w:color="auto" w:fill="FFFFFF"/>
        </w:rPr>
        <w:t>Ennaji, Moha. "Mernissi’s impact on Islamic feminism: a critique of the religious approach." </w:t>
      </w:r>
      <w:r w:rsidRPr="00DA479A">
        <w:rPr>
          <w:rFonts w:cs="Times New Roman"/>
          <w:i/>
          <w:iCs/>
          <w:color w:val="222222"/>
          <w:shd w:val="clear" w:color="auto" w:fill="FFFFFF"/>
        </w:rPr>
        <w:t>British Journal of Middle Eastern Studies</w:t>
      </w:r>
      <w:r w:rsidRPr="00DA479A">
        <w:rPr>
          <w:rFonts w:cs="Times New Roman"/>
          <w:color w:val="222222"/>
          <w:shd w:val="clear" w:color="auto" w:fill="FFFFFF"/>
        </w:rPr>
        <w:t> 49, no. 4 (2022): 629-651.</w:t>
      </w:r>
    </w:p>
  </w:footnote>
  <w:footnote w:id="44">
    <w:p w14:paraId="19739A92" w14:textId="40BBD096" w:rsidR="00532FE4" w:rsidRPr="00643B23" w:rsidRDefault="00532FE4">
      <w:pPr>
        <w:pStyle w:val="FootnoteText"/>
        <w:rPr>
          <w:rFonts w:cs="Times New Roman"/>
        </w:rPr>
      </w:pPr>
      <w:r>
        <w:rPr>
          <w:rStyle w:val="FootnoteReference"/>
        </w:rPr>
        <w:footnoteRef/>
      </w:r>
      <w:r>
        <w:t xml:space="preserve"> </w:t>
      </w:r>
      <w:r w:rsidRPr="00643B23">
        <w:rPr>
          <w:rFonts w:cs="Times New Roman"/>
          <w:color w:val="222222"/>
          <w:shd w:val="clear" w:color="auto" w:fill="FFFFFF"/>
        </w:rPr>
        <w:t xml:space="preserve">Al-Abdlie, Jawaher Jubran Ahmed. "A </w:t>
      </w:r>
      <w:r w:rsidR="00561A9A" w:rsidRPr="00643B23">
        <w:rPr>
          <w:rFonts w:cs="Times New Roman"/>
          <w:color w:val="222222"/>
          <w:shd w:val="clear" w:color="auto" w:fill="FFFFFF"/>
        </w:rPr>
        <w:t>multidimensional</w:t>
      </w:r>
      <w:r w:rsidRPr="00643B23">
        <w:rPr>
          <w:rFonts w:cs="Times New Roman"/>
          <w:color w:val="222222"/>
          <w:shd w:val="clear" w:color="auto" w:fill="FFFFFF"/>
        </w:rPr>
        <w:t xml:space="preserve"> approach to Islamic feminism: comparing the writings of Amina Wadud, Fatima Mernissi, and Zainab Al-Ghazali." PhD diss., Hamad Bin Khalifa University (Qatar), 2019.</w:t>
      </w:r>
    </w:p>
  </w:footnote>
  <w:footnote w:id="45">
    <w:p w14:paraId="02FD829F" w14:textId="23886D0B" w:rsidR="00532FE4" w:rsidRPr="00DA479A" w:rsidRDefault="00532FE4">
      <w:pPr>
        <w:pStyle w:val="FootnoteText"/>
        <w:rPr>
          <w:rFonts w:cs="Times New Roman"/>
        </w:rPr>
      </w:pPr>
      <w:r w:rsidRPr="00DA479A">
        <w:rPr>
          <w:rStyle w:val="FootnoteReference"/>
          <w:rFonts w:cs="Times New Roman"/>
        </w:rPr>
        <w:footnoteRef/>
      </w:r>
      <w:r w:rsidRPr="00DA479A">
        <w:rPr>
          <w:rFonts w:cs="Times New Roman"/>
        </w:rPr>
        <w:t xml:space="preserve"> </w:t>
      </w:r>
      <w:r w:rsidRPr="00DA479A">
        <w:rPr>
          <w:rFonts w:cs="Times New Roman"/>
          <w:color w:val="222222"/>
          <w:shd w:val="clear" w:color="auto" w:fill="FFFFFF"/>
        </w:rPr>
        <w:t xml:space="preserve">de Oliveira, Jessica da Silva Correia. "Fatema Mernissi's writings as a gateway to postcolonial </w:t>
      </w:r>
      <w:r w:rsidR="00E5568B">
        <w:rPr>
          <w:rFonts w:cs="Times New Roman"/>
          <w:color w:val="222222"/>
          <w:shd w:val="clear" w:color="auto" w:fill="FFFFFF"/>
        </w:rPr>
        <w:t>Islamic</w:t>
      </w:r>
      <w:r w:rsidRPr="00DA479A">
        <w:rPr>
          <w:rFonts w:cs="Times New Roman"/>
          <w:color w:val="222222"/>
          <w:shd w:val="clear" w:color="auto" w:fill="FFFFFF"/>
        </w:rPr>
        <w:t xml:space="preserve"> feminisms and intersectionality in the Maghreb." </w:t>
      </w:r>
      <w:r w:rsidRPr="00DA479A">
        <w:rPr>
          <w:rFonts w:cs="Times New Roman"/>
          <w:i/>
          <w:iCs/>
          <w:color w:val="222222"/>
          <w:shd w:val="clear" w:color="auto" w:fill="FFFFFF"/>
        </w:rPr>
        <w:t>Revista Debates</w:t>
      </w:r>
      <w:r w:rsidRPr="00DA479A">
        <w:rPr>
          <w:rFonts w:cs="Times New Roman"/>
          <w:color w:val="222222"/>
          <w:shd w:val="clear" w:color="auto" w:fill="FFFFFF"/>
        </w:rPr>
        <w:t> 15, no. 3 (2021): 133-157.</w:t>
      </w:r>
    </w:p>
  </w:footnote>
  <w:footnote w:id="46">
    <w:p w14:paraId="5288CE59" w14:textId="77777777" w:rsidR="00532FE4" w:rsidRPr="00DA479A" w:rsidRDefault="00532FE4">
      <w:pPr>
        <w:pStyle w:val="FootnoteText"/>
        <w:rPr>
          <w:rFonts w:cs="Times New Roman"/>
        </w:rPr>
      </w:pPr>
      <w:r w:rsidRPr="00DA479A">
        <w:rPr>
          <w:rStyle w:val="FootnoteReference"/>
          <w:rFonts w:cs="Times New Roman"/>
        </w:rPr>
        <w:footnoteRef/>
      </w:r>
      <w:r w:rsidRPr="00DA479A">
        <w:rPr>
          <w:rFonts w:cs="Times New Roman"/>
        </w:rPr>
        <w:t xml:space="preserve"> </w:t>
      </w:r>
      <w:r w:rsidRPr="00DA479A">
        <w:rPr>
          <w:rFonts w:cs="Times New Roman"/>
          <w:color w:val="222222"/>
          <w:shd w:val="clear" w:color="auto" w:fill="FFFFFF"/>
        </w:rPr>
        <w:t>Prempeh, Charles. "“Hijab Is My Identity”: Beyond the Politics of the Veil: The Appropriations of the Veil in an Inner-City Muslim Area of Accra (Ghana) since the 1980s." </w:t>
      </w:r>
      <w:r w:rsidRPr="00DA479A">
        <w:rPr>
          <w:rFonts w:cs="Times New Roman"/>
          <w:i/>
          <w:iCs/>
          <w:color w:val="222222"/>
          <w:shd w:val="clear" w:color="auto" w:fill="FFFFFF"/>
        </w:rPr>
        <w:t>Journal of Africana Religions</w:t>
      </w:r>
      <w:r w:rsidRPr="00DA479A">
        <w:rPr>
          <w:rFonts w:cs="Times New Roman"/>
          <w:color w:val="222222"/>
          <w:shd w:val="clear" w:color="auto" w:fill="FFFFFF"/>
        </w:rPr>
        <w:t> 10, no. 1 (2022): 20-46.</w:t>
      </w:r>
    </w:p>
  </w:footnote>
  <w:footnote w:id="47">
    <w:p w14:paraId="29C323EB" w14:textId="2305610D" w:rsidR="00E266A8" w:rsidRPr="00E266A8" w:rsidRDefault="00E266A8">
      <w:pPr>
        <w:pStyle w:val="FootnoteText"/>
        <w:rPr>
          <w:lang w:val="en-GB"/>
        </w:rPr>
      </w:pPr>
      <w:r>
        <w:rPr>
          <w:rStyle w:val="FootnoteReference"/>
        </w:rPr>
        <w:footnoteRef/>
      </w:r>
      <w:r>
        <w:t xml:space="preserve"> </w:t>
      </w:r>
      <w:r w:rsidRPr="00E266A8">
        <w:rPr>
          <w:lang w:val="en-GB"/>
        </w:rPr>
        <w:t>Mernissi, Fatima. </w:t>
      </w:r>
      <w:r w:rsidRPr="00E266A8">
        <w:rPr>
          <w:i/>
          <w:iCs/>
          <w:lang w:val="en-GB"/>
        </w:rPr>
        <w:t>The Veil And The Male Elite: A Feminist Interpretation Of Women's Rights In Islam.</w:t>
      </w:r>
      <w:r w:rsidRPr="00E266A8">
        <w:rPr>
          <w:lang w:val="en-GB"/>
        </w:rPr>
        <w:t> </w:t>
      </w:r>
      <w:r>
        <w:rPr>
          <w:lang w:val="en-GB"/>
        </w:rPr>
        <w:t>(</w:t>
      </w:r>
      <w:r w:rsidRPr="00E266A8">
        <w:rPr>
          <w:lang w:val="en-GB"/>
        </w:rPr>
        <w:t>Spain, Basic Books, 1991</w:t>
      </w:r>
      <w:r>
        <w:rPr>
          <w:lang w:val="en-GB"/>
        </w:rPr>
        <w:t>)</w:t>
      </w:r>
      <w:r w:rsidRPr="00E266A8">
        <w:rPr>
          <w:lang w:val="en-GB"/>
        </w:rPr>
        <w:t>.</w:t>
      </w:r>
    </w:p>
  </w:footnote>
  <w:footnote w:id="48">
    <w:p w14:paraId="65611C33" w14:textId="77777777" w:rsidR="00532FE4" w:rsidRPr="00643B23" w:rsidRDefault="00532FE4">
      <w:pPr>
        <w:pStyle w:val="FootnoteText"/>
        <w:rPr>
          <w:rFonts w:cs="Times New Roman"/>
        </w:rPr>
      </w:pPr>
      <w:r w:rsidRPr="00643B23">
        <w:rPr>
          <w:rStyle w:val="FootnoteReference"/>
          <w:rFonts w:cs="Times New Roman"/>
        </w:rPr>
        <w:footnoteRef/>
      </w:r>
      <w:r w:rsidRPr="00643B23">
        <w:rPr>
          <w:rFonts w:cs="Times New Roman"/>
        </w:rPr>
        <w:t xml:space="preserve"> </w:t>
      </w:r>
      <w:r w:rsidRPr="00643B23">
        <w:rPr>
          <w:rFonts w:cs="Times New Roman"/>
          <w:color w:val="222222"/>
          <w:shd w:val="clear" w:color="auto" w:fill="FFFFFF"/>
        </w:rPr>
        <w:t>Andrea, Bernadette. "“Double Critique” and the Sufi Praxis of Travel in Leila Ahmed's A Border Passage and Fatema Mernissi's Scheherazade Goes West." </w:t>
      </w:r>
      <w:r w:rsidRPr="00643B23">
        <w:rPr>
          <w:rFonts w:cs="Times New Roman"/>
          <w:i/>
          <w:iCs/>
          <w:color w:val="222222"/>
          <w:shd w:val="clear" w:color="auto" w:fill="FFFFFF"/>
        </w:rPr>
        <w:t>Journeys</w:t>
      </w:r>
      <w:r w:rsidRPr="00643B23">
        <w:rPr>
          <w:rFonts w:cs="Times New Roman"/>
          <w:color w:val="222222"/>
          <w:shd w:val="clear" w:color="auto" w:fill="FFFFFF"/>
        </w:rPr>
        <w:t> 22, no. 1 (2021): 1-20.</w:t>
      </w:r>
    </w:p>
  </w:footnote>
  <w:footnote w:id="49">
    <w:p w14:paraId="5983C8A3" w14:textId="74C3D778" w:rsidR="00532FE4" w:rsidRPr="00DA479A" w:rsidRDefault="00532FE4">
      <w:pPr>
        <w:pStyle w:val="FootnoteText"/>
        <w:rPr>
          <w:rFonts w:cs="Times New Roman"/>
        </w:rPr>
      </w:pPr>
      <w:r w:rsidRPr="00DA479A">
        <w:rPr>
          <w:rStyle w:val="FootnoteReference"/>
          <w:rFonts w:cs="Times New Roman"/>
        </w:rPr>
        <w:footnoteRef/>
      </w:r>
      <w:r w:rsidRPr="00DA479A">
        <w:rPr>
          <w:rFonts w:cs="Times New Roman"/>
        </w:rPr>
        <w:t xml:space="preserve"> </w:t>
      </w:r>
      <w:r w:rsidRPr="00DA479A">
        <w:rPr>
          <w:rFonts w:cs="Times New Roman"/>
          <w:color w:val="222222"/>
          <w:shd w:val="clear" w:color="auto" w:fill="FFFFFF"/>
        </w:rPr>
        <w:t xml:space="preserve">Saeed, Asia, Nabila Akbar, Izza Bilal Karori, and Muhammad Imran. </w:t>
      </w:r>
      <w:r w:rsidR="00E266A8" w:rsidRPr="00DA479A">
        <w:rPr>
          <w:rFonts w:cs="Times New Roman"/>
          <w:color w:val="222222"/>
          <w:shd w:val="clear" w:color="auto" w:fill="FFFFFF"/>
        </w:rPr>
        <w:t>"Re-Constructing Stereotypical Image Of Muslim Women: A Case Study Of Memoir; Dreams Of Trespass: Tales Of A Harem Girlhood By Fatima Mernissi.</w:t>
      </w:r>
      <w:r w:rsidRPr="00DA479A">
        <w:rPr>
          <w:rFonts w:cs="Times New Roman"/>
          <w:color w:val="222222"/>
          <w:shd w:val="clear" w:color="auto" w:fill="FFFFFF"/>
        </w:rPr>
        <w:t>" </w:t>
      </w:r>
      <w:r w:rsidRPr="00DA479A">
        <w:rPr>
          <w:rFonts w:cs="Times New Roman"/>
          <w:i/>
          <w:iCs/>
          <w:color w:val="222222"/>
          <w:shd w:val="clear" w:color="auto" w:fill="FFFFFF"/>
        </w:rPr>
        <w:t>Harf-o-Sukhan</w:t>
      </w:r>
      <w:r w:rsidRPr="00DA479A">
        <w:rPr>
          <w:rFonts w:cs="Times New Roman"/>
          <w:color w:val="222222"/>
          <w:shd w:val="clear" w:color="auto" w:fill="FFFFFF"/>
        </w:rPr>
        <w:t> 4, no. 1 (2020): 21-33.</w:t>
      </w:r>
    </w:p>
  </w:footnote>
  <w:footnote w:id="50">
    <w:p w14:paraId="2FB4F593" w14:textId="7BAB20A0" w:rsidR="00532FE4" w:rsidRPr="00643B23" w:rsidRDefault="00532FE4">
      <w:pPr>
        <w:pStyle w:val="FootnoteText"/>
        <w:rPr>
          <w:rFonts w:cs="Times New Roman"/>
        </w:rPr>
      </w:pPr>
      <w:r w:rsidRPr="00DA479A">
        <w:rPr>
          <w:rStyle w:val="FootnoteReference"/>
          <w:rFonts w:cs="Times New Roman"/>
        </w:rPr>
        <w:footnoteRef/>
      </w:r>
      <w:r w:rsidRPr="00DA479A">
        <w:rPr>
          <w:rFonts w:cs="Times New Roman"/>
        </w:rPr>
        <w:t xml:space="preserve"> </w:t>
      </w:r>
      <w:r w:rsidR="00631BF3" w:rsidRPr="00631BF3">
        <w:rPr>
          <w:rFonts w:cs="Times New Roman"/>
          <w:color w:val="222222"/>
          <w:shd w:val="clear" w:color="auto" w:fill="FFFFFF"/>
        </w:rPr>
        <w:t>Fatima</w:t>
      </w:r>
      <w:r w:rsidR="00631BF3">
        <w:rPr>
          <w:rFonts w:cs="Times New Roman"/>
          <w:color w:val="222222"/>
          <w:shd w:val="clear" w:color="auto" w:fill="FFFFFF"/>
        </w:rPr>
        <w:t>,</w:t>
      </w:r>
      <w:r w:rsidR="00631BF3" w:rsidRPr="00631BF3">
        <w:rPr>
          <w:rFonts w:cs="Times New Roman"/>
          <w:color w:val="222222"/>
          <w:shd w:val="clear" w:color="auto" w:fill="FFFFFF"/>
        </w:rPr>
        <w:t xml:space="preserve"> Mernissi . Women's Rebellion &amp; Islamic Memory. United Kingdom, Zed Books, 1996</w:t>
      </w:r>
      <w:r w:rsidR="00631BF3">
        <w:rPr>
          <w:rFonts w:cs="Times New Roman"/>
          <w:color w:val="222222"/>
          <w:shd w:val="clear" w:color="auto" w:fill="FFFFFF"/>
        </w:rPr>
        <w:t>, p100.</w:t>
      </w:r>
    </w:p>
  </w:footnote>
  <w:footnote w:id="51">
    <w:p w14:paraId="446E0C74" w14:textId="4BA367B3" w:rsidR="00BC2DDC" w:rsidRPr="005F3755" w:rsidRDefault="00BC2DDC">
      <w:pPr>
        <w:pStyle w:val="FootnoteText"/>
        <w:rPr>
          <w:rFonts w:cs="Times New Roman"/>
          <w:lang w:val="en-GB"/>
        </w:rPr>
      </w:pPr>
      <w:r>
        <w:rPr>
          <w:rStyle w:val="FootnoteReference"/>
        </w:rPr>
        <w:footnoteRef/>
      </w:r>
      <w:r>
        <w:t xml:space="preserve"> </w:t>
      </w:r>
      <w:r w:rsidR="005F3755">
        <w:t xml:space="preserve">R.R. </w:t>
      </w:r>
      <w:r w:rsidR="005F3755" w:rsidRPr="005F3755">
        <w:rPr>
          <w:rFonts w:cs="Times New Roman"/>
          <w:color w:val="000000"/>
          <w:shd w:val="clear" w:color="auto" w:fill="FFFFFF"/>
        </w:rPr>
        <w:t>Rhouni. "Revisiting Islam From ‘Within’". In </w:t>
      </w:r>
      <w:r w:rsidR="005F3755" w:rsidRPr="005F3755">
        <w:rPr>
          <w:rStyle w:val="Emphasis"/>
          <w:rFonts w:cs="Times New Roman"/>
          <w:color w:val="000000"/>
          <w:shd w:val="clear" w:color="auto" w:fill="FFFFFF"/>
        </w:rPr>
        <w:t>Secular and Islamic Feminist Critiques in the Work of Fatima Mernissi</w:t>
      </w:r>
      <w:r w:rsidR="005F3755" w:rsidRPr="005F3755">
        <w:rPr>
          <w:rFonts w:cs="Times New Roman"/>
          <w:color w:val="000000"/>
          <w:shd w:val="clear" w:color="auto" w:fill="FFFFFF"/>
        </w:rPr>
        <w:t xml:space="preserve">. </w:t>
      </w:r>
      <w:r w:rsidR="005F3755">
        <w:rPr>
          <w:rFonts w:cs="Times New Roman"/>
          <w:color w:val="000000"/>
          <w:shd w:val="clear" w:color="auto" w:fill="FFFFFF"/>
        </w:rPr>
        <w:t>(</w:t>
      </w:r>
      <w:r w:rsidR="005F3755" w:rsidRPr="005F3755">
        <w:rPr>
          <w:rFonts w:cs="Times New Roman"/>
          <w:color w:val="000000"/>
          <w:shd w:val="clear" w:color="auto" w:fill="FFFFFF"/>
        </w:rPr>
        <w:t>Leiden</w:t>
      </w:r>
      <w:r w:rsidR="005F3755">
        <w:rPr>
          <w:rFonts w:cs="Times New Roman"/>
          <w:color w:val="000000"/>
          <w:shd w:val="clear" w:color="auto" w:fill="FFFFFF"/>
        </w:rPr>
        <w:t>:</w:t>
      </w:r>
      <w:r w:rsidR="005F3755" w:rsidRPr="005F3755">
        <w:rPr>
          <w:rFonts w:cs="Times New Roman"/>
          <w:color w:val="000000"/>
          <w:shd w:val="clear" w:color="auto" w:fill="FFFFFF"/>
        </w:rPr>
        <w:t xml:space="preserve"> Brill</w:t>
      </w:r>
      <w:r w:rsidR="005F3755">
        <w:rPr>
          <w:rFonts w:cs="Times New Roman"/>
          <w:color w:val="000000"/>
          <w:shd w:val="clear" w:color="auto" w:fill="FFFFFF"/>
        </w:rPr>
        <w:t>,2009), p196.</w:t>
      </w:r>
    </w:p>
  </w:footnote>
  <w:footnote w:id="52">
    <w:p w14:paraId="4C3DD282" w14:textId="77777777" w:rsidR="00532FE4" w:rsidRDefault="00532FE4">
      <w:pPr>
        <w:pStyle w:val="FootnoteText"/>
      </w:pPr>
      <w:r>
        <w:rPr>
          <w:rStyle w:val="FootnoteReference"/>
        </w:rPr>
        <w:footnoteRef/>
      </w:r>
      <w:r>
        <w:t xml:space="preserve"> </w:t>
      </w:r>
      <w:r>
        <w:rPr>
          <w:rFonts w:ascii="Arial" w:hAnsi="Arial" w:cs="Arial"/>
          <w:color w:val="222222"/>
          <w:shd w:val="clear" w:color="auto" w:fill="FFFFFF"/>
        </w:rPr>
        <w:t>Shah, Saeeda. </w:t>
      </w:r>
      <w:r>
        <w:rPr>
          <w:rFonts w:ascii="Arial" w:hAnsi="Arial" w:cs="Arial"/>
          <w:i/>
          <w:iCs/>
          <w:color w:val="222222"/>
          <w:shd w:val="clear" w:color="auto" w:fill="FFFFFF"/>
        </w:rPr>
        <w:t>Education, leadership and Islam: Theories, discourses and practices from an Islamic perspective</w:t>
      </w:r>
      <w:r>
        <w:rPr>
          <w:rFonts w:ascii="Arial" w:hAnsi="Arial" w:cs="Arial"/>
          <w:color w:val="222222"/>
          <w:shd w:val="clear" w:color="auto" w:fill="FFFFFF"/>
        </w:rPr>
        <w:t>. Routledge, 2015.</w:t>
      </w:r>
    </w:p>
  </w:footnote>
  <w:footnote w:id="53">
    <w:p w14:paraId="7AC1915A" w14:textId="365C1165" w:rsidR="00532FE4" w:rsidRPr="00DA479A" w:rsidRDefault="00532FE4">
      <w:pPr>
        <w:pStyle w:val="FootnoteText"/>
        <w:rPr>
          <w:rFonts w:cs="Times New Roman"/>
        </w:rPr>
      </w:pPr>
      <w:r w:rsidRPr="00DA479A">
        <w:rPr>
          <w:rStyle w:val="FootnoteReference"/>
          <w:rFonts w:cs="Times New Roman"/>
        </w:rPr>
        <w:footnoteRef/>
      </w:r>
      <w:r w:rsidRPr="00DA479A">
        <w:rPr>
          <w:rFonts w:cs="Times New Roman"/>
        </w:rPr>
        <w:t xml:space="preserve"> </w:t>
      </w:r>
      <w:r w:rsidR="00E266A8" w:rsidRPr="00DA479A">
        <w:rPr>
          <w:rFonts w:cs="Times New Roman"/>
          <w:color w:val="222222"/>
          <w:shd w:val="clear" w:color="auto" w:fill="FFFFFF"/>
        </w:rPr>
        <w:t>Usar, Em. "Analysing The Position Of Female Muslims In Patriarchal Society And Their Choice Of Donning Ǧ ͳ."</w:t>
      </w:r>
    </w:p>
  </w:footnote>
  <w:footnote w:id="54">
    <w:p w14:paraId="6EF21883" w14:textId="77777777" w:rsidR="00532FE4" w:rsidRPr="00DA479A" w:rsidRDefault="00532FE4">
      <w:pPr>
        <w:pStyle w:val="FootnoteText"/>
        <w:rPr>
          <w:rFonts w:cs="Times New Roman"/>
        </w:rPr>
      </w:pPr>
      <w:r w:rsidRPr="00DA479A">
        <w:rPr>
          <w:rStyle w:val="FootnoteReference"/>
          <w:rFonts w:cs="Times New Roman"/>
        </w:rPr>
        <w:footnoteRef/>
      </w:r>
      <w:r w:rsidRPr="00DA479A">
        <w:rPr>
          <w:rFonts w:cs="Times New Roman"/>
        </w:rPr>
        <w:t xml:space="preserve"> </w:t>
      </w:r>
      <w:r w:rsidRPr="00DA479A">
        <w:rPr>
          <w:rFonts w:cs="Times New Roman"/>
          <w:color w:val="222222"/>
          <w:shd w:val="clear" w:color="auto" w:fill="FFFFFF"/>
        </w:rPr>
        <w:t>Mernissi, Fatima. "Women's work: Religious and scientific concepts as political manipulation in dependent Islam." In </w:t>
      </w:r>
      <w:r w:rsidRPr="00DA479A">
        <w:rPr>
          <w:rFonts w:cs="Times New Roman"/>
          <w:i/>
          <w:iCs/>
          <w:color w:val="222222"/>
          <w:shd w:val="clear" w:color="auto" w:fill="FFFFFF"/>
        </w:rPr>
        <w:t>Contemporary North Africa</w:t>
      </w:r>
      <w:r w:rsidRPr="00DA479A">
        <w:rPr>
          <w:rFonts w:cs="Times New Roman"/>
          <w:color w:val="222222"/>
          <w:shd w:val="clear" w:color="auto" w:fill="FFFFFF"/>
        </w:rPr>
        <w:t>, pp. 214-228. Routledge, 2015.</w:t>
      </w:r>
    </w:p>
  </w:footnote>
  <w:footnote w:id="55">
    <w:p w14:paraId="58A34C4E" w14:textId="77777777" w:rsidR="00532FE4" w:rsidRPr="00DA479A" w:rsidRDefault="00532FE4">
      <w:pPr>
        <w:pStyle w:val="FootnoteText"/>
        <w:rPr>
          <w:rFonts w:cs="Times New Roman"/>
        </w:rPr>
      </w:pPr>
      <w:r w:rsidRPr="00DA479A">
        <w:rPr>
          <w:rStyle w:val="FootnoteReference"/>
          <w:rFonts w:cs="Times New Roman"/>
        </w:rPr>
        <w:footnoteRef/>
      </w:r>
      <w:r w:rsidRPr="00DA479A">
        <w:rPr>
          <w:rFonts w:cs="Times New Roman"/>
        </w:rPr>
        <w:t xml:space="preserve"> </w:t>
      </w:r>
      <w:r w:rsidRPr="00DA479A">
        <w:rPr>
          <w:rFonts w:cs="Times New Roman"/>
          <w:color w:val="222222"/>
          <w:shd w:val="clear" w:color="auto" w:fill="FFFFFF"/>
        </w:rPr>
        <w:t>Khettal, Lydia. "Space and Resistance in Virginia Woolf’s Mrs. Dalloway (1925) and Fatima Mernissi’s The Veil and the Male Elite (1991)." PhD diss., Université Mouloud Mammeri Tizi Ouzou, 2018.</w:t>
      </w:r>
    </w:p>
  </w:footnote>
  <w:footnote w:id="56">
    <w:p w14:paraId="70639D39" w14:textId="0C74A816" w:rsidR="005F3755" w:rsidRPr="005F3755" w:rsidRDefault="005F3755">
      <w:pPr>
        <w:pStyle w:val="FootnoteText"/>
      </w:pPr>
      <w:r>
        <w:rPr>
          <w:rStyle w:val="FootnoteReference"/>
        </w:rPr>
        <w:footnoteRef/>
      </w:r>
      <w:r>
        <w:t xml:space="preserve"> </w:t>
      </w:r>
      <w:bookmarkStart w:id="3" w:name="_Hlk150877847"/>
      <w:r w:rsidRPr="005F3755">
        <w:t xml:space="preserve">Fatima </w:t>
      </w:r>
      <w:r w:rsidRPr="005F3755">
        <w:rPr>
          <w:shd w:val="clear" w:color="auto" w:fill="FFFFFF"/>
        </w:rPr>
        <w:t xml:space="preserve">Mernissi, </w:t>
      </w:r>
      <w:r w:rsidRPr="00B04BBE">
        <w:rPr>
          <w:i/>
          <w:iCs/>
          <w:shd w:val="clear" w:color="auto" w:fill="FFFFFF"/>
        </w:rPr>
        <w:t xml:space="preserve">L’Amour dans les pays </w:t>
      </w:r>
      <w:r w:rsidR="00B04BBE">
        <w:rPr>
          <w:i/>
          <w:iCs/>
          <w:shd w:val="clear" w:color="auto" w:fill="FFFFFF"/>
        </w:rPr>
        <w:t>M</w:t>
      </w:r>
      <w:r w:rsidRPr="00B04BBE">
        <w:rPr>
          <w:i/>
          <w:iCs/>
          <w:shd w:val="clear" w:color="auto" w:fill="FFFFFF"/>
        </w:rPr>
        <w:t>usulmans</w:t>
      </w:r>
      <w:r w:rsidRPr="005F3755">
        <w:rPr>
          <w:shd w:val="clear" w:color="auto" w:fill="FFFFFF"/>
        </w:rPr>
        <w:t xml:space="preserve">, </w:t>
      </w:r>
      <w:r w:rsidR="00EC6396">
        <w:rPr>
          <w:shd w:val="clear" w:color="auto" w:fill="FFFFFF"/>
        </w:rPr>
        <w:t>(France: Le Fennec, 2009</w:t>
      </w:r>
      <w:bookmarkEnd w:id="3"/>
      <w:r w:rsidR="00EC6396">
        <w:rPr>
          <w:shd w:val="clear" w:color="auto" w:fill="FFFFFF"/>
        </w:rPr>
        <w:t>), p</w:t>
      </w:r>
      <w:r w:rsidRPr="005F3755">
        <w:rPr>
          <w:shd w:val="clear" w:color="auto" w:fill="FFFFFF"/>
        </w:rPr>
        <w:t>19.</w:t>
      </w:r>
    </w:p>
  </w:footnote>
  <w:footnote w:id="57">
    <w:p w14:paraId="527399F5" w14:textId="69E96221" w:rsidR="00532FE4" w:rsidRPr="00A0512C" w:rsidRDefault="00532FE4" w:rsidP="00A0512C">
      <w:pPr>
        <w:pStyle w:val="NormalWeb"/>
        <w:spacing w:before="0" w:beforeAutospacing="0" w:after="0" w:afterAutospacing="0"/>
        <w:ind w:left="720" w:hanging="720"/>
        <w:jc w:val="both"/>
        <w:rPr>
          <w:color w:val="000000"/>
          <w:sz w:val="20"/>
          <w:szCs w:val="20"/>
        </w:rPr>
      </w:pPr>
      <w:r>
        <w:rPr>
          <w:rStyle w:val="FootnoteReference"/>
        </w:rPr>
        <w:footnoteRef/>
      </w:r>
      <w:r>
        <w:t xml:space="preserve"> </w:t>
      </w:r>
      <w:r w:rsidRPr="00643B23">
        <w:rPr>
          <w:color w:val="000000"/>
          <w:sz w:val="20"/>
          <w:szCs w:val="20"/>
        </w:rPr>
        <w:t>Zaid, Derif. n.d. “Veil and the Male Elite - a Feminist Interpretation of Womens Rights in Islam - [By, Fatima</w:t>
      </w:r>
      <w:r w:rsidR="005C69EC">
        <w:rPr>
          <w:color w:val="000000"/>
          <w:sz w:val="20"/>
          <w:szCs w:val="20"/>
        </w:rPr>
        <w:t xml:space="preserve"> </w:t>
      </w:r>
      <w:r w:rsidRPr="00643B23">
        <w:rPr>
          <w:color w:val="000000"/>
          <w:sz w:val="20"/>
          <w:szCs w:val="20"/>
        </w:rPr>
        <w:t>Mernissi].Pdf.” </w:t>
      </w:r>
      <w:r w:rsidRPr="00643B23">
        <w:rPr>
          <w:i/>
          <w:iCs/>
          <w:color w:val="000000"/>
          <w:sz w:val="20"/>
          <w:szCs w:val="20"/>
        </w:rPr>
        <w:t>Www.academia.edu</w:t>
      </w:r>
      <w:r w:rsidRPr="00643B23">
        <w:rPr>
          <w:color w:val="000000"/>
          <w:sz w:val="20"/>
          <w:szCs w:val="20"/>
        </w:rPr>
        <w:t>. https://www.academia.edu/30969452/Veil_and_the_Male_Elite_A_Feminist_Interpretation_of_Womens_Rights_in_Islam_By_Fatima_Mernissi_pdf.</w:t>
      </w:r>
    </w:p>
  </w:footnote>
  <w:footnote w:id="58">
    <w:p w14:paraId="143DD606" w14:textId="30B1B2C5" w:rsidR="00532FE4" w:rsidRPr="00A0512C" w:rsidRDefault="00532FE4" w:rsidP="00A0512C">
      <w:pPr>
        <w:pStyle w:val="NormalWeb"/>
        <w:spacing w:before="0" w:beforeAutospacing="0" w:after="0" w:afterAutospacing="0"/>
        <w:ind w:left="720" w:hanging="720"/>
        <w:jc w:val="both"/>
        <w:rPr>
          <w:color w:val="000000"/>
          <w:sz w:val="20"/>
          <w:szCs w:val="20"/>
        </w:rPr>
      </w:pPr>
      <w:r>
        <w:rPr>
          <w:rStyle w:val="FootnoteReference"/>
        </w:rPr>
        <w:footnoteRef/>
      </w:r>
      <w:r>
        <w:t xml:space="preserve"> </w:t>
      </w:r>
      <w:r w:rsidRPr="009B7EE4">
        <w:rPr>
          <w:color w:val="000000"/>
          <w:sz w:val="20"/>
          <w:szCs w:val="20"/>
        </w:rPr>
        <w:t>“Reset Dialogues on Civilizations | a Venue for All Tribes.” 2015. Reset Dialogues on Civilizations | a Venue for All Tribes. 2015. https://www.resetdoc.org/story/fatema-mernissi-the-pride-of-islamic-feminism-in-modern-times/.</w:t>
      </w:r>
    </w:p>
  </w:footnote>
  <w:footnote w:id="59">
    <w:p w14:paraId="27E7AA42" w14:textId="3B757E16" w:rsidR="00532FE4" w:rsidRPr="00A0512C" w:rsidRDefault="00532FE4" w:rsidP="00A0512C">
      <w:pPr>
        <w:pStyle w:val="NormalWeb"/>
        <w:spacing w:before="0" w:beforeAutospacing="0" w:after="0" w:afterAutospacing="0"/>
        <w:jc w:val="both"/>
        <w:rPr>
          <w:color w:val="000000"/>
          <w:sz w:val="20"/>
          <w:szCs w:val="20"/>
        </w:rPr>
      </w:pPr>
      <w:r w:rsidRPr="009B7EE4">
        <w:rPr>
          <w:color w:val="000000"/>
          <w:sz w:val="20"/>
          <w:szCs w:val="20"/>
        </w:rPr>
        <w:footnoteRef/>
      </w:r>
      <w:r w:rsidRPr="009B7EE4">
        <w:rPr>
          <w:color w:val="000000"/>
          <w:sz w:val="20"/>
          <w:szCs w:val="20"/>
        </w:rPr>
        <w:t>“Remembering</w:t>
      </w:r>
      <w:r w:rsidR="00A0512C">
        <w:rPr>
          <w:color w:val="000000"/>
          <w:sz w:val="20"/>
          <w:szCs w:val="20"/>
        </w:rPr>
        <w:t xml:space="preserve"> </w:t>
      </w:r>
      <w:r w:rsidRPr="009B7EE4">
        <w:rPr>
          <w:color w:val="000000"/>
          <w:sz w:val="20"/>
          <w:szCs w:val="20"/>
        </w:rPr>
        <w:t>Islamic Feminist Fatema Mernissi.” n.d.NPR.org. https://www.npr.org/2015/12/10/459223430/remembering-islamic-feminist-fatema-mernissi.</w:t>
      </w:r>
    </w:p>
  </w:footnote>
  <w:footnote w:id="60">
    <w:p w14:paraId="450403E2" w14:textId="77777777" w:rsidR="00532FE4" w:rsidRPr="006654FD" w:rsidRDefault="00532FE4">
      <w:pPr>
        <w:pStyle w:val="FootnoteText"/>
        <w:rPr>
          <w:rFonts w:cs="Times New Roman"/>
        </w:rPr>
      </w:pPr>
      <w:r>
        <w:rPr>
          <w:rStyle w:val="FootnoteReference"/>
        </w:rPr>
        <w:footnoteRef/>
      </w:r>
      <w:r>
        <w:t xml:space="preserve"> </w:t>
      </w:r>
      <w:r w:rsidRPr="006654FD">
        <w:rPr>
          <w:rFonts w:cs="Times New Roman"/>
          <w:color w:val="222222"/>
          <w:shd w:val="clear" w:color="auto" w:fill="FFFFFF"/>
        </w:rPr>
        <w:t>Bano, Masooda. </w:t>
      </w:r>
      <w:r w:rsidRPr="006654FD">
        <w:rPr>
          <w:rFonts w:cs="Times New Roman"/>
          <w:i/>
          <w:iCs/>
          <w:color w:val="222222"/>
          <w:shd w:val="clear" w:color="auto" w:fill="FFFFFF"/>
        </w:rPr>
        <w:t>Female Islamic education movements: The re-democratisation of Islamic knowledge</w:t>
      </w:r>
      <w:r w:rsidRPr="006654FD">
        <w:rPr>
          <w:rFonts w:cs="Times New Roman"/>
          <w:color w:val="222222"/>
          <w:shd w:val="clear" w:color="auto" w:fill="FFFFFF"/>
        </w:rPr>
        <w:t>. Cambridge University Press, 2017.</w:t>
      </w:r>
    </w:p>
  </w:footnote>
  <w:footnote w:id="61">
    <w:p w14:paraId="4615C008" w14:textId="77777777" w:rsidR="00532FE4" w:rsidRPr="004F05C3" w:rsidRDefault="00532FE4">
      <w:pPr>
        <w:pStyle w:val="FootnoteText"/>
        <w:rPr>
          <w:rFonts w:cs="Times New Roman"/>
        </w:rPr>
      </w:pPr>
      <w:r w:rsidRPr="004F05C3">
        <w:rPr>
          <w:rStyle w:val="FootnoteReference"/>
          <w:rFonts w:cs="Times New Roman"/>
        </w:rPr>
        <w:footnoteRef/>
      </w:r>
      <w:r w:rsidRPr="004F05C3">
        <w:rPr>
          <w:rFonts w:cs="Times New Roman"/>
        </w:rPr>
        <w:t xml:space="preserve"> </w:t>
      </w:r>
      <w:r w:rsidRPr="004F05C3">
        <w:rPr>
          <w:rFonts w:cs="Times New Roman"/>
          <w:color w:val="222222"/>
          <w:shd w:val="clear" w:color="auto" w:fill="FFFFFF"/>
        </w:rPr>
        <w:t>Andrea, Bernadette. "“Double Critique” and the Sufi Praxis of Travel in Leila Ahmed's A Border Passage and Fatema Mernissi's Scheherazade Goes West." </w:t>
      </w:r>
      <w:r w:rsidRPr="004F05C3">
        <w:rPr>
          <w:rFonts w:cs="Times New Roman"/>
          <w:i/>
          <w:iCs/>
          <w:color w:val="222222"/>
          <w:shd w:val="clear" w:color="auto" w:fill="FFFFFF"/>
        </w:rPr>
        <w:t>Journeys</w:t>
      </w:r>
      <w:r w:rsidRPr="004F05C3">
        <w:rPr>
          <w:rFonts w:cs="Times New Roman"/>
          <w:color w:val="222222"/>
          <w:shd w:val="clear" w:color="auto" w:fill="FFFFFF"/>
        </w:rPr>
        <w:t> 22, no. 1 (2021): 1-20.</w:t>
      </w:r>
    </w:p>
  </w:footnote>
  <w:footnote w:id="62">
    <w:p w14:paraId="4B74BEF5" w14:textId="77777777" w:rsidR="00532FE4" w:rsidRPr="006654FD" w:rsidRDefault="00532FE4">
      <w:pPr>
        <w:pStyle w:val="FootnoteText"/>
        <w:rPr>
          <w:rFonts w:cs="Times New Roman"/>
        </w:rPr>
      </w:pPr>
      <w:r>
        <w:rPr>
          <w:rStyle w:val="FootnoteReference"/>
        </w:rPr>
        <w:footnoteRef/>
      </w:r>
      <w:r>
        <w:t xml:space="preserve"> </w:t>
      </w:r>
      <w:r w:rsidRPr="006654FD">
        <w:rPr>
          <w:rFonts w:cs="Times New Roman"/>
          <w:color w:val="222222"/>
          <w:shd w:val="clear" w:color="auto" w:fill="FFFFFF"/>
        </w:rPr>
        <w:t>Oliveira, Jessica da Silva C. de, and Jessica da Silva C. de Oliveira. "East and West Encounters and Double Critique in Fatema Mernissi’s Writings." </w:t>
      </w:r>
      <w:r w:rsidRPr="006654FD">
        <w:rPr>
          <w:rFonts w:cs="Times New Roman"/>
          <w:i/>
          <w:iCs/>
          <w:color w:val="222222"/>
          <w:shd w:val="clear" w:color="auto" w:fill="FFFFFF"/>
        </w:rPr>
        <w:t>Postcolonial Maghreb and the Limits of IR</w:t>
      </w:r>
      <w:r w:rsidRPr="006654FD">
        <w:rPr>
          <w:rFonts w:cs="Times New Roman"/>
          <w:color w:val="222222"/>
          <w:shd w:val="clear" w:color="auto" w:fill="FFFFFF"/>
        </w:rPr>
        <w:t> (2020): 175-210.</w:t>
      </w:r>
    </w:p>
  </w:footnote>
  <w:footnote w:id="63">
    <w:p w14:paraId="4A5E4D88" w14:textId="50505F1F" w:rsidR="00BA0822" w:rsidRPr="00BA0822" w:rsidRDefault="00BA0822">
      <w:pPr>
        <w:pStyle w:val="FootnoteText"/>
        <w:rPr>
          <w:lang w:val="en-GB"/>
        </w:rPr>
      </w:pPr>
      <w:r>
        <w:rPr>
          <w:rStyle w:val="FootnoteReference"/>
        </w:rPr>
        <w:footnoteRef/>
      </w:r>
      <w:r>
        <w:t xml:space="preserve"> </w:t>
      </w:r>
      <w:r w:rsidRPr="00BA0822">
        <w:t>Jon</w:t>
      </w:r>
      <w:r>
        <w:t>,</w:t>
      </w:r>
      <w:r w:rsidRPr="00BA0822">
        <w:t xml:space="preserve"> Armajani. </w:t>
      </w:r>
      <w:r w:rsidRPr="00BA0822">
        <w:rPr>
          <w:i/>
          <w:iCs/>
        </w:rPr>
        <w:t>Dynamic Islam: Liberal Muslim Perspectives in a Transnational Age</w:t>
      </w:r>
      <w:r w:rsidRPr="00BA0822">
        <w:t>. </w:t>
      </w:r>
      <w:r>
        <w:t>(Oxford:</w:t>
      </w:r>
      <w:r w:rsidRPr="00BA0822">
        <w:t> University Press of America, 2004</w:t>
      </w:r>
      <w:r>
        <w:t>), p3.</w:t>
      </w:r>
    </w:p>
  </w:footnote>
  <w:footnote w:id="64">
    <w:p w14:paraId="6D6BA7A3" w14:textId="74FFA5A7" w:rsidR="00BA0822" w:rsidRPr="00BA0822" w:rsidRDefault="00BA0822">
      <w:pPr>
        <w:pStyle w:val="FootnoteText"/>
        <w:rPr>
          <w:lang w:val="en-GB"/>
        </w:rPr>
      </w:pPr>
      <w:r>
        <w:rPr>
          <w:rStyle w:val="FootnoteReference"/>
        </w:rPr>
        <w:footnoteRef/>
      </w:r>
      <w:r>
        <w:t xml:space="preserve"> </w:t>
      </w:r>
      <w:r w:rsidR="001C2911">
        <w:t xml:space="preserve">Daniel R. </w:t>
      </w:r>
      <w:r w:rsidRPr="00BA0822">
        <w:t>Woolf,  </w:t>
      </w:r>
      <w:r w:rsidRPr="001C2911">
        <w:rPr>
          <w:i/>
          <w:iCs/>
        </w:rPr>
        <w:t>The Oxford History of Historical Writing: Volume 5: Historical Writing Since 1945</w:t>
      </w:r>
      <w:r w:rsidRPr="00BA0822">
        <w:t>. </w:t>
      </w:r>
      <w:r w:rsidR="001C2911">
        <w:t xml:space="preserve">(Oxford: </w:t>
      </w:r>
      <w:r w:rsidRPr="00BA0822">
        <w:t>O</w:t>
      </w:r>
      <w:r w:rsidR="001C2911">
        <w:t>xford University Press</w:t>
      </w:r>
      <w:r w:rsidRPr="00BA0822">
        <w:t>, 2011</w:t>
      </w:r>
      <w:r w:rsidR="001C2911">
        <w:t>),</w:t>
      </w:r>
      <w:r>
        <w:t xml:space="preserve"> </w:t>
      </w:r>
      <w:r w:rsidR="001C2911">
        <w:t>p</w:t>
      </w:r>
      <w:r>
        <w:t>512.</w:t>
      </w:r>
    </w:p>
  </w:footnote>
  <w:footnote w:id="65">
    <w:p w14:paraId="0A9735F6" w14:textId="77777777" w:rsidR="00532FE4" w:rsidRDefault="00532FE4">
      <w:pPr>
        <w:pStyle w:val="FootnoteText"/>
      </w:pPr>
      <w:r>
        <w:rPr>
          <w:rStyle w:val="FootnoteReference"/>
        </w:rPr>
        <w:footnoteRef/>
      </w:r>
      <w:r>
        <w:t xml:space="preserve"> </w:t>
      </w:r>
      <w:r w:rsidRPr="006654FD">
        <w:rPr>
          <w:rFonts w:cs="Times New Roman"/>
          <w:color w:val="222222"/>
          <w:shd w:val="clear" w:color="auto" w:fill="FFFFFF"/>
        </w:rPr>
        <w:t>Islam, Md Nazrul. </w:t>
      </w:r>
      <w:r w:rsidRPr="006654FD">
        <w:rPr>
          <w:rFonts w:cs="Times New Roman"/>
          <w:i/>
          <w:iCs/>
          <w:color w:val="222222"/>
          <w:shd w:val="clear" w:color="auto" w:fill="FFFFFF"/>
        </w:rPr>
        <w:t>Islam and democracy in South Asia</w:t>
      </w:r>
      <w:r w:rsidRPr="006654FD">
        <w:rPr>
          <w:rFonts w:cs="Times New Roman"/>
          <w:color w:val="222222"/>
          <w:shd w:val="clear" w:color="auto" w:fill="FFFFFF"/>
        </w:rPr>
        <w:t>. Palgrave Macmillan, 2020.</w:t>
      </w:r>
    </w:p>
  </w:footnote>
  <w:footnote w:id="66">
    <w:p w14:paraId="65FDCE05" w14:textId="77777777" w:rsidR="00532FE4" w:rsidRPr="006654FD" w:rsidRDefault="00532FE4">
      <w:pPr>
        <w:pStyle w:val="FootnoteText"/>
        <w:rPr>
          <w:rFonts w:cs="Times New Roman"/>
        </w:rPr>
      </w:pPr>
      <w:r>
        <w:rPr>
          <w:rStyle w:val="FootnoteReference"/>
        </w:rPr>
        <w:footnoteRef/>
      </w:r>
      <w:r>
        <w:t xml:space="preserve"> </w:t>
      </w:r>
      <w:r w:rsidRPr="006654FD">
        <w:rPr>
          <w:rFonts w:cs="Times New Roman"/>
          <w:color w:val="222222"/>
          <w:shd w:val="clear" w:color="auto" w:fill="FFFFFF"/>
        </w:rPr>
        <w:t>Jalajel, David Solomon. </w:t>
      </w:r>
      <w:r w:rsidRPr="006654FD">
        <w:rPr>
          <w:rFonts w:cs="Times New Roman"/>
          <w:i/>
          <w:iCs/>
          <w:color w:val="222222"/>
          <w:shd w:val="clear" w:color="auto" w:fill="FFFFFF"/>
        </w:rPr>
        <w:t>Women and leadership in Islamic law: A critical analysis of classical legal texts</w:t>
      </w:r>
      <w:r w:rsidRPr="006654FD">
        <w:rPr>
          <w:rFonts w:cs="Times New Roman"/>
          <w:color w:val="222222"/>
          <w:shd w:val="clear" w:color="auto" w:fill="FFFFFF"/>
        </w:rPr>
        <w:t>. Taylor &amp; Francis, 2016.</w:t>
      </w:r>
    </w:p>
  </w:footnote>
  <w:footnote w:id="67">
    <w:p w14:paraId="54D583BC" w14:textId="77777777" w:rsidR="00532FE4" w:rsidRPr="004F05C3" w:rsidRDefault="00532FE4">
      <w:pPr>
        <w:pStyle w:val="FootnoteText"/>
        <w:rPr>
          <w:rFonts w:cs="Times New Roman"/>
        </w:rPr>
      </w:pPr>
      <w:r w:rsidRPr="004F05C3">
        <w:rPr>
          <w:rStyle w:val="FootnoteReference"/>
          <w:rFonts w:cs="Times New Roman"/>
        </w:rPr>
        <w:footnoteRef/>
      </w:r>
      <w:r w:rsidRPr="004F05C3">
        <w:rPr>
          <w:rFonts w:cs="Times New Roman"/>
        </w:rPr>
        <w:t xml:space="preserve"> </w:t>
      </w:r>
      <w:r w:rsidRPr="004F05C3">
        <w:rPr>
          <w:rFonts w:cs="Times New Roman"/>
          <w:color w:val="222222"/>
          <w:shd w:val="clear" w:color="auto" w:fill="FFFFFF"/>
        </w:rPr>
        <w:t>Connell, Raewyn. "Meeting at the edge of fear: Theory on a world scale." </w:t>
      </w:r>
      <w:r w:rsidRPr="004F05C3">
        <w:rPr>
          <w:rFonts w:cs="Times New Roman"/>
          <w:i/>
          <w:iCs/>
          <w:color w:val="222222"/>
          <w:shd w:val="clear" w:color="auto" w:fill="FFFFFF"/>
        </w:rPr>
        <w:t>Feminist theory</w:t>
      </w:r>
      <w:r w:rsidRPr="004F05C3">
        <w:rPr>
          <w:rFonts w:cs="Times New Roman"/>
          <w:color w:val="222222"/>
          <w:shd w:val="clear" w:color="auto" w:fill="FFFFFF"/>
        </w:rPr>
        <w:t> 16, no. 1 (2015): 49-66.</w:t>
      </w:r>
    </w:p>
  </w:footnote>
  <w:footnote w:id="68">
    <w:p w14:paraId="1E2BAF0C" w14:textId="77777777" w:rsidR="00532FE4" w:rsidRPr="006654FD" w:rsidRDefault="00532FE4">
      <w:pPr>
        <w:pStyle w:val="FootnoteText"/>
        <w:rPr>
          <w:rFonts w:cs="Times New Roman"/>
        </w:rPr>
      </w:pPr>
      <w:r>
        <w:rPr>
          <w:rStyle w:val="FootnoteReference"/>
        </w:rPr>
        <w:footnoteRef/>
      </w:r>
      <w:r>
        <w:t xml:space="preserve"> </w:t>
      </w:r>
      <w:r w:rsidRPr="006654FD">
        <w:rPr>
          <w:rFonts w:cs="Times New Roman"/>
          <w:color w:val="222222"/>
          <w:shd w:val="clear" w:color="auto" w:fill="FFFFFF"/>
        </w:rPr>
        <w:t>Lee, Abigail Grace. "Dreaming of New Realities in Fatima Mernissi's Dreams of Trespass, A Harem Girlhood." (2020).</w:t>
      </w:r>
    </w:p>
  </w:footnote>
  <w:footnote w:id="69">
    <w:p w14:paraId="78901EB8" w14:textId="481ED29E" w:rsidR="00312CFC" w:rsidRPr="00312CFC" w:rsidRDefault="00312CFC">
      <w:pPr>
        <w:pStyle w:val="FootnoteText"/>
        <w:rPr>
          <w:lang w:val="en-GB"/>
        </w:rPr>
      </w:pPr>
      <w:r>
        <w:rPr>
          <w:rStyle w:val="FootnoteReference"/>
        </w:rPr>
        <w:footnoteRef/>
      </w:r>
      <w:r>
        <w:t xml:space="preserve"> </w:t>
      </w:r>
      <w:r w:rsidR="00BC2DDC">
        <w:t xml:space="preserve">E. Marmudah,’ Hadith, Justice, and Gender Equality: Indonesian Progressive Muslims’ Thought’ </w:t>
      </w:r>
      <w:r w:rsidR="00BC2DDC" w:rsidRPr="00BC2DDC">
        <w:rPr>
          <w:i/>
          <w:iCs/>
        </w:rPr>
        <w:t>Pertanika J. Soc. Sci. &amp; Hum.</w:t>
      </w:r>
      <w:r w:rsidR="00BC2DDC">
        <w:t xml:space="preserve"> 27 (1): 405 - 417 (2019), p408.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9820221"/>
      <w:docPartObj>
        <w:docPartGallery w:val="Page Numbers (Top of Page)"/>
        <w:docPartUnique/>
      </w:docPartObj>
    </w:sdtPr>
    <w:sdtEndPr>
      <w:rPr>
        <w:noProof/>
      </w:rPr>
    </w:sdtEndPr>
    <w:sdtContent>
      <w:p w14:paraId="1D2CE199" w14:textId="77777777" w:rsidR="00532FE4" w:rsidRDefault="00532FE4">
        <w:pPr>
          <w:pStyle w:val="Header"/>
          <w:jc w:val="right"/>
        </w:pPr>
        <w:r>
          <w:fldChar w:fldCharType="begin"/>
        </w:r>
        <w:r>
          <w:instrText xml:space="preserve"> PAGE   \* MERGEFORMAT </w:instrText>
        </w:r>
        <w:r>
          <w:fldChar w:fldCharType="separate"/>
        </w:r>
        <w:r w:rsidR="0062728B">
          <w:rPr>
            <w:noProof/>
          </w:rPr>
          <w:t>24</w:t>
        </w:r>
        <w:r>
          <w:rPr>
            <w:noProof/>
          </w:rPr>
          <w:fldChar w:fldCharType="end"/>
        </w:r>
      </w:p>
    </w:sdtContent>
  </w:sdt>
  <w:p w14:paraId="5DD7701D" w14:textId="77777777" w:rsidR="00532FE4" w:rsidRDefault="00532F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925738"/>
    <w:multiLevelType w:val="hybridMultilevel"/>
    <w:tmpl w:val="928C80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2C5BDA"/>
    <w:multiLevelType w:val="hybridMultilevel"/>
    <w:tmpl w:val="F148E3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5E5E82"/>
    <w:multiLevelType w:val="hybridMultilevel"/>
    <w:tmpl w:val="BFF473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97758705">
    <w:abstractNumId w:val="1"/>
  </w:num>
  <w:num w:numId="2" w16cid:durableId="1777944354">
    <w:abstractNumId w:val="0"/>
  </w:num>
  <w:num w:numId="3" w16cid:durableId="6820986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A0D"/>
    <w:rsid w:val="00001642"/>
    <w:rsid w:val="000128FD"/>
    <w:rsid w:val="00016341"/>
    <w:rsid w:val="000268DB"/>
    <w:rsid w:val="00053FEA"/>
    <w:rsid w:val="000A40DC"/>
    <w:rsid w:val="000A4D51"/>
    <w:rsid w:val="000B67D3"/>
    <w:rsid w:val="000C2936"/>
    <w:rsid w:val="000C58E5"/>
    <w:rsid w:val="000F1B49"/>
    <w:rsid w:val="000F4E75"/>
    <w:rsid w:val="000F52A2"/>
    <w:rsid w:val="000F5D45"/>
    <w:rsid w:val="0010298F"/>
    <w:rsid w:val="00104F36"/>
    <w:rsid w:val="00112313"/>
    <w:rsid w:val="00112574"/>
    <w:rsid w:val="001165AB"/>
    <w:rsid w:val="001253CE"/>
    <w:rsid w:val="00144F16"/>
    <w:rsid w:val="001577A3"/>
    <w:rsid w:val="00172994"/>
    <w:rsid w:val="001857AB"/>
    <w:rsid w:val="0018669C"/>
    <w:rsid w:val="00192EE8"/>
    <w:rsid w:val="00196B86"/>
    <w:rsid w:val="001A00AE"/>
    <w:rsid w:val="001B4BA1"/>
    <w:rsid w:val="001C2911"/>
    <w:rsid w:val="001D473B"/>
    <w:rsid w:val="001F161C"/>
    <w:rsid w:val="001F6DC6"/>
    <w:rsid w:val="00205D87"/>
    <w:rsid w:val="00234D7D"/>
    <w:rsid w:val="00240769"/>
    <w:rsid w:val="00242D0A"/>
    <w:rsid w:val="002433AF"/>
    <w:rsid w:val="00256BC2"/>
    <w:rsid w:val="00262DA8"/>
    <w:rsid w:val="00264D78"/>
    <w:rsid w:val="00273EA8"/>
    <w:rsid w:val="00276F1A"/>
    <w:rsid w:val="00276F24"/>
    <w:rsid w:val="002A58A8"/>
    <w:rsid w:val="002F082E"/>
    <w:rsid w:val="002F5151"/>
    <w:rsid w:val="00312CFC"/>
    <w:rsid w:val="00332235"/>
    <w:rsid w:val="00351393"/>
    <w:rsid w:val="003672C3"/>
    <w:rsid w:val="0037399A"/>
    <w:rsid w:val="003A1210"/>
    <w:rsid w:val="003C13C9"/>
    <w:rsid w:val="003E5368"/>
    <w:rsid w:val="003E7CD1"/>
    <w:rsid w:val="00411EDB"/>
    <w:rsid w:val="00416914"/>
    <w:rsid w:val="00433489"/>
    <w:rsid w:val="00441FBF"/>
    <w:rsid w:val="00460B27"/>
    <w:rsid w:val="00461A0D"/>
    <w:rsid w:val="00471307"/>
    <w:rsid w:val="0048219D"/>
    <w:rsid w:val="004A13DD"/>
    <w:rsid w:val="004E5BEB"/>
    <w:rsid w:val="004F05C3"/>
    <w:rsid w:val="005117DB"/>
    <w:rsid w:val="0051336A"/>
    <w:rsid w:val="00516139"/>
    <w:rsid w:val="00526CCA"/>
    <w:rsid w:val="00530CE6"/>
    <w:rsid w:val="00532FE4"/>
    <w:rsid w:val="00533D10"/>
    <w:rsid w:val="00561A9A"/>
    <w:rsid w:val="00571DCF"/>
    <w:rsid w:val="00591360"/>
    <w:rsid w:val="00593877"/>
    <w:rsid w:val="0059600E"/>
    <w:rsid w:val="005C0C02"/>
    <w:rsid w:val="005C18A4"/>
    <w:rsid w:val="005C69EC"/>
    <w:rsid w:val="005E6ED9"/>
    <w:rsid w:val="005F3755"/>
    <w:rsid w:val="005F6C14"/>
    <w:rsid w:val="00601A43"/>
    <w:rsid w:val="006164BE"/>
    <w:rsid w:val="0062728B"/>
    <w:rsid w:val="00631BF3"/>
    <w:rsid w:val="00633CD9"/>
    <w:rsid w:val="006365C2"/>
    <w:rsid w:val="00643B23"/>
    <w:rsid w:val="006654FD"/>
    <w:rsid w:val="006755DB"/>
    <w:rsid w:val="00676BFB"/>
    <w:rsid w:val="00676F1A"/>
    <w:rsid w:val="00695131"/>
    <w:rsid w:val="00695654"/>
    <w:rsid w:val="006A3B0A"/>
    <w:rsid w:val="006C4A75"/>
    <w:rsid w:val="006D249E"/>
    <w:rsid w:val="006D7647"/>
    <w:rsid w:val="006E4D92"/>
    <w:rsid w:val="00741130"/>
    <w:rsid w:val="00743CBA"/>
    <w:rsid w:val="007520AA"/>
    <w:rsid w:val="00754FCC"/>
    <w:rsid w:val="007623D4"/>
    <w:rsid w:val="007919F2"/>
    <w:rsid w:val="007A2964"/>
    <w:rsid w:val="007B02CA"/>
    <w:rsid w:val="007B1E98"/>
    <w:rsid w:val="007D325E"/>
    <w:rsid w:val="007E211C"/>
    <w:rsid w:val="007E788F"/>
    <w:rsid w:val="008169B9"/>
    <w:rsid w:val="00831617"/>
    <w:rsid w:val="00843E4C"/>
    <w:rsid w:val="00845D82"/>
    <w:rsid w:val="00860348"/>
    <w:rsid w:val="00860539"/>
    <w:rsid w:val="00862523"/>
    <w:rsid w:val="00866116"/>
    <w:rsid w:val="008719E5"/>
    <w:rsid w:val="008859EE"/>
    <w:rsid w:val="008B2F54"/>
    <w:rsid w:val="008C0D42"/>
    <w:rsid w:val="008D327E"/>
    <w:rsid w:val="008D6685"/>
    <w:rsid w:val="008E2D5F"/>
    <w:rsid w:val="008F15A3"/>
    <w:rsid w:val="008F3963"/>
    <w:rsid w:val="009002B2"/>
    <w:rsid w:val="00907381"/>
    <w:rsid w:val="009323D0"/>
    <w:rsid w:val="009332B7"/>
    <w:rsid w:val="009366EC"/>
    <w:rsid w:val="00992B74"/>
    <w:rsid w:val="009B117D"/>
    <w:rsid w:val="009B4E36"/>
    <w:rsid w:val="009B7EE4"/>
    <w:rsid w:val="009C01D1"/>
    <w:rsid w:val="00A04B32"/>
    <w:rsid w:val="00A0512C"/>
    <w:rsid w:val="00A06B8B"/>
    <w:rsid w:val="00A07175"/>
    <w:rsid w:val="00A10DF8"/>
    <w:rsid w:val="00A22C0C"/>
    <w:rsid w:val="00A264E9"/>
    <w:rsid w:val="00A63EE1"/>
    <w:rsid w:val="00A65D4B"/>
    <w:rsid w:val="00A907CA"/>
    <w:rsid w:val="00A93920"/>
    <w:rsid w:val="00AA5018"/>
    <w:rsid w:val="00AE36A4"/>
    <w:rsid w:val="00AE7586"/>
    <w:rsid w:val="00AE7602"/>
    <w:rsid w:val="00AF375D"/>
    <w:rsid w:val="00B02E05"/>
    <w:rsid w:val="00B04BBE"/>
    <w:rsid w:val="00B11522"/>
    <w:rsid w:val="00B11CB2"/>
    <w:rsid w:val="00B233AB"/>
    <w:rsid w:val="00B25D88"/>
    <w:rsid w:val="00B32775"/>
    <w:rsid w:val="00B375CD"/>
    <w:rsid w:val="00B4340B"/>
    <w:rsid w:val="00B45EC2"/>
    <w:rsid w:val="00B65F79"/>
    <w:rsid w:val="00B66996"/>
    <w:rsid w:val="00B74BC5"/>
    <w:rsid w:val="00B762CA"/>
    <w:rsid w:val="00BA0822"/>
    <w:rsid w:val="00BA0859"/>
    <w:rsid w:val="00BA2D2F"/>
    <w:rsid w:val="00BC07F2"/>
    <w:rsid w:val="00BC16E7"/>
    <w:rsid w:val="00BC2DDC"/>
    <w:rsid w:val="00BE14D7"/>
    <w:rsid w:val="00BE581C"/>
    <w:rsid w:val="00BE75EB"/>
    <w:rsid w:val="00C173F7"/>
    <w:rsid w:val="00C40214"/>
    <w:rsid w:val="00C41BCE"/>
    <w:rsid w:val="00C610B4"/>
    <w:rsid w:val="00C6575A"/>
    <w:rsid w:val="00C72CD3"/>
    <w:rsid w:val="00C77D08"/>
    <w:rsid w:val="00CA2C53"/>
    <w:rsid w:val="00CB6703"/>
    <w:rsid w:val="00CE2AEF"/>
    <w:rsid w:val="00CE3078"/>
    <w:rsid w:val="00CF29D6"/>
    <w:rsid w:val="00D121AE"/>
    <w:rsid w:val="00D144AE"/>
    <w:rsid w:val="00D53A8F"/>
    <w:rsid w:val="00D63629"/>
    <w:rsid w:val="00D65E79"/>
    <w:rsid w:val="00D71182"/>
    <w:rsid w:val="00D94218"/>
    <w:rsid w:val="00DA479A"/>
    <w:rsid w:val="00DB634C"/>
    <w:rsid w:val="00DC7441"/>
    <w:rsid w:val="00DD1F31"/>
    <w:rsid w:val="00DE52E3"/>
    <w:rsid w:val="00DE6D61"/>
    <w:rsid w:val="00E13252"/>
    <w:rsid w:val="00E232F9"/>
    <w:rsid w:val="00E266A8"/>
    <w:rsid w:val="00E43C86"/>
    <w:rsid w:val="00E47209"/>
    <w:rsid w:val="00E5568B"/>
    <w:rsid w:val="00E62585"/>
    <w:rsid w:val="00E657C7"/>
    <w:rsid w:val="00E66F49"/>
    <w:rsid w:val="00E77EB4"/>
    <w:rsid w:val="00E87E3B"/>
    <w:rsid w:val="00EA223F"/>
    <w:rsid w:val="00EC1EAF"/>
    <w:rsid w:val="00EC6396"/>
    <w:rsid w:val="00F0450D"/>
    <w:rsid w:val="00F125A7"/>
    <w:rsid w:val="00F13F27"/>
    <w:rsid w:val="00F411FF"/>
    <w:rsid w:val="00F60554"/>
    <w:rsid w:val="00F70708"/>
    <w:rsid w:val="00F75BCB"/>
    <w:rsid w:val="00F80235"/>
    <w:rsid w:val="00F97B95"/>
    <w:rsid w:val="00FA00DF"/>
    <w:rsid w:val="00FB0359"/>
    <w:rsid w:val="00FB3174"/>
    <w:rsid w:val="00FC5486"/>
    <w:rsid w:val="00FD62B0"/>
    <w:rsid w:val="00FD7C03"/>
    <w:rsid w:val="00FE1D54"/>
    <w:rsid w:val="00FE43DF"/>
    <w:rsid w:val="00FF1F5A"/>
    <w:rsid w:val="00FF54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DB801B7"/>
  <w15:chartTrackingRefBased/>
  <w15:docId w15:val="{3EBCD831-C0DC-4EDC-9A5B-9BE82FAE7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69C"/>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7B1E98"/>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7B1E98"/>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695654"/>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16341"/>
    <w:pPr>
      <w:spacing w:after="0" w:line="240" w:lineRule="auto"/>
      <w:jc w:val="both"/>
    </w:pPr>
    <w:rPr>
      <w:rFonts w:ascii="Times New Roman" w:hAnsi="Times New Roman"/>
      <w:sz w:val="24"/>
    </w:rPr>
  </w:style>
  <w:style w:type="character" w:customStyle="1" w:styleId="Heading1Char">
    <w:name w:val="Heading 1 Char"/>
    <w:basedOn w:val="DefaultParagraphFont"/>
    <w:link w:val="Heading1"/>
    <w:uiPriority w:val="9"/>
    <w:rsid w:val="007B1E98"/>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7B1E98"/>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695654"/>
    <w:rPr>
      <w:rFonts w:ascii="Times New Roman" w:eastAsiaTheme="majorEastAsia" w:hAnsi="Times New Roman" w:cstheme="majorBidi"/>
      <w:b/>
      <w:sz w:val="24"/>
      <w:szCs w:val="24"/>
    </w:rPr>
  </w:style>
  <w:style w:type="paragraph" w:styleId="FootnoteText">
    <w:name w:val="footnote text"/>
    <w:basedOn w:val="Normal"/>
    <w:link w:val="FootnoteTextChar"/>
    <w:uiPriority w:val="99"/>
    <w:semiHidden/>
    <w:unhideWhenUsed/>
    <w:rsid w:val="00BE75E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E75EB"/>
    <w:rPr>
      <w:rFonts w:ascii="Times New Roman" w:hAnsi="Times New Roman"/>
      <w:sz w:val="20"/>
      <w:szCs w:val="20"/>
    </w:rPr>
  </w:style>
  <w:style w:type="character" w:styleId="FootnoteReference">
    <w:name w:val="footnote reference"/>
    <w:basedOn w:val="DefaultParagraphFont"/>
    <w:uiPriority w:val="99"/>
    <w:semiHidden/>
    <w:unhideWhenUsed/>
    <w:rsid w:val="00BE75EB"/>
    <w:rPr>
      <w:vertAlign w:val="superscript"/>
    </w:rPr>
  </w:style>
  <w:style w:type="paragraph" w:styleId="Header">
    <w:name w:val="header"/>
    <w:basedOn w:val="Normal"/>
    <w:link w:val="HeaderChar"/>
    <w:uiPriority w:val="99"/>
    <w:unhideWhenUsed/>
    <w:rsid w:val="00AE75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7586"/>
    <w:rPr>
      <w:rFonts w:ascii="Times New Roman" w:hAnsi="Times New Roman"/>
      <w:sz w:val="24"/>
    </w:rPr>
  </w:style>
  <w:style w:type="paragraph" w:styleId="Footer">
    <w:name w:val="footer"/>
    <w:basedOn w:val="Normal"/>
    <w:link w:val="FooterChar"/>
    <w:uiPriority w:val="99"/>
    <w:unhideWhenUsed/>
    <w:rsid w:val="00AE75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7586"/>
    <w:rPr>
      <w:rFonts w:ascii="Times New Roman" w:hAnsi="Times New Roman"/>
      <w:sz w:val="24"/>
    </w:rPr>
  </w:style>
  <w:style w:type="paragraph" w:styleId="NormalWeb">
    <w:name w:val="Normal (Web)"/>
    <w:basedOn w:val="Normal"/>
    <w:uiPriority w:val="99"/>
    <w:unhideWhenUsed/>
    <w:rsid w:val="008169B9"/>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A10DF8"/>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A10DF8"/>
    <w:pPr>
      <w:spacing w:after="100"/>
    </w:pPr>
  </w:style>
  <w:style w:type="paragraph" w:styleId="TOC2">
    <w:name w:val="toc 2"/>
    <w:basedOn w:val="Normal"/>
    <w:next w:val="Normal"/>
    <w:autoRedefine/>
    <w:uiPriority w:val="39"/>
    <w:unhideWhenUsed/>
    <w:rsid w:val="00A10DF8"/>
    <w:pPr>
      <w:spacing w:after="100"/>
      <w:ind w:left="240"/>
    </w:pPr>
  </w:style>
  <w:style w:type="paragraph" w:styleId="TOC3">
    <w:name w:val="toc 3"/>
    <w:basedOn w:val="Normal"/>
    <w:next w:val="Normal"/>
    <w:autoRedefine/>
    <w:uiPriority w:val="39"/>
    <w:unhideWhenUsed/>
    <w:rsid w:val="00A10DF8"/>
    <w:pPr>
      <w:spacing w:after="100"/>
      <w:ind w:left="480"/>
    </w:pPr>
  </w:style>
  <w:style w:type="character" w:styleId="Hyperlink">
    <w:name w:val="Hyperlink"/>
    <w:basedOn w:val="DefaultParagraphFont"/>
    <w:uiPriority w:val="99"/>
    <w:unhideWhenUsed/>
    <w:rsid w:val="00A10DF8"/>
    <w:rPr>
      <w:color w:val="0563C1" w:themeColor="hyperlink"/>
      <w:u w:val="single"/>
    </w:rPr>
  </w:style>
  <w:style w:type="paragraph" w:styleId="ListParagraph">
    <w:name w:val="List Paragraph"/>
    <w:basedOn w:val="Normal"/>
    <w:uiPriority w:val="34"/>
    <w:qFormat/>
    <w:rsid w:val="00860348"/>
    <w:pPr>
      <w:ind w:left="720"/>
      <w:contextualSpacing/>
    </w:pPr>
  </w:style>
  <w:style w:type="character" w:styleId="UnresolvedMention">
    <w:name w:val="Unresolved Mention"/>
    <w:basedOn w:val="DefaultParagraphFont"/>
    <w:uiPriority w:val="99"/>
    <w:semiHidden/>
    <w:unhideWhenUsed/>
    <w:rsid w:val="00CA2C53"/>
    <w:rPr>
      <w:color w:val="605E5C"/>
      <w:shd w:val="clear" w:color="auto" w:fill="E1DFDD"/>
    </w:rPr>
  </w:style>
  <w:style w:type="character" w:styleId="Emphasis">
    <w:name w:val="Emphasis"/>
    <w:basedOn w:val="DefaultParagraphFont"/>
    <w:uiPriority w:val="20"/>
    <w:qFormat/>
    <w:rsid w:val="00B11CB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555185">
      <w:bodyDiv w:val="1"/>
      <w:marLeft w:val="0"/>
      <w:marRight w:val="0"/>
      <w:marTop w:val="0"/>
      <w:marBottom w:val="0"/>
      <w:divBdr>
        <w:top w:val="none" w:sz="0" w:space="0" w:color="auto"/>
        <w:left w:val="none" w:sz="0" w:space="0" w:color="auto"/>
        <w:bottom w:val="none" w:sz="0" w:space="0" w:color="auto"/>
        <w:right w:val="none" w:sz="0" w:space="0" w:color="auto"/>
      </w:divBdr>
    </w:div>
    <w:div w:id="890965925">
      <w:bodyDiv w:val="1"/>
      <w:marLeft w:val="0"/>
      <w:marRight w:val="0"/>
      <w:marTop w:val="0"/>
      <w:marBottom w:val="0"/>
      <w:divBdr>
        <w:top w:val="none" w:sz="0" w:space="0" w:color="auto"/>
        <w:left w:val="none" w:sz="0" w:space="0" w:color="auto"/>
        <w:bottom w:val="none" w:sz="0" w:space="0" w:color="auto"/>
        <w:right w:val="none" w:sz="0" w:space="0" w:color="auto"/>
      </w:divBdr>
    </w:div>
    <w:div w:id="1160538635">
      <w:bodyDiv w:val="1"/>
      <w:marLeft w:val="0"/>
      <w:marRight w:val="0"/>
      <w:marTop w:val="0"/>
      <w:marBottom w:val="0"/>
      <w:divBdr>
        <w:top w:val="none" w:sz="0" w:space="0" w:color="auto"/>
        <w:left w:val="none" w:sz="0" w:space="0" w:color="auto"/>
        <w:bottom w:val="none" w:sz="0" w:space="0" w:color="auto"/>
        <w:right w:val="none" w:sz="0" w:space="0" w:color="auto"/>
      </w:divBdr>
    </w:div>
    <w:div w:id="1503660810">
      <w:bodyDiv w:val="1"/>
      <w:marLeft w:val="0"/>
      <w:marRight w:val="0"/>
      <w:marTop w:val="0"/>
      <w:marBottom w:val="0"/>
      <w:divBdr>
        <w:top w:val="none" w:sz="0" w:space="0" w:color="auto"/>
        <w:left w:val="none" w:sz="0" w:space="0" w:color="auto"/>
        <w:bottom w:val="none" w:sz="0" w:space="0" w:color="auto"/>
        <w:right w:val="none" w:sz="0" w:space="0" w:color="auto"/>
      </w:divBdr>
    </w:div>
    <w:div w:id="1538395665">
      <w:bodyDiv w:val="1"/>
      <w:marLeft w:val="0"/>
      <w:marRight w:val="0"/>
      <w:marTop w:val="0"/>
      <w:marBottom w:val="0"/>
      <w:divBdr>
        <w:top w:val="none" w:sz="0" w:space="0" w:color="auto"/>
        <w:left w:val="none" w:sz="0" w:space="0" w:color="auto"/>
        <w:bottom w:val="none" w:sz="0" w:space="0" w:color="auto"/>
        <w:right w:val="none" w:sz="0" w:space="0" w:color="auto"/>
      </w:divBdr>
    </w:div>
    <w:div w:id="1800298522">
      <w:bodyDiv w:val="1"/>
      <w:marLeft w:val="0"/>
      <w:marRight w:val="0"/>
      <w:marTop w:val="0"/>
      <w:marBottom w:val="0"/>
      <w:divBdr>
        <w:top w:val="none" w:sz="0" w:space="0" w:color="auto"/>
        <w:left w:val="none" w:sz="0" w:space="0" w:color="auto"/>
        <w:bottom w:val="none" w:sz="0" w:space="0" w:color="auto"/>
        <w:right w:val="none" w:sz="0" w:space="0" w:color="auto"/>
      </w:divBdr>
    </w:div>
    <w:div w:id="1921791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atemamernissi.com/about-us" TargetMode="External"/><Relationship Id="rId13" Type="http://schemas.openxmlformats.org/officeDocument/2006/relationships/hyperlink" Target="https://www.academia.edu/30969452/Veil_and_the_Male_Elite_A_Feminist_Interpretation_of_Womens_Rights_in_Islam_By_Fatima_Mernissi_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setdoc.org/story/fatema-mernissi-the-pride-of-islamic-feminism-in-modern-time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pr.org/2015/12/10/459223430/remembering-islamic-feminist-fatema-mernissi"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ave-network.org/inspiring-thursday-fatema-mernissi/" TargetMode="External"/><Relationship Id="rId4" Type="http://schemas.openxmlformats.org/officeDocument/2006/relationships/settings" Target="settings.xml"/><Relationship Id="rId9" Type="http://schemas.openxmlformats.org/officeDocument/2006/relationships/hyperlink" Target="https://www.nytimes.com/2015/12/10/world/middleeast/fatema-mernissi-a-founder-of-islamic-feminism-dies-at-75.html"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DD5A5F-E2E5-46A3-8C38-1E2A22A21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24</Pages>
  <Words>4752</Words>
  <Characters>29228</Characters>
  <Application>Microsoft Office Word</Application>
  <DocSecurity>0</DocSecurity>
  <Lines>243</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Xion Da Breo</dc:creator>
  <cp:keywords/>
  <dc:description/>
  <cp:lastModifiedBy>Xion</cp:lastModifiedBy>
  <cp:revision>28</cp:revision>
  <dcterms:created xsi:type="dcterms:W3CDTF">2023-10-19T15:22:00Z</dcterms:created>
  <dcterms:modified xsi:type="dcterms:W3CDTF">2023-11-16T10:42:00Z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c71e121bf9e308d554e9b2d0dda67796204aa8ab5eb4dc3b9eadcdeb80640550</vt:lpwstr>
  </property>
</Properties>
</file>