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58EDD8" w14:textId="77777777" w:rsidR="00092983" w:rsidRPr="00976460" w:rsidRDefault="00092983" w:rsidP="00092983">
      <w:pPr>
        <w:pStyle w:val="AssignBody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Both Maslow (1947) and Emery (2016) may agree that </w:t>
      </w:r>
      <w:r w:rsidRPr="001901EB">
        <w:rPr>
          <w:rFonts w:cs="Arial"/>
          <w:sz w:val="22"/>
          <w:szCs w:val="22"/>
        </w:rPr>
        <w:t xml:space="preserve">the intervention should firstly recognise </w:t>
      </w:r>
      <w:proofErr w:type="spellStart"/>
      <w:r w:rsidRPr="001901EB">
        <w:rPr>
          <w:rFonts w:cs="Arial"/>
          <w:sz w:val="22"/>
          <w:szCs w:val="22"/>
        </w:rPr>
        <w:t>Dafydd’s</w:t>
      </w:r>
      <w:proofErr w:type="spellEnd"/>
      <w:r w:rsidRPr="001901EB">
        <w:rPr>
          <w:rFonts w:cs="Arial"/>
          <w:sz w:val="22"/>
          <w:szCs w:val="22"/>
        </w:rPr>
        <w:t xml:space="preserve"> basic physiological </w:t>
      </w:r>
      <w:r>
        <w:rPr>
          <w:rFonts w:cs="Arial"/>
          <w:sz w:val="22"/>
          <w:szCs w:val="22"/>
        </w:rPr>
        <w:t>needs prior to developing his emotional well-being</w:t>
      </w:r>
      <w:r w:rsidRPr="001901EB">
        <w:rPr>
          <w:rFonts w:cs="Arial"/>
          <w:sz w:val="22"/>
          <w:szCs w:val="22"/>
        </w:rPr>
        <w:t>.</w:t>
      </w:r>
      <w:r>
        <w:rPr>
          <w:rFonts w:cs="Arial"/>
          <w:sz w:val="22"/>
          <w:szCs w:val="22"/>
        </w:rPr>
        <w:t xml:space="preserve"> It is understood that </w:t>
      </w:r>
      <w:proofErr w:type="spellStart"/>
      <w:r>
        <w:rPr>
          <w:rFonts w:cs="Arial"/>
          <w:sz w:val="22"/>
          <w:szCs w:val="22"/>
        </w:rPr>
        <w:t>Dafydd’s</w:t>
      </w:r>
      <w:proofErr w:type="spellEnd"/>
      <w:r>
        <w:rPr>
          <w:rFonts w:cs="Arial"/>
          <w:sz w:val="22"/>
          <w:szCs w:val="22"/>
        </w:rPr>
        <w:t xml:space="preserve"> basic needs are met by both parents and thus the intervention may progress onto the next tier. However, i</w:t>
      </w:r>
      <w:r w:rsidRPr="001901EB">
        <w:rPr>
          <w:rFonts w:cs="Arial"/>
          <w:sz w:val="22"/>
          <w:szCs w:val="22"/>
        </w:rPr>
        <w:t>n contrast to Emery (2016), Maslow (1987) outlined that the satisfaction of needs is not a complete phenomenon; needs do not have to be entirely satisfied to progress.</w:t>
      </w:r>
      <w:r>
        <w:rPr>
          <w:rFonts w:cs="Arial"/>
          <w:sz w:val="22"/>
          <w:szCs w:val="22"/>
        </w:rPr>
        <w:t xml:space="preserve"> </w:t>
      </w:r>
    </w:p>
    <w:p w14:paraId="3BA93A01" w14:textId="77777777" w:rsidR="00092983" w:rsidRPr="001901EB" w:rsidRDefault="00092983" w:rsidP="00092983">
      <w:pPr>
        <w:pStyle w:val="AssignBody"/>
        <w:rPr>
          <w:rFonts w:cs="Arial"/>
          <w:sz w:val="22"/>
          <w:szCs w:val="22"/>
        </w:rPr>
      </w:pPr>
    </w:p>
    <w:p w14:paraId="66231D97" w14:textId="77777777" w:rsidR="00092983" w:rsidRPr="0076659A" w:rsidRDefault="00092983" w:rsidP="00092983">
      <w:pPr>
        <w:pStyle w:val="AssignBody"/>
        <w:rPr>
          <w:rStyle w:val="hgkelc"/>
          <w:rFonts w:cs="Arial"/>
          <w:sz w:val="22"/>
          <w:szCs w:val="22"/>
        </w:rPr>
      </w:pPr>
      <w:r w:rsidRPr="001901EB">
        <w:rPr>
          <w:rFonts w:cs="Arial"/>
          <w:sz w:val="22"/>
          <w:szCs w:val="22"/>
        </w:rPr>
        <w:t>As opposed to Maslow (1987), who suggested that the stages are reversible</w:t>
      </w:r>
      <w:r>
        <w:rPr>
          <w:rFonts w:cs="Arial"/>
          <w:sz w:val="22"/>
          <w:szCs w:val="22"/>
        </w:rPr>
        <w:t xml:space="preserve">, </w:t>
      </w:r>
      <w:r w:rsidRPr="001901EB">
        <w:rPr>
          <w:rFonts w:cs="Arial"/>
          <w:sz w:val="22"/>
          <w:szCs w:val="22"/>
        </w:rPr>
        <w:t xml:space="preserve">Erikson (1950) </w:t>
      </w:r>
      <w:r>
        <w:rPr>
          <w:sz w:val="22"/>
          <w:szCs w:val="22"/>
        </w:rPr>
        <w:t xml:space="preserve">indicated </w:t>
      </w:r>
      <w:r w:rsidRPr="001901EB">
        <w:rPr>
          <w:sz w:val="22"/>
          <w:szCs w:val="22"/>
        </w:rPr>
        <w:t xml:space="preserve">that personality develops in a predetermined order through eight stages of psychological development, from infancy to adulthood. </w:t>
      </w:r>
      <w:r>
        <w:rPr>
          <w:sz w:val="22"/>
          <w:szCs w:val="22"/>
        </w:rPr>
        <w:t xml:space="preserve">Piaget (1950) may perhaps support </w:t>
      </w:r>
      <w:r w:rsidRPr="001901EB">
        <w:rPr>
          <w:sz w:val="22"/>
          <w:szCs w:val="22"/>
        </w:rPr>
        <w:t xml:space="preserve">Erikson’s theory </w:t>
      </w:r>
      <w:r w:rsidRPr="0076659A">
        <w:rPr>
          <w:sz w:val="22"/>
          <w:szCs w:val="22"/>
        </w:rPr>
        <w:t>(1950)</w:t>
      </w:r>
      <w:r>
        <w:rPr>
          <w:sz w:val="22"/>
          <w:szCs w:val="22"/>
        </w:rPr>
        <w:t xml:space="preserve"> as he also </w:t>
      </w:r>
      <w:r w:rsidRPr="001901EB">
        <w:rPr>
          <w:sz w:val="22"/>
          <w:szCs w:val="22"/>
        </w:rPr>
        <w:t>suggest</w:t>
      </w:r>
      <w:r>
        <w:rPr>
          <w:sz w:val="22"/>
          <w:szCs w:val="22"/>
        </w:rPr>
        <w:t>ed</w:t>
      </w:r>
      <w:r w:rsidRPr="001901EB">
        <w:rPr>
          <w:sz w:val="22"/>
          <w:szCs w:val="22"/>
        </w:rPr>
        <w:t xml:space="preserve"> that there are age-relate</w:t>
      </w:r>
      <w:r>
        <w:rPr>
          <w:sz w:val="22"/>
          <w:szCs w:val="22"/>
        </w:rPr>
        <w:t>d</w:t>
      </w:r>
      <w:r w:rsidRPr="001901EB">
        <w:rPr>
          <w:sz w:val="22"/>
          <w:szCs w:val="22"/>
        </w:rPr>
        <w:t xml:space="preserve"> development tasks</w:t>
      </w:r>
      <w:r>
        <w:rPr>
          <w:sz w:val="22"/>
          <w:szCs w:val="22"/>
        </w:rPr>
        <w:t xml:space="preserve">. In Erikson’s </w:t>
      </w:r>
      <w:r w:rsidRPr="001901EB">
        <w:rPr>
          <w:sz w:val="22"/>
          <w:szCs w:val="22"/>
        </w:rPr>
        <w:t xml:space="preserve">model, </w:t>
      </w:r>
      <w:proofErr w:type="spellStart"/>
      <w:r w:rsidRPr="001901EB">
        <w:rPr>
          <w:sz w:val="22"/>
          <w:szCs w:val="22"/>
        </w:rPr>
        <w:t>Dafydd</w:t>
      </w:r>
      <w:proofErr w:type="spellEnd"/>
      <w:r>
        <w:rPr>
          <w:sz w:val="22"/>
          <w:szCs w:val="22"/>
        </w:rPr>
        <w:t xml:space="preserve"> is within</w:t>
      </w:r>
      <w:r w:rsidRPr="001901EB">
        <w:rPr>
          <w:sz w:val="22"/>
          <w:szCs w:val="22"/>
        </w:rPr>
        <w:t xml:space="preserve"> the fourth </w:t>
      </w:r>
      <w:r w:rsidRPr="001901EB">
        <w:rPr>
          <w:rStyle w:val="st"/>
          <w:rFonts w:cs="Arial"/>
          <w:sz w:val="22"/>
          <w:szCs w:val="22"/>
        </w:rPr>
        <w:t>psychosocial crisis, industry vs inferiority</w:t>
      </w:r>
      <w:r>
        <w:rPr>
          <w:rStyle w:val="st"/>
          <w:rFonts w:cs="Arial"/>
          <w:sz w:val="22"/>
          <w:szCs w:val="22"/>
        </w:rPr>
        <w:t xml:space="preserve"> and in this stage of development i</w:t>
      </w:r>
      <w:r w:rsidRPr="001901EB">
        <w:rPr>
          <w:rStyle w:val="st"/>
          <w:rFonts w:cs="Arial"/>
          <w:sz w:val="22"/>
          <w:szCs w:val="22"/>
        </w:rPr>
        <w:t xml:space="preserve">t is the role of the </w:t>
      </w:r>
      <w:r w:rsidRPr="001901EB">
        <w:rPr>
          <w:rFonts w:cs="Arial"/>
          <w:sz w:val="22"/>
          <w:szCs w:val="22"/>
        </w:rPr>
        <w:t>teacher to develop competency</w:t>
      </w:r>
      <w:r>
        <w:rPr>
          <w:rFonts w:cs="Arial"/>
          <w:sz w:val="22"/>
          <w:szCs w:val="22"/>
        </w:rPr>
        <w:t xml:space="preserve">. This perhaps highlights the significance of the NG practitioner’s role in </w:t>
      </w:r>
      <w:proofErr w:type="spellStart"/>
      <w:r>
        <w:rPr>
          <w:rFonts w:cs="Arial"/>
          <w:sz w:val="22"/>
          <w:szCs w:val="22"/>
        </w:rPr>
        <w:t>Dafydd’s</w:t>
      </w:r>
      <w:proofErr w:type="spellEnd"/>
      <w:r>
        <w:rPr>
          <w:rFonts w:cs="Arial"/>
          <w:sz w:val="22"/>
          <w:szCs w:val="22"/>
        </w:rPr>
        <w:t xml:space="preserve"> provision. </w:t>
      </w:r>
      <w:r w:rsidRPr="001901EB">
        <w:rPr>
          <w:rFonts w:cs="Arial"/>
          <w:sz w:val="22"/>
          <w:szCs w:val="22"/>
        </w:rPr>
        <w:t xml:space="preserve">Furthermore, Erikson (1950) suggested that if children have negative experiences in homelife, an inferiority complex may develop into adolescence and adulthood. Several academics may agree with Erikson (1950) and argue that </w:t>
      </w:r>
      <w:proofErr w:type="spellStart"/>
      <w:r w:rsidRPr="001901EB">
        <w:rPr>
          <w:rFonts w:cs="Arial"/>
          <w:sz w:val="22"/>
          <w:szCs w:val="22"/>
        </w:rPr>
        <w:t>Dafydd’s</w:t>
      </w:r>
      <w:proofErr w:type="spellEnd"/>
      <w:r w:rsidRPr="001901EB">
        <w:rPr>
          <w:rFonts w:cs="Arial"/>
          <w:sz w:val="22"/>
          <w:szCs w:val="22"/>
        </w:rPr>
        <w:t xml:space="preserve"> experience of adversity at home may influence his personal attitudes and outcomes in the future (A</w:t>
      </w:r>
      <w:r>
        <w:rPr>
          <w:rFonts w:cs="Arial"/>
          <w:sz w:val="22"/>
          <w:szCs w:val="22"/>
        </w:rPr>
        <w:t>r</w:t>
      </w:r>
      <w:r w:rsidRPr="001901EB">
        <w:rPr>
          <w:rFonts w:cs="Arial"/>
          <w:sz w:val="22"/>
          <w:szCs w:val="22"/>
        </w:rPr>
        <w:t xml:space="preserve">shad et al., 2012; Howard; 2020; Anderson, 2014). However, critiques of Erikson do challenge his theory of emotional development and suggest that the theory narrowly focuses on stages and the assumption that the fulfilment of </w:t>
      </w:r>
      <w:r>
        <w:rPr>
          <w:rFonts w:cs="Arial"/>
          <w:sz w:val="22"/>
          <w:szCs w:val="22"/>
        </w:rPr>
        <w:t>a</w:t>
      </w:r>
      <w:r w:rsidRPr="001901EB">
        <w:rPr>
          <w:rFonts w:cs="Arial"/>
          <w:sz w:val="22"/>
          <w:szCs w:val="22"/>
        </w:rPr>
        <w:t xml:space="preserve"> </w:t>
      </w:r>
      <w:r w:rsidRPr="001901EB">
        <w:rPr>
          <w:rStyle w:val="hgkelc"/>
          <w:sz w:val="22"/>
          <w:szCs w:val="22"/>
        </w:rPr>
        <w:t xml:space="preserve">stage is </w:t>
      </w:r>
      <w:r>
        <w:rPr>
          <w:rStyle w:val="hgkelc"/>
          <w:sz w:val="22"/>
          <w:szCs w:val="22"/>
        </w:rPr>
        <w:t>‘’</w:t>
      </w:r>
      <w:r w:rsidRPr="001901EB">
        <w:rPr>
          <w:rStyle w:val="hgkelc"/>
          <w:sz w:val="22"/>
          <w:szCs w:val="22"/>
        </w:rPr>
        <w:t>prerequisite for the next crisis of development</w:t>
      </w:r>
      <w:r>
        <w:rPr>
          <w:rStyle w:val="hgkelc"/>
          <w:sz w:val="22"/>
          <w:szCs w:val="22"/>
        </w:rPr>
        <w:t>’’</w:t>
      </w:r>
      <w:r w:rsidRPr="001901EB">
        <w:rPr>
          <w:rStyle w:val="hgkelc"/>
          <w:sz w:val="22"/>
          <w:szCs w:val="22"/>
        </w:rPr>
        <w:t xml:space="preserve"> </w:t>
      </w:r>
      <w:r w:rsidRPr="001901EB">
        <w:rPr>
          <w:sz w:val="22"/>
          <w:szCs w:val="22"/>
        </w:rPr>
        <w:t>(Malone, et al., 2016</w:t>
      </w:r>
      <w:r>
        <w:rPr>
          <w:sz w:val="22"/>
          <w:szCs w:val="22"/>
        </w:rPr>
        <w:t>, p.18</w:t>
      </w:r>
      <w:r w:rsidRPr="001901EB">
        <w:rPr>
          <w:sz w:val="22"/>
          <w:szCs w:val="22"/>
        </w:rPr>
        <w:t>).</w:t>
      </w:r>
      <w:r>
        <w:rPr>
          <w:rStyle w:val="hgkelc"/>
          <w:sz w:val="22"/>
          <w:szCs w:val="22"/>
        </w:rPr>
        <w:t xml:space="preserve"> </w:t>
      </w:r>
      <w:r w:rsidRPr="001901EB">
        <w:rPr>
          <w:rStyle w:val="hgkelc"/>
          <w:sz w:val="22"/>
          <w:szCs w:val="22"/>
        </w:rPr>
        <w:t xml:space="preserve">His theory also </w:t>
      </w:r>
      <w:r>
        <w:rPr>
          <w:rStyle w:val="hgkelc"/>
          <w:sz w:val="22"/>
          <w:szCs w:val="22"/>
        </w:rPr>
        <w:t>concentrates</w:t>
      </w:r>
      <w:r w:rsidRPr="001901EB">
        <w:rPr>
          <w:rStyle w:val="hgkelc"/>
          <w:sz w:val="22"/>
          <w:szCs w:val="22"/>
        </w:rPr>
        <w:t xml:space="preserve"> on soc</w:t>
      </w:r>
      <w:r>
        <w:rPr>
          <w:rStyle w:val="hgkelc"/>
          <w:sz w:val="22"/>
          <w:szCs w:val="22"/>
        </w:rPr>
        <w:t>ieta</w:t>
      </w:r>
      <w:r w:rsidRPr="001901EB">
        <w:rPr>
          <w:rStyle w:val="hgkelc"/>
          <w:sz w:val="22"/>
          <w:szCs w:val="22"/>
        </w:rPr>
        <w:t xml:space="preserve">l expectations that are </w:t>
      </w:r>
      <w:r>
        <w:rPr>
          <w:rStyle w:val="hgkelc"/>
          <w:sz w:val="22"/>
          <w:szCs w:val="22"/>
        </w:rPr>
        <w:t xml:space="preserve">perhaps </w:t>
      </w:r>
      <w:r w:rsidRPr="001901EB">
        <w:rPr>
          <w:rStyle w:val="hgkelc"/>
          <w:sz w:val="22"/>
          <w:szCs w:val="22"/>
        </w:rPr>
        <w:t>prescribe</w:t>
      </w:r>
      <w:r>
        <w:rPr>
          <w:rStyle w:val="hgkelc"/>
          <w:sz w:val="22"/>
          <w:szCs w:val="22"/>
        </w:rPr>
        <w:t>d</w:t>
      </w:r>
      <w:r w:rsidRPr="001901EB">
        <w:rPr>
          <w:rStyle w:val="hgkelc"/>
          <w:sz w:val="22"/>
          <w:szCs w:val="22"/>
        </w:rPr>
        <w:t xml:space="preserve"> to certain culture</w:t>
      </w:r>
      <w:r>
        <w:rPr>
          <w:rStyle w:val="hgkelc"/>
          <w:sz w:val="22"/>
          <w:szCs w:val="22"/>
        </w:rPr>
        <w:t>s</w:t>
      </w:r>
      <w:r w:rsidRPr="001901EB">
        <w:rPr>
          <w:rStyle w:val="hgkelc"/>
          <w:sz w:val="22"/>
          <w:szCs w:val="22"/>
        </w:rPr>
        <w:t xml:space="preserve"> </w:t>
      </w:r>
      <w:r w:rsidRPr="001901EB">
        <w:rPr>
          <w:sz w:val="22"/>
          <w:szCs w:val="22"/>
        </w:rPr>
        <w:t xml:space="preserve">(Malone, et al., 2016). </w:t>
      </w:r>
    </w:p>
    <w:p w14:paraId="6C3312E7" w14:textId="77777777" w:rsidR="00092983" w:rsidRPr="001901EB" w:rsidRDefault="00092983" w:rsidP="00092983">
      <w:pPr>
        <w:pStyle w:val="AssignBody"/>
        <w:rPr>
          <w:rStyle w:val="hgkelc"/>
          <w:sz w:val="22"/>
          <w:szCs w:val="22"/>
        </w:rPr>
      </w:pPr>
      <w:r w:rsidRPr="001901EB">
        <w:rPr>
          <w:rStyle w:val="hgkelc"/>
          <w:sz w:val="22"/>
          <w:szCs w:val="22"/>
        </w:rPr>
        <w:t xml:space="preserve">. </w:t>
      </w:r>
    </w:p>
    <w:p w14:paraId="7E691B14" w14:textId="77777777" w:rsidR="00092983" w:rsidRPr="001901EB" w:rsidRDefault="00092983" w:rsidP="00092983">
      <w:pPr>
        <w:pStyle w:val="AssignBody"/>
        <w:rPr>
          <w:rStyle w:val="hgkelc"/>
          <w:sz w:val="22"/>
          <w:szCs w:val="22"/>
        </w:rPr>
      </w:pPr>
      <w:r w:rsidRPr="001901EB">
        <w:rPr>
          <w:rStyle w:val="hgkelc"/>
          <w:sz w:val="22"/>
          <w:szCs w:val="22"/>
        </w:rPr>
        <w:t>In supporting emotional wellbeing, Siegal (2011) sugges</w:t>
      </w:r>
      <w:r>
        <w:rPr>
          <w:rStyle w:val="hgkelc"/>
          <w:sz w:val="22"/>
          <w:szCs w:val="22"/>
        </w:rPr>
        <w:t>ts</w:t>
      </w:r>
      <w:r w:rsidRPr="001901EB">
        <w:rPr>
          <w:rStyle w:val="hgkelc"/>
          <w:sz w:val="22"/>
          <w:szCs w:val="22"/>
        </w:rPr>
        <w:t xml:space="preserve"> that the mind requires a healthy balance of seven </w:t>
      </w:r>
      <w:r w:rsidRPr="008A4D37">
        <w:rPr>
          <w:rStyle w:val="hgkelc"/>
          <w:sz w:val="22"/>
          <w:szCs w:val="22"/>
        </w:rPr>
        <w:t>nutrients</w:t>
      </w:r>
      <w:r>
        <w:rPr>
          <w:rStyle w:val="hgkelc"/>
          <w:sz w:val="22"/>
          <w:szCs w:val="22"/>
        </w:rPr>
        <w:t xml:space="preserve">. </w:t>
      </w:r>
      <w:r w:rsidRPr="001901EB">
        <w:rPr>
          <w:rStyle w:val="hgkelc"/>
          <w:sz w:val="22"/>
          <w:szCs w:val="22"/>
        </w:rPr>
        <w:t xml:space="preserve">This model </w:t>
      </w:r>
      <w:r>
        <w:rPr>
          <w:rStyle w:val="hgkelc"/>
          <w:sz w:val="22"/>
          <w:szCs w:val="22"/>
        </w:rPr>
        <w:t xml:space="preserve">indicates </w:t>
      </w:r>
      <w:r w:rsidRPr="001901EB">
        <w:rPr>
          <w:rStyle w:val="hgkelc"/>
          <w:sz w:val="22"/>
          <w:szCs w:val="22"/>
        </w:rPr>
        <w:t xml:space="preserve">that </w:t>
      </w:r>
      <w:proofErr w:type="spellStart"/>
      <w:r w:rsidRPr="001901EB">
        <w:rPr>
          <w:rFonts w:cs="Arial"/>
          <w:sz w:val="22"/>
          <w:szCs w:val="22"/>
        </w:rPr>
        <w:t>Dafydd</w:t>
      </w:r>
      <w:proofErr w:type="spellEnd"/>
      <w:r w:rsidRPr="001901EB">
        <w:rPr>
          <w:rFonts w:cs="Arial"/>
          <w:sz w:val="22"/>
          <w:szCs w:val="22"/>
        </w:rPr>
        <w:t xml:space="preserve"> </w:t>
      </w:r>
      <w:r>
        <w:rPr>
          <w:rFonts w:cs="Arial"/>
          <w:sz w:val="22"/>
          <w:szCs w:val="22"/>
        </w:rPr>
        <w:t xml:space="preserve">may </w:t>
      </w:r>
      <w:r w:rsidRPr="001901EB">
        <w:rPr>
          <w:rFonts w:cs="Arial"/>
          <w:sz w:val="22"/>
          <w:szCs w:val="22"/>
        </w:rPr>
        <w:t xml:space="preserve">struggle more than his peers to achieve optimum mental health due to his disengagement with the </w:t>
      </w:r>
      <w:r>
        <w:rPr>
          <w:rFonts w:cs="Arial"/>
          <w:sz w:val="22"/>
          <w:szCs w:val="22"/>
        </w:rPr>
        <w:t>F</w:t>
      </w:r>
      <w:r w:rsidRPr="001901EB">
        <w:rPr>
          <w:rFonts w:cs="Arial"/>
          <w:sz w:val="22"/>
          <w:szCs w:val="22"/>
        </w:rPr>
        <w:t xml:space="preserve">ocus Time and Connecting Time nutrients. </w:t>
      </w:r>
      <w:r>
        <w:rPr>
          <w:rStyle w:val="hgkelc"/>
          <w:sz w:val="22"/>
          <w:szCs w:val="22"/>
        </w:rPr>
        <w:t xml:space="preserve">Additionally, </w:t>
      </w:r>
      <w:r w:rsidRPr="001901EB">
        <w:rPr>
          <w:rStyle w:val="hgkelc"/>
          <w:sz w:val="22"/>
          <w:szCs w:val="22"/>
        </w:rPr>
        <w:t>Siegel (2015) discussed the potential negative impact of ACE on a child’s brain</w:t>
      </w:r>
      <w:r>
        <w:rPr>
          <w:rStyle w:val="hgkelc"/>
          <w:sz w:val="22"/>
          <w:szCs w:val="22"/>
        </w:rPr>
        <w:t>; he indicated that</w:t>
      </w:r>
      <w:r w:rsidRPr="001901EB">
        <w:rPr>
          <w:rStyle w:val="hgkelc"/>
          <w:sz w:val="22"/>
          <w:szCs w:val="22"/>
        </w:rPr>
        <w:t xml:space="preserve"> there are two key chemical reactions to trauma</w:t>
      </w:r>
      <w:r>
        <w:rPr>
          <w:rStyle w:val="hgkelc"/>
          <w:sz w:val="22"/>
          <w:szCs w:val="22"/>
        </w:rPr>
        <w:t xml:space="preserve"> and o</w:t>
      </w:r>
      <w:r w:rsidRPr="001901EB">
        <w:rPr>
          <w:rStyle w:val="hgkelc"/>
          <w:sz w:val="22"/>
          <w:szCs w:val="22"/>
        </w:rPr>
        <w:t xml:space="preserve">ne of these can lead to a chemical reaction that results in an increase of cortisol, known as the </w:t>
      </w:r>
      <w:r>
        <w:rPr>
          <w:rStyle w:val="hgkelc"/>
          <w:sz w:val="22"/>
          <w:szCs w:val="22"/>
        </w:rPr>
        <w:t>f</w:t>
      </w:r>
      <w:r w:rsidRPr="001901EB">
        <w:rPr>
          <w:rStyle w:val="hgkelc"/>
          <w:sz w:val="22"/>
          <w:szCs w:val="22"/>
        </w:rPr>
        <w:t>ight-or-flight hormone</w:t>
      </w:r>
      <w:r>
        <w:rPr>
          <w:rStyle w:val="hgkelc"/>
          <w:sz w:val="22"/>
          <w:szCs w:val="22"/>
        </w:rPr>
        <w:t xml:space="preserve"> </w:t>
      </w:r>
      <w:r w:rsidRPr="001901EB">
        <w:rPr>
          <w:rStyle w:val="hgkelc"/>
          <w:sz w:val="22"/>
          <w:szCs w:val="22"/>
        </w:rPr>
        <w:t xml:space="preserve">secretion. Cortisol with extended periods of release is neurotoxic and for a developing brain, such as </w:t>
      </w:r>
      <w:proofErr w:type="spellStart"/>
      <w:r w:rsidRPr="001901EB">
        <w:rPr>
          <w:rStyle w:val="hgkelc"/>
          <w:sz w:val="22"/>
          <w:szCs w:val="22"/>
        </w:rPr>
        <w:t>Dafydd</w:t>
      </w:r>
      <w:r>
        <w:rPr>
          <w:rStyle w:val="hgkelc"/>
          <w:sz w:val="22"/>
          <w:szCs w:val="22"/>
        </w:rPr>
        <w:t>s</w:t>
      </w:r>
      <w:proofErr w:type="spellEnd"/>
      <w:r w:rsidRPr="001901EB">
        <w:rPr>
          <w:rStyle w:val="hgkelc"/>
          <w:sz w:val="22"/>
          <w:szCs w:val="22"/>
        </w:rPr>
        <w:t xml:space="preserve">, this can inhibit brain development and </w:t>
      </w:r>
      <w:r>
        <w:rPr>
          <w:rStyle w:val="hgkelc"/>
          <w:sz w:val="22"/>
          <w:szCs w:val="22"/>
        </w:rPr>
        <w:t>over a prolonged period may</w:t>
      </w:r>
      <w:r w:rsidRPr="001901EB">
        <w:rPr>
          <w:rStyle w:val="hgkelc"/>
          <w:sz w:val="22"/>
          <w:szCs w:val="22"/>
        </w:rPr>
        <w:t xml:space="preserve"> also destroy existing neurons in the </w:t>
      </w:r>
      <w:r w:rsidRPr="00E94FA7">
        <w:rPr>
          <w:rStyle w:val="hgkelc"/>
          <w:sz w:val="22"/>
          <w:szCs w:val="22"/>
        </w:rPr>
        <w:t>brain (</w:t>
      </w:r>
      <w:r w:rsidRPr="00E94FA7">
        <w:rPr>
          <w:sz w:val="22"/>
          <w:szCs w:val="22"/>
        </w:rPr>
        <w:t xml:space="preserve">Herzog and </w:t>
      </w:r>
      <w:proofErr w:type="spellStart"/>
      <w:r w:rsidRPr="00E94FA7">
        <w:rPr>
          <w:sz w:val="22"/>
          <w:szCs w:val="22"/>
        </w:rPr>
        <w:t>Schmahl</w:t>
      </w:r>
      <w:proofErr w:type="spellEnd"/>
      <w:r w:rsidRPr="00E94FA7">
        <w:rPr>
          <w:sz w:val="22"/>
          <w:szCs w:val="22"/>
        </w:rPr>
        <w:t>, 2018).</w:t>
      </w:r>
      <w:r>
        <w:rPr>
          <w:rStyle w:val="hgkelc"/>
          <w:sz w:val="22"/>
          <w:szCs w:val="22"/>
        </w:rPr>
        <w:t xml:space="preserve"> </w:t>
      </w:r>
      <w:r w:rsidRPr="001901EB">
        <w:rPr>
          <w:rStyle w:val="hgkelc"/>
          <w:sz w:val="22"/>
          <w:szCs w:val="22"/>
        </w:rPr>
        <w:t xml:space="preserve">At the present, </w:t>
      </w:r>
      <w:proofErr w:type="spellStart"/>
      <w:r w:rsidRPr="001901EB">
        <w:rPr>
          <w:rStyle w:val="hgkelc"/>
          <w:sz w:val="22"/>
          <w:szCs w:val="22"/>
        </w:rPr>
        <w:t>Dafydd’s</w:t>
      </w:r>
      <w:proofErr w:type="spellEnd"/>
      <w:r w:rsidRPr="001901EB">
        <w:rPr>
          <w:rStyle w:val="hgkelc"/>
          <w:sz w:val="22"/>
          <w:szCs w:val="22"/>
        </w:rPr>
        <w:t xml:space="preserve"> likelihood </w:t>
      </w:r>
      <w:r>
        <w:rPr>
          <w:rStyle w:val="hgkelc"/>
          <w:sz w:val="22"/>
          <w:szCs w:val="22"/>
        </w:rPr>
        <w:t xml:space="preserve">of experiencing </w:t>
      </w:r>
      <w:r w:rsidRPr="001901EB">
        <w:rPr>
          <w:rStyle w:val="hgkelc"/>
          <w:sz w:val="22"/>
          <w:szCs w:val="22"/>
        </w:rPr>
        <w:t xml:space="preserve">this </w:t>
      </w:r>
      <w:r>
        <w:rPr>
          <w:rStyle w:val="hgkelc"/>
          <w:sz w:val="22"/>
          <w:szCs w:val="22"/>
        </w:rPr>
        <w:t>negative impact is minimal</w:t>
      </w:r>
      <w:r w:rsidRPr="001901EB">
        <w:rPr>
          <w:rStyle w:val="hgkelc"/>
          <w:sz w:val="22"/>
          <w:szCs w:val="22"/>
        </w:rPr>
        <w:t xml:space="preserve">, however an early intervention is perhaps imperative to </w:t>
      </w:r>
      <w:r w:rsidRPr="00E94FA7">
        <w:rPr>
          <w:rStyle w:val="hgkelc"/>
          <w:sz w:val="22"/>
          <w:szCs w:val="22"/>
        </w:rPr>
        <w:t>prevention (</w:t>
      </w:r>
      <w:proofErr w:type="spellStart"/>
      <w:r w:rsidRPr="00E94FA7">
        <w:rPr>
          <w:sz w:val="22"/>
          <w:szCs w:val="22"/>
        </w:rPr>
        <w:t>Guralnick</w:t>
      </w:r>
      <w:proofErr w:type="spellEnd"/>
      <w:r w:rsidRPr="00E94FA7">
        <w:rPr>
          <w:sz w:val="22"/>
          <w:szCs w:val="22"/>
        </w:rPr>
        <w:t>, 2011</w:t>
      </w:r>
      <w:r w:rsidRPr="00E94FA7">
        <w:rPr>
          <w:rStyle w:val="hgkelc"/>
          <w:sz w:val="22"/>
          <w:szCs w:val="22"/>
        </w:rPr>
        <w:t>).</w:t>
      </w:r>
      <w:r w:rsidRPr="00E94FA7">
        <w:rPr>
          <w:rStyle w:val="hgkelc"/>
        </w:rPr>
        <w:t xml:space="preserve"> </w:t>
      </w:r>
      <w:r w:rsidRPr="001901EB">
        <w:rPr>
          <w:rStyle w:val="hgkelc"/>
          <w:sz w:val="22"/>
          <w:szCs w:val="22"/>
        </w:rPr>
        <w:t xml:space="preserve">Whilst Siegal (2015) did acknowledge the individual level and </w:t>
      </w:r>
      <w:r w:rsidRPr="001901EB">
        <w:rPr>
          <w:rStyle w:val="hgkelc"/>
          <w:sz w:val="22"/>
          <w:szCs w:val="22"/>
        </w:rPr>
        <w:lastRenderedPageBreak/>
        <w:t>that the needs of each nutrient will differ amongst individuals, it may be questionable how practical, or desirable it is to ensure equal portions of each daily</w:t>
      </w:r>
      <w:r>
        <w:rPr>
          <w:rStyle w:val="hgkelc"/>
          <w:sz w:val="22"/>
          <w:szCs w:val="22"/>
        </w:rPr>
        <w:t>.</w:t>
      </w:r>
    </w:p>
    <w:p w14:paraId="2140D583" w14:textId="77777777" w:rsidR="00092983" w:rsidRPr="001901EB" w:rsidRDefault="00092983" w:rsidP="00092983">
      <w:pPr>
        <w:pStyle w:val="AssignBody"/>
        <w:rPr>
          <w:rStyle w:val="hgkelc"/>
          <w:sz w:val="22"/>
          <w:szCs w:val="22"/>
        </w:rPr>
      </w:pPr>
    </w:p>
    <w:p w14:paraId="4F4BD72F" w14:textId="77777777" w:rsidR="00092983" w:rsidRPr="001901EB" w:rsidRDefault="00092983" w:rsidP="00092983">
      <w:pPr>
        <w:pStyle w:val="AssignBody"/>
        <w:rPr>
          <w:sz w:val="22"/>
          <w:szCs w:val="22"/>
        </w:rPr>
      </w:pPr>
      <w:r w:rsidRPr="001901EB">
        <w:rPr>
          <w:rStyle w:val="hgkelc"/>
          <w:sz w:val="22"/>
          <w:szCs w:val="22"/>
        </w:rPr>
        <w:t xml:space="preserve">Another theoretical background on emotional development is provided by Goleman (1998); </w:t>
      </w:r>
      <w:r>
        <w:rPr>
          <w:rStyle w:val="hgkelc"/>
          <w:sz w:val="22"/>
          <w:szCs w:val="22"/>
        </w:rPr>
        <w:t>he</w:t>
      </w:r>
      <w:r w:rsidRPr="001901EB">
        <w:rPr>
          <w:rStyle w:val="hgkelc"/>
          <w:sz w:val="22"/>
          <w:szCs w:val="22"/>
        </w:rPr>
        <w:t xml:space="preserve"> refers to four competenc</w:t>
      </w:r>
      <w:r>
        <w:rPr>
          <w:rStyle w:val="hgkelc"/>
          <w:sz w:val="22"/>
          <w:szCs w:val="22"/>
        </w:rPr>
        <w:t>i</w:t>
      </w:r>
      <w:r w:rsidRPr="001901EB">
        <w:rPr>
          <w:rStyle w:val="hgkelc"/>
          <w:sz w:val="22"/>
          <w:szCs w:val="22"/>
        </w:rPr>
        <w:t xml:space="preserve">es of emotional intelligence: social skills, social awareness, self-awareness, and </w:t>
      </w:r>
      <w:r w:rsidRPr="001901EB">
        <w:rPr>
          <w:rFonts w:cs="Arial"/>
          <w:sz w:val="22"/>
          <w:szCs w:val="22"/>
        </w:rPr>
        <w:t xml:space="preserve">self-management. </w:t>
      </w:r>
      <w:r>
        <w:rPr>
          <w:rFonts w:cs="Arial"/>
          <w:sz w:val="22"/>
          <w:szCs w:val="22"/>
        </w:rPr>
        <w:t xml:space="preserve">In the NG, the EL intervention will aim to develop </w:t>
      </w:r>
      <w:r w:rsidRPr="001901EB">
        <w:rPr>
          <w:rFonts w:cs="Arial"/>
          <w:sz w:val="22"/>
          <w:szCs w:val="22"/>
        </w:rPr>
        <w:t>self-awareness and self-management</w:t>
      </w:r>
      <w:r>
        <w:rPr>
          <w:rFonts w:cs="Arial"/>
          <w:sz w:val="22"/>
          <w:szCs w:val="22"/>
        </w:rPr>
        <w:t xml:space="preserve"> to support </w:t>
      </w:r>
      <w:proofErr w:type="spellStart"/>
      <w:r>
        <w:rPr>
          <w:rFonts w:cs="Arial"/>
          <w:sz w:val="22"/>
          <w:szCs w:val="22"/>
        </w:rPr>
        <w:t>Dafydd</w:t>
      </w:r>
      <w:proofErr w:type="spellEnd"/>
      <w:r>
        <w:rPr>
          <w:rFonts w:cs="Arial"/>
          <w:sz w:val="22"/>
          <w:szCs w:val="22"/>
        </w:rPr>
        <w:t xml:space="preserve"> to </w:t>
      </w:r>
      <w:r w:rsidRPr="001901EB">
        <w:rPr>
          <w:rFonts w:cs="Arial"/>
          <w:sz w:val="22"/>
          <w:szCs w:val="22"/>
        </w:rPr>
        <w:t xml:space="preserve">express and manage his emotions. Goleman (1998) </w:t>
      </w:r>
      <w:r>
        <w:rPr>
          <w:rFonts w:cs="Arial"/>
          <w:sz w:val="22"/>
          <w:szCs w:val="22"/>
        </w:rPr>
        <w:t xml:space="preserve">also </w:t>
      </w:r>
      <w:r w:rsidRPr="001901EB">
        <w:rPr>
          <w:rFonts w:cs="Arial"/>
          <w:sz w:val="22"/>
          <w:szCs w:val="22"/>
        </w:rPr>
        <w:t xml:space="preserve">refers to brain studies that </w:t>
      </w:r>
      <w:r>
        <w:rPr>
          <w:rFonts w:cs="Arial"/>
          <w:sz w:val="22"/>
          <w:szCs w:val="22"/>
        </w:rPr>
        <w:t>suggest</w:t>
      </w:r>
      <w:r w:rsidRPr="001901EB">
        <w:rPr>
          <w:rFonts w:cs="Arial"/>
          <w:sz w:val="22"/>
          <w:szCs w:val="22"/>
        </w:rPr>
        <w:t xml:space="preserve"> that there is correlation between the emotional state of the mind and the ability to think effectively, he discusses the significance of emotional well-being in learning and development. </w:t>
      </w:r>
      <w:r w:rsidRPr="009E0E4C">
        <w:rPr>
          <w:rFonts w:cs="Arial"/>
          <w:sz w:val="22"/>
          <w:szCs w:val="22"/>
        </w:rPr>
        <w:t>Rogers (1969)</w:t>
      </w:r>
      <w:r w:rsidRPr="001901EB">
        <w:rPr>
          <w:rFonts w:cs="Arial"/>
          <w:sz w:val="22"/>
          <w:szCs w:val="22"/>
        </w:rPr>
        <w:t xml:space="preserve"> </w:t>
      </w:r>
      <w:r>
        <w:rPr>
          <w:rFonts w:cs="Arial"/>
          <w:sz w:val="22"/>
          <w:szCs w:val="22"/>
        </w:rPr>
        <w:t>may support Goleman (1998) as he suggests</w:t>
      </w:r>
      <w:r w:rsidRPr="001901EB">
        <w:rPr>
          <w:rFonts w:cs="Arial"/>
          <w:sz w:val="22"/>
          <w:szCs w:val="22"/>
        </w:rPr>
        <w:t xml:space="preserve"> that unless a child can feel confident, self-assured within a learning environment and beyond, then learning will not take place. </w:t>
      </w:r>
      <w:r>
        <w:rPr>
          <w:rFonts w:cs="Arial"/>
          <w:sz w:val="22"/>
          <w:szCs w:val="22"/>
        </w:rPr>
        <w:t xml:space="preserve"> </w:t>
      </w:r>
    </w:p>
    <w:p w14:paraId="4D97D975" w14:textId="77777777" w:rsidR="00FD3D04" w:rsidRPr="00092983" w:rsidRDefault="00FD3D04">
      <w:pPr>
        <w:rPr>
          <w:lang w:val="en-GB"/>
        </w:rPr>
      </w:pPr>
    </w:p>
    <w:sectPr w:rsidR="00FD3D04" w:rsidRPr="000929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2983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92983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5D968"/>
  <w15:chartTrackingRefBased/>
  <w15:docId w15:val="{2843E4D7-E228-4D9B-AFF4-531781411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092983"/>
    <w:pPr>
      <w:spacing w:after="0" w:line="360" w:lineRule="auto"/>
    </w:pPr>
    <w:rPr>
      <w:rFonts w:ascii="Arial" w:eastAsia="Times New Roman" w:hAnsi="Arial" w:cs="Times New Roman"/>
      <w:sz w:val="24"/>
      <w:szCs w:val="24"/>
      <w:lang w:val="en-GB" w:eastAsia="en-US"/>
    </w:rPr>
  </w:style>
  <w:style w:type="character" w:customStyle="1" w:styleId="AssignBodyChar">
    <w:name w:val="AssignBody Char"/>
    <w:basedOn w:val="DefaultParagraphFont"/>
    <w:link w:val="AssignBody"/>
    <w:rsid w:val="00092983"/>
    <w:rPr>
      <w:rFonts w:ascii="Arial" w:eastAsia="Times New Roman" w:hAnsi="Arial" w:cs="Times New Roman"/>
      <w:sz w:val="24"/>
      <w:szCs w:val="24"/>
      <w:lang w:eastAsia="en-US"/>
    </w:rPr>
  </w:style>
  <w:style w:type="character" w:customStyle="1" w:styleId="st">
    <w:name w:val="st"/>
    <w:basedOn w:val="DefaultParagraphFont"/>
    <w:rsid w:val="00092983"/>
  </w:style>
  <w:style w:type="character" w:customStyle="1" w:styleId="hgkelc">
    <w:name w:val="hgkelc"/>
    <w:basedOn w:val="DefaultParagraphFont"/>
    <w:rsid w:val="000929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582</Words>
  <Characters>3320</Characters>
  <Application>Microsoft Office Word</Application>
  <DocSecurity>0</DocSecurity>
  <Lines>27</Lines>
  <Paragraphs>7</Paragraphs>
  <ScaleCrop>false</ScaleCrop>
  <Company/>
  <LinksUpToDate>false</LinksUpToDate>
  <CharactersWithSpaces>3895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2021-10-17T21:45:00Z</dcterms:created>
  <dcterms:modified xsi:type="dcterms:W3CDTF">2021-10-17T21:45:00Z</dcterms:modified>
</cp:coreProperties>
</file>