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799" w:type="dxa"/>
        <w:tblInd w:w="-4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799"/>
      </w:tblGrid>
      <w:tr w:rsidR="00F927A1" w:rsidRPr="005D3F07" w14:paraId="68CAA39D" w14:textId="77777777" w:rsidTr="00C872BA">
        <w:tc>
          <w:tcPr>
            <w:tcW w:w="10799" w:type="dxa"/>
          </w:tcPr>
          <w:p w14:paraId="02F8EE88" w14:textId="65EEE7E1" w:rsidR="00986B43" w:rsidRPr="00CC5549" w:rsidRDefault="00986B43" w:rsidP="005D3F07">
            <w:pPr>
              <w:overflowPunct/>
              <w:autoSpaceDE/>
              <w:autoSpaceDN/>
              <w:adjustRightInd/>
              <w:ind w:right="-957"/>
              <w:textAlignment w:val="auto"/>
              <w:rPr>
                <w:rFonts w:ascii="Times New Roman" w:hAnsi="Times New Roman" w:cs="Times New Roman"/>
                <w:bCs/>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4F6C67" w:rsidRPr="00CC5549">
              <w:rPr>
                <w:rFonts w:ascii="Times New Roman" w:hAnsi="Times New Roman" w:cs="Times New Roman"/>
                <w:bCs/>
                <w:color w:val="auto"/>
                <w:sz w:val="48"/>
              </w:rPr>
              <w:t>Emma Procter</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7CC44CCB" w:rsidR="009C337F" w:rsidRPr="00CC5549" w:rsidRDefault="009C337F" w:rsidP="005D3F07">
            <w:pPr>
              <w:overflowPunct/>
              <w:autoSpaceDE/>
              <w:autoSpaceDN/>
              <w:adjustRightInd/>
              <w:ind w:right="-957"/>
              <w:textAlignment w:val="auto"/>
              <w:rPr>
                <w:rFonts w:ascii="Times New Roman" w:hAnsi="Times New Roman" w:cs="Times New Roman"/>
                <w:bCs/>
                <w:color w:val="auto"/>
                <w:sz w:val="48"/>
              </w:rPr>
            </w:pPr>
            <w:r>
              <w:rPr>
                <w:rFonts w:ascii="Times New Roman" w:hAnsi="Times New Roman" w:cs="Times New Roman"/>
                <w:b/>
                <w:color w:val="auto"/>
                <w:sz w:val="48"/>
              </w:rPr>
              <w:t>Email address:</w:t>
            </w:r>
            <w:r w:rsidR="004F6C67">
              <w:rPr>
                <w:rFonts w:ascii="Times New Roman" w:hAnsi="Times New Roman" w:cs="Times New Roman"/>
                <w:b/>
                <w:color w:val="auto"/>
                <w:sz w:val="48"/>
              </w:rPr>
              <w:t xml:space="preserve"> </w:t>
            </w:r>
            <w:r w:rsidR="004F6C67" w:rsidRPr="00CC5549">
              <w:rPr>
                <w:rFonts w:ascii="Times New Roman" w:hAnsi="Times New Roman" w:cs="Times New Roman"/>
                <w:bCs/>
                <w:color w:val="auto"/>
                <w:sz w:val="48"/>
              </w:rPr>
              <w:t>emma.procter</w:t>
            </w:r>
            <w:r w:rsidR="00CC5549">
              <w:rPr>
                <w:rFonts w:ascii="Times New Roman" w:hAnsi="Times New Roman" w:cs="Times New Roman"/>
                <w:bCs/>
                <w:color w:val="auto"/>
                <w:sz w:val="48"/>
              </w:rPr>
              <w:t>5</w:t>
            </w:r>
            <w:r w:rsidR="004F6C67" w:rsidRPr="00CC5549">
              <w:rPr>
                <w:rFonts w:ascii="Times New Roman" w:hAnsi="Times New Roman" w:cs="Times New Roman"/>
                <w:bCs/>
                <w:color w:val="auto"/>
                <w:sz w:val="48"/>
              </w:rPr>
              <w:t>@</w:t>
            </w:r>
            <w:r w:rsidR="00CC5549">
              <w:rPr>
                <w:rFonts w:ascii="Times New Roman" w:hAnsi="Times New Roman" w:cs="Times New Roman"/>
                <w:bCs/>
                <w:color w:val="auto"/>
                <w:sz w:val="48"/>
              </w:rPr>
              <w:t>gmail.com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2EB7E9E1"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C872BA" w:rsidRPr="00CC5549">
              <w:rPr>
                <w:rFonts w:ascii="Times New Roman" w:hAnsi="Times New Roman" w:cs="Times New Roman"/>
                <w:bCs/>
                <w:color w:val="auto"/>
                <w:sz w:val="48"/>
              </w:rPr>
              <w:t>2415957</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4756DF6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49374F">
              <w:rPr>
                <w:rFonts w:ascii="Times New Roman" w:hAnsi="Times New Roman" w:cs="Times New Roman"/>
                <w:b/>
                <w:color w:val="auto"/>
                <w:sz w:val="48"/>
              </w:rPr>
              <w:t>21</w:t>
            </w:r>
            <w:r w:rsidR="00AE6231">
              <w:rPr>
                <w:rFonts w:ascii="Times New Roman" w:hAnsi="Times New Roman" w:cs="Times New Roman"/>
                <w:b/>
                <w:color w:val="auto"/>
                <w:sz w:val="48"/>
              </w:rPr>
              <w:t>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77777777" w:rsidR="006108C9" w:rsidRDefault="006108C9" w:rsidP="00FF7EBB">
            <w:pPr>
              <w:jc w:val="both"/>
              <w:rPr>
                <w:sz w:val="24"/>
                <w:szCs w:val="24"/>
              </w:rPr>
            </w:pPr>
          </w:p>
          <w:p w14:paraId="4327FCB5" w14:textId="77777777" w:rsidR="00DC7859" w:rsidRPr="00DC7859" w:rsidRDefault="00DC7859" w:rsidP="00DC7859">
            <w:pPr>
              <w:jc w:val="both"/>
              <w:rPr>
                <w:sz w:val="24"/>
                <w:szCs w:val="24"/>
              </w:rPr>
            </w:pPr>
          </w:p>
          <w:p w14:paraId="70167182" w14:textId="77777777" w:rsidR="00DC7859" w:rsidRPr="00DC7859" w:rsidRDefault="00DC7859" w:rsidP="00DC7859">
            <w:pPr>
              <w:jc w:val="both"/>
              <w:rPr>
                <w:sz w:val="24"/>
                <w:szCs w:val="24"/>
              </w:rPr>
            </w:pPr>
          </w:p>
          <w:p w14:paraId="280D8C8D" w14:textId="77777777" w:rsidR="00DC7859" w:rsidRPr="00DC7859" w:rsidRDefault="00DC7859" w:rsidP="00DC7859">
            <w:pPr>
              <w:jc w:val="both"/>
              <w:rPr>
                <w:sz w:val="24"/>
                <w:szCs w:val="24"/>
              </w:rPr>
            </w:pPr>
            <w:r w:rsidRPr="00DC7859">
              <w:rPr>
                <w:sz w:val="24"/>
                <w:szCs w:val="24"/>
              </w:rPr>
              <w:t>In Wales, adult safeguarding is underpinned by a comprehensive legal and policy framework designed to protect adults at risk of abuse, neglect, or exploitation. This framework includes national legislation, statutory guidance, and local and organisational procedures that ensure a consistent, person-centred approach across all services.</w:t>
            </w:r>
          </w:p>
          <w:p w14:paraId="2AD5CEAC" w14:textId="3F5FB1A0" w:rsidR="00DC7859" w:rsidRPr="00DC7859" w:rsidRDefault="00DC7859" w:rsidP="00DC7859">
            <w:pPr>
              <w:jc w:val="both"/>
              <w:rPr>
                <w:sz w:val="24"/>
                <w:szCs w:val="24"/>
              </w:rPr>
            </w:pPr>
            <w:r w:rsidRPr="00DC7859">
              <w:rPr>
                <w:sz w:val="24"/>
                <w:szCs w:val="24"/>
              </w:rPr>
              <w:t>The foundation of adult safeguarding in Wales is the Social Services and Well-being (Wales)</w:t>
            </w:r>
            <w:r w:rsidR="008D01B3">
              <w:rPr>
                <w:sz w:val="24"/>
                <w:szCs w:val="24"/>
              </w:rPr>
              <w:t xml:space="preserve"> (SSWB)</w:t>
            </w:r>
            <w:r w:rsidRPr="00DC7859">
              <w:rPr>
                <w:sz w:val="24"/>
                <w:szCs w:val="24"/>
              </w:rPr>
              <w:t xml:space="preserve"> Act </w:t>
            </w:r>
            <w:r w:rsidR="00B66BF5">
              <w:rPr>
                <w:sz w:val="24"/>
                <w:szCs w:val="24"/>
              </w:rPr>
              <w:t>(</w:t>
            </w:r>
            <w:r w:rsidRPr="00DC7859">
              <w:rPr>
                <w:sz w:val="24"/>
                <w:szCs w:val="24"/>
              </w:rPr>
              <w:t>2014</w:t>
            </w:r>
            <w:r w:rsidR="00B66BF5">
              <w:rPr>
                <w:sz w:val="24"/>
                <w:szCs w:val="24"/>
              </w:rPr>
              <w:t>)</w:t>
            </w:r>
            <w:r w:rsidRPr="00DC7859">
              <w:rPr>
                <w:sz w:val="24"/>
                <w:szCs w:val="24"/>
              </w:rPr>
              <w:t>. This legislation defines an “adult at risk” as an individual over 18 who is experiencing or is at risk of abuse or neglect, and who has needs for care and support</w:t>
            </w:r>
            <w:r w:rsidR="009A27E9">
              <w:rPr>
                <w:sz w:val="24"/>
                <w:szCs w:val="24"/>
              </w:rPr>
              <w:t xml:space="preserve"> </w:t>
            </w:r>
            <w:r w:rsidR="009A27E9" w:rsidRPr="00B66BF5">
              <w:rPr>
                <w:sz w:val="24"/>
                <w:szCs w:val="24"/>
              </w:rPr>
              <w:t>S126(1) Part 7 SSWB Act</w:t>
            </w:r>
            <w:r w:rsidR="00E86487" w:rsidRPr="00B66BF5">
              <w:rPr>
                <w:sz w:val="24"/>
                <w:szCs w:val="24"/>
              </w:rPr>
              <w:t xml:space="preserve"> </w:t>
            </w:r>
            <w:r w:rsidR="00B66BF5">
              <w:rPr>
                <w:sz w:val="24"/>
                <w:szCs w:val="24"/>
              </w:rPr>
              <w:t>(</w:t>
            </w:r>
            <w:r w:rsidR="00E86487" w:rsidRPr="00B66BF5">
              <w:rPr>
                <w:sz w:val="24"/>
                <w:szCs w:val="24"/>
              </w:rPr>
              <w:t>2014</w:t>
            </w:r>
            <w:r w:rsidR="00B66BF5">
              <w:rPr>
                <w:sz w:val="24"/>
                <w:szCs w:val="24"/>
              </w:rPr>
              <w:t>)</w:t>
            </w:r>
            <w:r w:rsidRPr="00B66BF5">
              <w:rPr>
                <w:sz w:val="24"/>
                <w:szCs w:val="24"/>
              </w:rPr>
              <w:t>.</w:t>
            </w:r>
            <w:r w:rsidRPr="00DC7859">
              <w:rPr>
                <w:sz w:val="24"/>
                <w:szCs w:val="24"/>
              </w:rPr>
              <w:t xml:space="preserve"> Local authorities have a duty to make enquiries if they suspect an adult is at risk, and to take appropriate action to protect them</w:t>
            </w:r>
            <w:r w:rsidR="00294150">
              <w:rPr>
                <w:sz w:val="24"/>
                <w:szCs w:val="24"/>
              </w:rPr>
              <w:t xml:space="preserve"> </w:t>
            </w:r>
            <w:r w:rsidR="00294150" w:rsidRPr="00B66BF5">
              <w:rPr>
                <w:sz w:val="24"/>
                <w:szCs w:val="24"/>
              </w:rPr>
              <w:t>S126 (</w:t>
            </w:r>
            <w:r w:rsidR="00F57ED2" w:rsidRPr="00B66BF5">
              <w:rPr>
                <w:sz w:val="24"/>
                <w:szCs w:val="24"/>
              </w:rPr>
              <w:t>2) Part 7 SSWB Act</w:t>
            </w:r>
            <w:r w:rsidR="00B66BF5">
              <w:rPr>
                <w:sz w:val="24"/>
                <w:szCs w:val="24"/>
              </w:rPr>
              <w:t xml:space="preserve"> (</w:t>
            </w:r>
            <w:r w:rsidR="00F57ED2" w:rsidRPr="00B66BF5">
              <w:rPr>
                <w:sz w:val="24"/>
                <w:szCs w:val="24"/>
              </w:rPr>
              <w:t>2014</w:t>
            </w:r>
            <w:r w:rsidR="00B66BF5">
              <w:rPr>
                <w:sz w:val="24"/>
                <w:szCs w:val="24"/>
              </w:rPr>
              <w:t>)</w:t>
            </w:r>
            <w:r w:rsidRPr="00B66BF5">
              <w:rPr>
                <w:sz w:val="24"/>
                <w:szCs w:val="24"/>
              </w:rPr>
              <w:t>.</w:t>
            </w:r>
            <w:r w:rsidRPr="00DC7859">
              <w:rPr>
                <w:sz w:val="24"/>
                <w:szCs w:val="24"/>
              </w:rPr>
              <w:t xml:space="preserve"> The Act also established Regional Safeguarding Boards, which bring together key agencies such as health services, police, and social care to coordinate safeguarding efforts. These boards are responsible for developing policies, sharing best practices, and conducting reviews when serious incidents occur. In cases where an adult suffers serious harm or dies due to abuse or neglect, an Adult Practice Review (APR) is conducted. These reviews aim to identify lessons that can improve future practice.</w:t>
            </w:r>
          </w:p>
          <w:p w14:paraId="676660F7" w14:textId="77777777" w:rsidR="00DC7859" w:rsidRPr="00DC7859" w:rsidRDefault="00DC7859" w:rsidP="00DC7859">
            <w:pPr>
              <w:jc w:val="both"/>
              <w:rPr>
                <w:sz w:val="24"/>
                <w:szCs w:val="24"/>
              </w:rPr>
            </w:pPr>
            <w:r w:rsidRPr="00DC7859">
              <w:rPr>
                <w:sz w:val="24"/>
                <w:szCs w:val="24"/>
              </w:rPr>
              <w:t>The Wales Safeguarding Procedures, introduced in 2019, provide a consistent, all-Wales approach to safeguarding which ensures that professionals across sectors follow the same steps when responding to concerns, with a strong emphasis on involving the adult in decision-making. The procedures promote early intervention, risk assessment, and multi-agency collaboration.</w:t>
            </w:r>
          </w:p>
          <w:p w14:paraId="5DA2E4AE" w14:textId="77777777" w:rsidR="00DC7859" w:rsidRPr="00DC7859" w:rsidRDefault="00DC7859" w:rsidP="00DC7859">
            <w:pPr>
              <w:jc w:val="both"/>
              <w:rPr>
                <w:sz w:val="24"/>
                <w:szCs w:val="24"/>
              </w:rPr>
            </w:pPr>
            <w:r w:rsidRPr="00DC7859">
              <w:rPr>
                <w:sz w:val="24"/>
                <w:szCs w:val="24"/>
              </w:rPr>
              <w:t xml:space="preserve">In 2024, Wales introduced the Single Unified Safeguarding Review (SUSR). This new approach combines reviews for both children and adults, aiming to streamline processes and enhance learning across sectors. This eliminates the need for families to take part in several reviews, reducing the trauma and allow learning to be identified and acted upon sooner. A recent thematic review of APRs highlighted the need for better communication between agencies, more consistent application of safeguarding procedures, and greater emotional support for families and professionals involved in safeguarding cases. </w:t>
            </w:r>
          </w:p>
          <w:p w14:paraId="4D2BD834" w14:textId="77777777" w:rsidR="00DC7859" w:rsidRPr="00DC7859" w:rsidRDefault="00DC7859" w:rsidP="00DC7859">
            <w:pPr>
              <w:jc w:val="both"/>
              <w:rPr>
                <w:sz w:val="24"/>
                <w:szCs w:val="24"/>
              </w:rPr>
            </w:pPr>
            <w:r w:rsidRPr="00DC7859">
              <w:rPr>
                <w:sz w:val="24"/>
                <w:szCs w:val="24"/>
              </w:rPr>
              <w:lastRenderedPageBreak/>
              <w:t>The Human rights Act 1998 and The Equality Act 2010 ensure that safeguarding practices uphold the individuals’ rights and promote equality and non-discrimination. In addition, the Data Protection Act 2018 (UK GDPR) governs how personal information is handled, ensuring that safeguarding information is shared lawfully and appropriately. National policies and guidance include statutory guidance Working together to safeguard people (2014), volume 6 specifically addresses safeguarding adults and outlines the responsibilities of local authorities, health boards, police, and other agencies.</w:t>
            </w:r>
          </w:p>
          <w:p w14:paraId="2612196F" w14:textId="64FCA0C4" w:rsidR="00DC7859" w:rsidRPr="00DC7859" w:rsidRDefault="00DC7859" w:rsidP="00DC7859">
            <w:pPr>
              <w:jc w:val="both"/>
              <w:rPr>
                <w:sz w:val="24"/>
                <w:szCs w:val="24"/>
              </w:rPr>
            </w:pPr>
            <w:r w:rsidRPr="00DC7859">
              <w:rPr>
                <w:sz w:val="24"/>
                <w:szCs w:val="24"/>
              </w:rPr>
              <w:t>Despite the strong legal and procedural framework, safeguarding adults in Wales faces several challenges. These include under</w:t>
            </w:r>
            <w:r w:rsidR="00355D52">
              <w:rPr>
                <w:sz w:val="24"/>
                <w:szCs w:val="24"/>
              </w:rPr>
              <w:t xml:space="preserve"> </w:t>
            </w:r>
            <w:r w:rsidRPr="00DC7859">
              <w:rPr>
                <w:sz w:val="24"/>
                <w:szCs w:val="24"/>
              </w:rPr>
              <w:t>reporting of abuse, variations in practice across regions, and limited resources. However, there are also opportunities for improvement. Increased public awareness, better training for professionals, and the use of digital tools for reporting and monitoring can strengthen safeguarding efforts.</w:t>
            </w:r>
          </w:p>
          <w:p w14:paraId="1F66894C" w14:textId="77777777" w:rsidR="00DC7859" w:rsidRPr="00DC7859" w:rsidRDefault="00DC7859" w:rsidP="00DC7859">
            <w:pPr>
              <w:jc w:val="both"/>
              <w:rPr>
                <w:sz w:val="24"/>
                <w:szCs w:val="24"/>
              </w:rPr>
            </w:pPr>
            <w:r w:rsidRPr="00DC7859">
              <w:rPr>
                <w:sz w:val="24"/>
                <w:szCs w:val="24"/>
              </w:rPr>
              <w:t xml:space="preserve">Safeguarding adults is a shared responsibility that requires vigilance, compassion, and collaboration. Health boards, care providers, and housing associations must have internal safeguarding policies aligned with national and local frameworks. These typically include clear reporting procedures, staff training and whistleblowing policies, risk assessment and case management protocols, regular audits and safeguarding leads. The legal framework provides a solid foundation, but continuous improvement and learning is essential to meet the complex needs of adults at risk. </w:t>
            </w:r>
          </w:p>
          <w:p w14:paraId="0318E819" w14:textId="1E4918E8" w:rsidR="00FC0334" w:rsidRPr="00DC7859" w:rsidRDefault="00DC7859" w:rsidP="00DC7859">
            <w:pPr>
              <w:jc w:val="both"/>
              <w:rPr>
                <w:b/>
                <w:bCs/>
                <w:sz w:val="24"/>
                <w:szCs w:val="24"/>
              </w:rPr>
            </w:pPr>
            <w:r w:rsidRPr="00DC7859">
              <w:rPr>
                <w:b/>
                <w:bCs/>
                <w:sz w:val="24"/>
                <w:szCs w:val="24"/>
              </w:rPr>
              <w:t>Word count: 5</w:t>
            </w:r>
            <w:r w:rsidR="00472CAA">
              <w:rPr>
                <w:b/>
                <w:bCs/>
                <w:sz w:val="24"/>
                <w:szCs w:val="24"/>
              </w:rPr>
              <w:t>4</w:t>
            </w:r>
            <w:r w:rsidR="00287CFE">
              <w:rPr>
                <w:b/>
                <w:bCs/>
                <w:sz w:val="24"/>
                <w:szCs w:val="24"/>
              </w:rPr>
              <w:t>8</w:t>
            </w:r>
          </w:p>
          <w:p w14:paraId="6D8CB8AF" w14:textId="77777777" w:rsidR="00FC0334" w:rsidRDefault="00FC0334" w:rsidP="00FF7EBB">
            <w:pPr>
              <w:jc w:val="both"/>
              <w:rPr>
                <w:sz w:val="24"/>
                <w:szCs w:val="24"/>
              </w:rPr>
            </w:pPr>
          </w:p>
          <w:p w14:paraId="4A95F4DB" w14:textId="77777777" w:rsidR="00FC0334" w:rsidRDefault="00FC0334" w:rsidP="00FF7EBB">
            <w:pPr>
              <w:jc w:val="both"/>
              <w:rPr>
                <w:sz w:val="24"/>
                <w:szCs w:val="24"/>
              </w:rPr>
            </w:pPr>
          </w:p>
          <w:p w14:paraId="4FF8EBF3"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7CB2EDD9" w14:textId="77777777" w:rsidR="00E81DC0" w:rsidRDefault="00E81DC0" w:rsidP="00FC0334">
            <w:pPr>
              <w:jc w:val="both"/>
              <w:rPr>
                <w:sz w:val="24"/>
                <w:szCs w:val="24"/>
              </w:rPr>
            </w:pPr>
          </w:p>
          <w:p w14:paraId="3B59C242" w14:textId="654B160E" w:rsidR="008F69B9" w:rsidRPr="008F69B9" w:rsidRDefault="008F69B9" w:rsidP="008F69B9">
            <w:pPr>
              <w:jc w:val="both"/>
              <w:rPr>
                <w:sz w:val="24"/>
                <w:szCs w:val="24"/>
              </w:rPr>
            </w:pPr>
            <w:r w:rsidRPr="008F69B9">
              <w:rPr>
                <w:sz w:val="24"/>
                <w:szCs w:val="24"/>
              </w:rPr>
              <w:t>The Social Services and Well-being (Wales)</w:t>
            </w:r>
            <w:r w:rsidR="00EA6C9A">
              <w:rPr>
                <w:sz w:val="24"/>
                <w:szCs w:val="24"/>
              </w:rPr>
              <w:t xml:space="preserve"> </w:t>
            </w:r>
            <w:r w:rsidRPr="008F69B9">
              <w:rPr>
                <w:sz w:val="24"/>
                <w:szCs w:val="24"/>
              </w:rPr>
              <w:t xml:space="preserve">Act </w:t>
            </w:r>
            <w:r w:rsidR="00900D44">
              <w:rPr>
                <w:sz w:val="24"/>
                <w:szCs w:val="24"/>
              </w:rPr>
              <w:t>(</w:t>
            </w:r>
            <w:r w:rsidRPr="008F69B9">
              <w:rPr>
                <w:sz w:val="24"/>
                <w:szCs w:val="24"/>
              </w:rPr>
              <w:t>2014</w:t>
            </w:r>
            <w:r w:rsidR="00900D44">
              <w:rPr>
                <w:sz w:val="24"/>
                <w:szCs w:val="24"/>
              </w:rPr>
              <w:t>)</w:t>
            </w:r>
            <w:r w:rsidRPr="008F69B9">
              <w:rPr>
                <w:sz w:val="24"/>
                <w:szCs w:val="24"/>
              </w:rPr>
              <w:t xml:space="preserve"> provides a legal framework for protecting adults and children. While the Act promotes shared principles such as prevention, protection, and partnership it recognises the distinct legal needs of each, resulting in differentiated safeguarding approaches.</w:t>
            </w:r>
          </w:p>
          <w:p w14:paraId="7D7E368A" w14:textId="540D4CF6" w:rsidR="008F69B9" w:rsidRPr="008F69B9" w:rsidRDefault="008F69B9" w:rsidP="008F69B9">
            <w:pPr>
              <w:jc w:val="both"/>
              <w:rPr>
                <w:sz w:val="24"/>
                <w:szCs w:val="24"/>
              </w:rPr>
            </w:pPr>
            <w:r w:rsidRPr="008F69B9">
              <w:rPr>
                <w:sz w:val="24"/>
                <w:szCs w:val="24"/>
              </w:rPr>
              <w:t>Adults at risk are defined as someone aged eighteen or over who is experiencing or is at risk of abuse or neglect; has needs for care and support therefore unable to protect themselves from the abuse. Abuse may be physical, sexual, psychological, financial, or neglect. Local authorities (LA’s)</w:t>
            </w:r>
            <w:r w:rsidR="00BD0008">
              <w:rPr>
                <w:sz w:val="24"/>
                <w:szCs w:val="24"/>
              </w:rPr>
              <w:t xml:space="preserve"> </w:t>
            </w:r>
            <w:r w:rsidRPr="008F69B9">
              <w:rPr>
                <w:sz w:val="24"/>
                <w:szCs w:val="24"/>
              </w:rPr>
              <w:t xml:space="preserve">have a statutory duty to investigate when there is reasonable cause to suspect an adult meets these criteria. </w:t>
            </w:r>
          </w:p>
          <w:p w14:paraId="6DFF40CB" w14:textId="222AF09E" w:rsidR="008F69B9" w:rsidRPr="008F69B9" w:rsidRDefault="008F69B9" w:rsidP="008F69B9">
            <w:pPr>
              <w:jc w:val="both"/>
              <w:rPr>
                <w:sz w:val="24"/>
                <w:szCs w:val="24"/>
              </w:rPr>
            </w:pPr>
            <w:r w:rsidRPr="008F69B9">
              <w:rPr>
                <w:sz w:val="24"/>
                <w:szCs w:val="24"/>
              </w:rPr>
              <w:t xml:space="preserve">A child at risk, as defined under Section 130(4) of the same Act, is a person under eighteen who is experiencing or is at risk of abuse, neglect, or other harm, and has care and support needs. Safeguarding children focuses on protecting them from abuse, neglect, and exploitation, promoting their welfare. The Children Act </w:t>
            </w:r>
            <w:r w:rsidR="00900D44">
              <w:rPr>
                <w:sz w:val="24"/>
                <w:szCs w:val="24"/>
              </w:rPr>
              <w:t>(</w:t>
            </w:r>
            <w:r w:rsidRPr="008F69B9">
              <w:rPr>
                <w:sz w:val="24"/>
                <w:szCs w:val="24"/>
              </w:rPr>
              <w:t>1989</w:t>
            </w:r>
            <w:r w:rsidR="00900D44">
              <w:rPr>
                <w:sz w:val="24"/>
                <w:szCs w:val="24"/>
              </w:rPr>
              <w:t>)</w:t>
            </w:r>
            <w:r w:rsidRPr="008F69B9">
              <w:rPr>
                <w:sz w:val="24"/>
                <w:szCs w:val="24"/>
              </w:rPr>
              <w:t xml:space="preserve"> and Working Together to Safeguard children (2023) guidance applies</w:t>
            </w:r>
            <w:r w:rsidR="007266EF">
              <w:rPr>
                <w:sz w:val="24"/>
                <w:szCs w:val="24"/>
              </w:rPr>
              <w:t xml:space="preserve"> and</w:t>
            </w:r>
            <w:r w:rsidR="00561DA5">
              <w:rPr>
                <w:sz w:val="24"/>
                <w:szCs w:val="24"/>
              </w:rPr>
              <w:t xml:space="preserve"> </w:t>
            </w:r>
            <w:r w:rsidRPr="008F69B9">
              <w:rPr>
                <w:sz w:val="24"/>
                <w:szCs w:val="24"/>
              </w:rPr>
              <w:t xml:space="preserve">actual harm does not need to have occurred for intervention. Harm includes, neglect, physical, emotional, sexual abuse. When a child is </w:t>
            </w:r>
            <w:r w:rsidRPr="008F69B9">
              <w:rPr>
                <w:sz w:val="24"/>
                <w:szCs w:val="24"/>
              </w:rPr>
              <w:lastRenderedPageBreak/>
              <w:t xml:space="preserve">suspected to be at risk, LA’s must undertake inquiries, under Section 47 of the Children Act </w:t>
            </w:r>
            <w:r w:rsidR="00900D44">
              <w:rPr>
                <w:sz w:val="24"/>
                <w:szCs w:val="24"/>
              </w:rPr>
              <w:t>(</w:t>
            </w:r>
            <w:r w:rsidRPr="008F69B9">
              <w:rPr>
                <w:sz w:val="24"/>
                <w:szCs w:val="24"/>
              </w:rPr>
              <w:t>1989</w:t>
            </w:r>
            <w:r w:rsidR="00900D44">
              <w:rPr>
                <w:sz w:val="24"/>
                <w:szCs w:val="24"/>
              </w:rPr>
              <w:t>)</w:t>
            </w:r>
            <w:r w:rsidRPr="008F69B9">
              <w:rPr>
                <w:sz w:val="24"/>
                <w:szCs w:val="24"/>
              </w:rPr>
              <w:t>, mandating investigation and protective measures.</w:t>
            </w:r>
          </w:p>
          <w:p w14:paraId="7465A4E7" w14:textId="7B5215CC" w:rsidR="008F69B9" w:rsidRPr="008F69B9" w:rsidRDefault="008F69B9" w:rsidP="008F69B9">
            <w:pPr>
              <w:jc w:val="both"/>
              <w:rPr>
                <w:sz w:val="24"/>
                <w:szCs w:val="24"/>
              </w:rPr>
            </w:pPr>
            <w:r w:rsidRPr="008F69B9">
              <w:rPr>
                <w:sz w:val="24"/>
                <w:szCs w:val="24"/>
              </w:rPr>
              <w:t xml:space="preserve">Intervention thresholds with adults are </w:t>
            </w:r>
            <w:r w:rsidR="004F1571">
              <w:rPr>
                <w:sz w:val="24"/>
                <w:szCs w:val="24"/>
              </w:rPr>
              <w:t>different</w:t>
            </w:r>
            <w:r w:rsidR="002168B9" w:rsidRPr="008F69B9">
              <w:rPr>
                <w:sz w:val="24"/>
                <w:szCs w:val="24"/>
              </w:rPr>
              <w:t>, adults</w:t>
            </w:r>
            <w:r w:rsidRPr="008F69B9">
              <w:rPr>
                <w:sz w:val="24"/>
                <w:szCs w:val="24"/>
              </w:rPr>
              <w:t xml:space="preserve"> have the right to make unwise decisions and requires consent, unless they lack mental capacity in relation to safeguarding, as defined by the Mental Capacity Act which comes in at sixteen years old, others may be at risk, or a crime has been committed. Practitioners must balance protection with respecting autonomy</w:t>
            </w:r>
            <w:r w:rsidR="009E479D">
              <w:rPr>
                <w:sz w:val="24"/>
                <w:szCs w:val="24"/>
              </w:rPr>
              <w:t xml:space="preserve"> but can intervene where there is strong evidence to suggest harm could occur. </w:t>
            </w:r>
            <w:r w:rsidRPr="008F69B9">
              <w:rPr>
                <w:sz w:val="24"/>
                <w:szCs w:val="24"/>
              </w:rPr>
              <w:t xml:space="preserve"> Children are presumed to lack full legal capacity, and decisions are made in their best interests. However, Gillick competency assesses if a child under sixteen can consent to medical treatment without parental involvement. If they understand the treatment, risks, and consequences, they may be deemed competent. It is decision-specific and often used alongside Fraser Guidelines. Parents are the main protectors of children, as an adult, this autonomy is automatic.</w:t>
            </w:r>
          </w:p>
          <w:p w14:paraId="7A74272D" w14:textId="5FD31748" w:rsidR="008F69B9" w:rsidRPr="008F69B9" w:rsidRDefault="008F69B9" w:rsidP="008F69B9">
            <w:pPr>
              <w:jc w:val="both"/>
              <w:rPr>
                <w:sz w:val="24"/>
                <w:szCs w:val="24"/>
              </w:rPr>
            </w:pPr>
            <w:r w:rsidRPr="008F69B9">
              <w:rPr>
                <w:sz w:val="24"/>
                <w:szCs w:val="24"/>
              </w:rPr>
              <w:t xml:space="preserve">Children’s safeguarding involves Child Protection Conferences, core groups, and Looked After Children Reviews, </w:t>
            </w:r>
            <w:r w:rsidR="00CD3F93">
              <w:rPr>
                <w:sz w:val="24"/>
                <w:szCs w:val="24"/>
              </w:rPr>
              <w:t>emphasising</w:t>
            </w:r>
            <w:r w:rsidRPr="008F69B9">
              <w:rPr>
                <w:sz w:val="24"/>
                <w:szCs w:val="24"/>
              </w:rPr>
              <w:t xml:space="preserve"> development, safety, and outcomes. Adult safeguarding involves Section 126 enquiries includes risk assessments, mental capacity evaluations, and multi-agency safeguarding meetings, </w:t>
            </w:r>
            <w:r w:rsidR="00CD3F93">
              <w:rPr>
                <w:sz w:val="24"/>
                <w:szCs w:val="24"/>
              </w:rPr>
              <w:t>emphasising e</w:t>
            </w:r>
            <w:r w:rsidRPr="008F69B9">
              <w:rPr>
                <w:sz w:val="24"/>
                <w:szCs w:val="24"/>
              </w:rPr>
              <w:t xml:space="preserve">mpowerment and maintaining independence. </w:t>
            </w:r>
          </w:p>
          <w:p w14:paraId="4CABE426" w14:textId="684C30D9" w:rsidR="00FC0334" w:rsidRDefault="008F69B9" w:rsidP="008F69B9">
            <w:pPr>
              <w:jc w:val="both"/>
              <w:rPr>
                <w:sz w:val="24"/>
                <w:szCs w:val="24"/>
              </w:rPr>
            </w:pPr>
            <w:r w:rsidRPr="008F69B9">
              <w:rPr>
                <w:sz w:val="24"/>
                <w:szCs w:val="24"/>
              </w:rPr>
              <w:t xml:space="preserve">Wales Safeguarding Procedures provide guidance, ensuring proportionate, rights-based responses. Collaboration is central, promoting early intervention and coordinated support. </w:t>
            </w:r>
            <w:r w:rsidR="00CD5DDD">
              <w:rPr>
                <w:sz w:val="24"/>
                <w:szCs w:val="24"/>
              </w:rPr>
              <w:t>B</w:t>
            </w:r>
            <w:r w:rsidRPr="008F69B9">
              <w:rPr>
                <w:sz w:val="24"/>
                <w:szCs w:val="24"/>
              </w:rPr>
              <w:t xml:space="preserve">oth frameworks aim to prevent harm and promote well-being, </w:t>
            </w:r>
            <w:r w:rsidR="00CD5DDD">
              <w:rPr>
                <w:sz w:val="24"/>
                <w:szCs w:val="24"/>
              </w:rPr>
              <w:t>but</w:t>
            </w:r>
            <w:r w:rsidRPr="008F69B9">
              <w:rPr>
                <w:sz w:val="24"/>
                <w:szCs w:val="24"/>
              </w:rPr>
              <w:t xml:space="preserve"> differ in thresholds for intervention, consent, and legal mechanisms, reflecting the vulnerabilities and rights within safeguarding practice.</w:t>
            </w:r>
          </w:p>
          <w:p w14:paraId="747BF5AF" w14:textId="77777777" w:rsidR="00D05DA9" w:rsidRPr="00D05DA9" w:rsidRDefault="00D05DA9" w:rsidP="00D05DA9">
            <w:pPr>
              <w:jc w:val="both"/>
              <w:rPr>
                <w:sz w:val="24"/>
                <w:szCs w:val="24"/>
              </w:rPr>
            </w:pPr>
          </w:p>
          <w:p w14:paraId="795C6051" w14:textId="43049A35" w:rsidR="00FC0334" w:rsidRPr="00951750" w:rsidRDefault="00951750" w:rsidP="00951750">
            <w:pPr>
              <w:jc w:val="both"/>
              <w:rPr>
                <w:b/>
                <w:bCs/>
                <w:sz w:val="24"/>
                <w:szCs w:val="24"/>
              </w:rPr>
            </w:pPr>
            <w:r w:rsidRPr="00951750">
              <w:rPr>
                <w:b/>
                <w:bCs/>
                <w:sz w:val="24"/>
                <w:szCs w:val="24"/>
              </w:rPr>
              <w:t xml:space="preserve">Word count: </w:t>
            </w:r>
            <w:r w:rsidR="008F69B9">
              <w:rPr>
                <w:b/>
                <w:bCs/>
                <w:sz w:val="24"/>
                <w:szCs w:val="24"/>
              </w:rPr>
              <w:t>4</w:t>
            </w:r>
            <w:r w:rsidR="001E445F">
              <w:rPr>
                <w:b/>
                <w:bCs/>
                <w:sz w:val="24"/>
                <w:szCs w:val="24"/>
              </w:rPr>
              <w:t>4</w:t>
            </w:r>
            <w:r w:rsidR="00B97DA2">
              <w:rPr>
                <w:b/>
                <w:bCs/>
                <w:sz w:val="24"/>
                <w:szCs w:val="24"/>
              </w:rPr>
              <w:t>0</w:t>
            </w:r>
          </w:p>
          <w:p w14:paraId="67E7ED72" w14:textId="77777777" w:rsidR="00FC0334" w:rsidRDefault="00FC0334" w:rsidP="00FC0334">
            <w:pPr>
              <w:jc w:val="both"/>
              <w:rPr>
                <w:sz w:val="24"/>
                <w:szCs w:val="24"/>
              </w:rPr>
            </w:pPr>
          </w:p>
          <w:p w14:paraId="478D2F84" w14:textId="77777777" w:rsidR="00FC0334" w:rsidRDefault="00FC0334" w:rsidP="00FC0334">
            <w:pPr>
              <w:jc w:val="both"/>
              <w:rPr>
                <w:sz w:val="24"/>
                <w:szCs w:val="24"/>
              </w:rPr>
            </w:pPr>
          </w:p>
          <w:p w14:paraId="0E64B386" w14:textId="77777777" w:rsidR="00FC0334" w:rsidRDefault="00FC0334" w:rsidP="00FC0334">
            <w:pPr>
              <w:jc w:val="both"/>
              <w:rPr>
                <w:sz w:val="24"/>
                <w:szCs w:val="24"/>
              </w:rPr>
            </w:pPr>
          </w:p>
          <w:p w14:paraId="6BA3DD84" w14:textId="0013357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387778" w14:textId="77777777" w:rsidR="00F3227A" w:rsidRDefault="00F3227A">
      <w:r>
        <w:separator/>
      </w:r>
    </w:p>
  </w:endnote>
  <w:endnote w:type="continuationSeparator" w:id="0">
    <w:p w14:paraId="5ADDD502" w14:textId="77777777" w:rsidR="00F3227A" w:rsidRDefault="00F3227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7EE0F1" w14:textId="77777777" w:rsidR="00F3227A" w:rsidRDefault="00F3227A">
      <w:r>
        <w:separator/>
      </w:r>
    </w:p>
  </w:footnote>
  <w:footnote w:type="continuationSeparator" w:id="0">
    <w:p w14:paraId="2AD23A63" w14:textId="77777777" w:rsidR="00F3227A" w:rsidRDefault="00F3227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37C70"/>
    <w:rsid w:val="0004079F"/>
    <w:rsid w:val="00043543"/>
    <w:rsid w:val="00045B87"/>
    <w:rsid w:val="00045C07"/>
    <w:rsid w:val="00045C40"/>
    <w:rsid w:val="00046861"/>
    <w:rsid w:val="000507F5"/>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3CF3"/>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2FD4"/>
    <w:rsid w:val="00114F52"/>
    <w:rsid w:val="00130119"/>
    <w:rsid w:val="00132812"/>
    <w:rsid w:val="001347F8"/>
    <w:rsid w:val="001359EE"/>
    <w:rsid w:val="00137BB5"/>
    <w:rsid w:val="00137E05"/>
    <w:rsid w:val="001447F6"/>
    <w:rsid w:val="0014521F"/>
    <w:rsid w:val="00147DE3"/>
    <w:rsid w:val="00150794"/>
    <w:rsid w:val="00151DA6"/>
    <w:rsid w:val="001608C4"/>
    <w:rsid w:val="00164832"/>
    <w:rsid w:val="00171418"/>
    <w:rsid w:val="00177296"/>
    <w:rsid w:val="001772BF"/>
    <w:rsid w:val="001772DE"/>
    <w:rsid w:val="0019496C"/>
    <w:rsid w:val="001961CF"/>
    <w:rsid w:val="001A59BB"/>
    <w:rsid w:val="001A607E"/>
    <w:rsid w:val="001A6A51"/>
    <w:rsid w:val="001A79C4"/>
    <w:rsid w:val="001B331A"/>
    <w:rsid w:val="001B6145"/>
    <w:rsid w:val="001C0237"/>
    <w:rsid w:val="001C0E74"/>
    <w:rsid w:val="001C4DB8"/>
    <w:rsid w:val="001C50B8"/>
    <w:rsid w:val="001D229F"/>
    <w:rsid w:val="001E2EB6"/>
    <w:rsid w:val="001E445F"/>
    <w:rsid w:val="001F4552"/>
    <w:rsid w:val="002019EB"/>
    <w:rsid w:val="00204B58"/>
    <w:rsid w:val="00205051"/>
    <w:rsid w:val="00211F65"/>
    <w:rsid w:val="00214047"/>
    <w:rsid w:val="00216563"/>
    <w:rsid w:val="002168B9"/>
    <w:rsid w:val="0021792F"/>
    <w:rsid w:val="00220D06"/>
    <w:rsid w:val="002246A0"/>
    <w:rsid w:val="00230439"/>
    <w:rsid w:val="00232A09"/>
    <w:rsid w:val="00235176"/>
    <w:rsid w:val="00236061"/>
    <w:rsid w:val="0024100E"/>
    <w:rsid w:val="00241C1B"/>
    <w:rsid w:val="0024288B"/>
    <w:rsid w:val="00243DB0"/>
    <w:rsid w:val="00246FB6"/>
    <w:rsid w:val="00247265"/>
    <w:rsid w:val="00260663"/>
    <w:rsid w:val="002657E9"/>
    <w:rsid w:val="0026665E"/>
    <w:rsid w:val="0027147E"/>
    <w:rsid w:val="002761F4"/>
    <w:rsid w:val="002775E1"/>
    <w:rsid w:val="00277979"/>
    <w:rsid w:val="00287CFE"/>
    <w:rsid w:val="00291ADD"/>
    <w:rsid w:val="002920DF"/>
    <w:rsid w:val="00292F3D"/>
    <w:rsid w:val="00294150"/>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82F"/>
    <w:rsid w:val="00355CFD"/>
    <w:rsid w:val="00355D52"/>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B42FD"/>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25F11"/>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2CAA"/>
    <w:rsid w:val="00473153"/>
    <w:rsid w:val="0047350F"/>
    <w:rsid w:val="004743AF"/>
    <w:rsid w:val="00482C17"/>
    <w:rsid w:val="00484CE3"/>
    <w:rsid w:val="004911B4"/>
    <w:rsid w:val="0049196A"/>
    <w:rsid w:val="004923DA"/>
    <w:rsid w:val="00492EEB"/>
    <w:rsid w:val="00493434"/>
    <w:rsid w:val="0049374F"/>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571"/>
    <w:rsid w:val="004F1966"/>
    <w:rsid w:val="004F1E21"/>
    <w:rsid w:val="004F2542"/>
    <w:rsid w:val="004F4E33"/>
    <w:rsid w:val="004F6C67"/>
    <w:rsid w:val="004F740D"/>
    <w:rsid w:val="004F7B8F"/>
    <w:rsid w:val="004F7D97"/>
    <w:rsid w:val="00500748"/>
    <w:rsid w:val="005011D6"/>
    <w:rsid w:val="00502A14"/>
    <w:rsid w:val="005042F1"/>
    <w:rsid w:val="0050481B"/>
    <w:rsid w:val="00511382"/>
    <w:rsid w:val="005113D4"/>
    <w:rsid w:val="0051287D"/>
    <w:rsid w:val="00513C7D"/>
    <w:rsid w:val="00521123"/>
    <w:rsid w:val="00521221"/>
    <w:rsid w:val="0052250B"/>
    <w:rsid w:val="005305C6"/>
    <w:rsid w:val="00540EEC"/>
    <w:rsid w:val="005414F4"/>
    <w:rsid w:val="00546187"/>
    <w:rsid w:val="00547B11"/>
    <w:rsid w:val="00557D77"/>
    <w:rsid w:val="00561DA5"/>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E4B8B"/>
    <w:rsid w:val="005F64AA"/>
    <w:rsid w:val="005F7851"/>
    <w:rsid w:val="00606E27"/>
    <w:rsid w:val="006108C9"/>
    <w:rsid w:val="00614DF7"/>
    <w:rsid w:val="006152A8"/>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0617"/>
    <w:rsid w:val="006E481E"/>
    <w:rsid w:val="006E795F"/>
    <w:rsid w:val="006F0862"/>
    <w:rsid w:val="006F1438"/>
    <w:rsid w:val="006F2A9E"/>
    <w:rsid w:val="006F5ED3"/>
    <w:rsid w:val="00700249"/>
    <w:rsid w:val="00705BF4"/>
    <w:rsid w:val="007069CD"/>
    <w:rsid w:val="00706BB5"/>
    <w:rsid w:val="0071231A"/>
    <w:rsid w:val="00712E90"/>
    <w:rsid w:val="00713B7E"/>
    <w:rsid w:val="007250DD"/>
    <w:rsid w:val="007266EF"/>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326E"/>
    <w:rsid w:val="00865B58"/>
    <w:rsid w:val="00866B50"/>
    <w:rsid w:val="00867A63"/>
    <w:rsid w:val="008708F1"/>
    <w:rsid w:val="00871960"/>
    <w:rsid w:val="0087369F"/>
    <w:rsid w:val="00880539"/>
    <w:rsid w:val="008859E8"/>
    <w:rsid w:val="00885E3E"/>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1B3"/>
    <w:rsid w:val="008D03B0"/>
    <w:rsid w:val="008D2150"/>
    <w:rsid w:val="008D5813"/>
    <w:rsid w:val="008D5999"/>
    <w:rsid w:val="008D634E"/>
    <w:rsid w:val="008D778A"/>
    <w:rsid w:val="008D78C9"/>
    <w:rsid w:val="008E3195"/>
    <w:rsid w:val="008E5A35"/>
    <w:rsid w:val="008F127E"/>
    <w:rsid w:val="008F32D9"/>
    <w:rsid w:val="008F69B9"/>
    <w:rsid w:val="00900D44"/>
    <w:rsid w:val="00902A65"/>
    <w:rsid w:val="00903932"/>
    <w:rsid w:val="00905BBC"/>
    <w:rsid w:val="009079BD"/>
    <w:rsid w:val="00912BD9"/>
    <w:rsid w:val="00916FB2"/>
    <w:rsid w:val="00920E5B"/>
    <w:rsid w:val="00926436"/>
    <w:rsid w:val="00926C53"/>
    <w:rsid w:val="0093018C"/>
    <w:rsid w:val="0094495F"/>
    <w:rsid w:val="00951750"/>
    <w:rsid w:val="009544C0"/>
    <w:rsid w:val="00954FA4"/>
    <w:rsid w:val="00956AE9"/>
    <w:rsid w:val="00964CC6"/>
    <w:rsid w:val="00967BFA"/>
    <w:rsid w:val="00971FE3"/>
    <w:rsid w:val="0098262C"/>
    <w:rsid w:val="0098427C"/>
    <w:rsid w:val="00986B43"/>
    <w:rsid w:val="00986C0B"/>
    <w:rsid w:val="00986D46"/>
    <w:rsid w:val="00991FDA"/>
    <w:rsid w:val="00992ACA"/>
    <w:rsid w:val="009A27E9"/>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79D"/>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6A4E"/>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C581C"/>
    <w:rsid w:val="00AC7564"/>
    <w:rsid w:val="00AD336F"/>
    <w:rsid w:val="00AD3C03"/>
    <w:rsid w:val="00AE134C"/>
    <w:rsid w:val="00AE1868"/>
    <w:rsid w:val="00AE2564"/>
    <w:rsid w:val="00AE301F"/>
    <w:rsid w:val="00AE3302"/>
    <w:rsid w:val="00AE5BA6"/>
    <w:rsid w:val="00AE6231"/>
    <w:rsid w:val="00AE7077"/>
    <w:rsid w:val="00AF38EF"/>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66BF5"/>
    <w:rsid w:val="00B71A32"/>
    <w:rsid w:val="00B7502A"/>
    <w:rsid w:val="00B77305"/>
    <w:rsid w:val="00B774BD"/>
    <w:rsid w:val="00B82CC2"/>
    <w:rsid w:val="00B84A89"/>
    <w:rsid w:val="00B9256C"/>
    <w:rsid w:val="00B92BEF"/>
    <w:rsid w:val="00B94443"/>
    <w:rsid w:val="00B9689A"/>
    <w:rsid w:val="00B97056"/>
    <w:rsid w:val="00B97DA2"/>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C7B1C"/>
    <w:rsid w:val="00BC7C32"/>
    <w:rsid w:val="00BD0008"/>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2BA"/>
    <w:rsid w:val="00C876BD"/>
    <w:rsid w:val="00C87A74"/>
    <w:rsid w:val="00C92537"/>
    <w:rsid w:val="00C92C71"/>
    <w:rsid w:val="00C93F8F"/>
    <w:rsid w:val="00CA0894"/>
    <w:rsid w:val="00CA3593"/>
    <w:rsid w:val="00CA5726"/>
    <w:rsid w:val="00CA7E6A"/>
    <w:rsid w:val="00CB258E"/>
    <w:rsid w:val="00CB3C8F"/>
    <w:rsid w:val="00CC02F1"/>
    <w:rsid w:val="00CC1122"/>
    <w:rsid w:val="00CC11A6"/>
    <w:rsid w:val="00CC135E"/>
    <w:rsid w:val="00CC5549"/>
    <w:rsid w:val="00CC7226"/>
    <w:rsid w:val="00CD0735"/>
    <w:rsid w:val="00CD3F93"/>
    <w:rsid w:val="00CD45E3"/>
    <w:rsid w:val="00CD4771"/>
    <w:rsid w:val="00CD5089"/>
    <w:rsid w:val="00CD5D3F"/>
    <w:rsid w:val="00CD5DDD"/>
    <w:rsid w:val="00CD7E1F"/>
    <w:rsid w:val="00CE4BC4"/>
    <w:rsid w:val="00CE7DA2"/>
    <w:rsid w:val="00CF2F8A"/>
    <w:rsid w:val="00CF3DB3"/>
    <w:rsid w:val="00D0274B"/>
    <w:rsid w:val="00D0503D"/>
    <w:rsid w:val="00D052BC"/>
    <w:rsid w:val="00D05DA9"/>
    <w:rsid w:val="00D07026"/>
    <w:rsid w:val="00D146AE"/>
    <w:rsid w:val="00D22C8F"/>
    <w:rsid w:val="00D30A86"/>
    <w:rsid w:val="00D3203C"/>
    <w:rsid w:val="00D33491"/>
    <w:rsid w:val="00D3442D"/>
    <w:rsid w:val="00D36F00"/>
    <w:rsid w:val="00D44B67"/>
    <w:rsid w:val="00D44D2D"/>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C7859"/>
    <w:rsid w:val="00DD31C5"/>
    <w:rsid w:val="00DD5020"/>
    <w:rsid w:val="00DD63BE"/>
    <w:rsid w:val="00DE4296"/>
    <w:rsid w:val="00DF23DE"/>
    <w:rsid w:val="00DF2469"/>
    <w:rsid w:val="00DF7899"/>
    <w:rsid w:val="00E0524C"/>
    <w:rsid w:val="00E15751"/>
    <w:rsid w:val="00E17160"/>
    <w:rsid w:val="00E17D41"/>
    <w:rsid w:val="00E2159F"/>
    <w:rsid w:val="00E231D1"/>
    <w:rsid w:val="00E27C2C"/>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1DC0"/>
    <w:rsid w:val="00E83D90"/>
    <w:rsid w:val="00E83F91"/>
    <w:rsid w:val="00E86299"/>
    <w:rsid w:val="00E86487"/>
    <w:rsid w:val="00E9107A"/>
    <w:rsid w:val="00E91F62"/>
    <w:rsid w:val="00E929FD"/>
    <w:rsid w:val="00E93240"/>
    <w:rsid w:val="00E9479B"/>
    <w:rsid w:val="00E94E22"/>
    <w:rsid w:val="00E95F08"/>
    <w:rsid w:val="00E97171"/>
    <w:rsid w:val="00EA4D48"/>
    <w:rsid w:val="00EA6C9A"/>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4B89"/>
    <w:rsid w:val="00EF68BB"/>
    <w:rsid w:val="00F01F92"/>
    <w:rsid w:val="00F030D4"/>
    <w:rsid w:val="00F04053"/>
    <w:rsid w:val="00F06573"/>
    <w:rsid w:val="00F10A08"/>
    <w:rsid w:val="00F15354"/>
    <w:rsid w:val="00F22AC5"/>
    <w:rsid w:val="00F254D1"/>
    <w:rsid w:val="00F3227A"/>
    <w:rsid w:val="00F32B82"/>
    <w:rsid w:val="00F34C86"/>
    <w:rsid w:val="00F4043E"/>
    <w:rsid w:val="00F41795"/>
    <w:rsid w:val="00F41BBC"/>
    <w:rsid w:val="00F444F0"/>
    <w:rsid w:val="00F446FF"/>
    <w:rsid w:val="00F45160"/>
    <w:rsid w:val="00F45521"/>
    <w:rsid w:val="00F50847"/>
    <w:rsid w:val="00F53F27"/>
    <w:rsid w:val="00F546D1"/>
    <w:rsid w:val="00F57ED2"/>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6BF2"/>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88</TotalTime>
  <Pages>4</Pages>
  <Words>1193</Words>
  <Characters>7091</Characters>
  <Application>Microsoft Office Word</Application>
  <DocSecurity>0</DocSecurity>
  <Lines>228</Lines>
  <Paragraphs>87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Emma Procter</cp:lastModifiedBy>
  <cp:revision>60</cp:revision>
  <cp:lastPrinted>2020-02-11T19:20:00Z</cp:lastPrinted>
  <dcterms:created xsi:type="dcterms:W3CDTF">2024-11-05T11:52:00Z</dcterms:created>
  <dcterms:modified xsi:type="dcterms:W3CDTF">2025-09-30T08:44:00Z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