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sz w:val="24"/>
          <w:szCs w:val="24"/>
          <w:lang w:val="en-GB"/>
          <w14:ligatures w14:val="standardContextual"/>
        </w:rPr>
        <w:id w:val="-941919558"/>
        <w:docPartObj>
          <w:docPartGallery w:val="Cover Pages"/>
          <w:docPartUnique/>
        </w:docPartObj>
      </w:sdtPr>
      <w:sdtEndPr>
        <w:rPr>
          <w:rFonts w:ascii="Arial" w:hAnsi="Arial" w:cs="Arial"/>
          <w:color w:val="auto"/>
        </w:rPr>
      </w:sdtEndPr>
      <w:sdtContent>
        <w:p w14:paraId="313106BC" w14:textId="72774062" w:rsidR="00DB6D3A" w:rsidRDefault="00DB6D3A">
          <w:pPr>
            <w:pStyle w:val="NoSpacing"/>
            <w:spacing w:before="1540" w:after="240"/>
            <w:jc w:val="center"/>
            <w:rPr>
              <w:color w:val="156082" w:themeColor="accent1"/>
            </w:rPr>
          </w:pPr>
          <w:r>
            <w:rPr>
              <w:noProof/>
              <w:color w:val="156082" w:themeColor="accent1"/>
            </w:rPr>
            <w:drawing>
              <wp:inline distT="0" distB="0" distL="0" distR="0" wp14:anchorId="10749307" wp14:editId="63393A80">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4E1A1E2" w14:textId="627888AC" w:rsidR="00DB6D3A" w:rsidRDefault="00DB6D3A" w:rsidP="00DB6D3A">
          <w:pPr>
            <w:pStyle w:val="Title"/>
            <w:pBdr>
              <w:bottom w:val="single" w:sz="6" w:space="1" w:color="auto"/>
            </w:pBdr>
          </w:pPr>
          <w:r w:rsidRPr="00DB6D3A">
            <w:t>SDG 1 and SDG 4: Advancing Health and Education for Sustainable Development</w:t>
          </w:r>
        </w:p>
        <w:p w14:paraId="73890525" w14:textId="5BFA602D" w:rsidR="00DB611E" w:rsidRPr="003D36F6" w:rsidRDefault="00DB611E">
          <w:pPr>
            <w:pStyle w:val="NoSpacing"/>
            <w:jc w:val="center"/>
            <w:rPr>
              <w:color w:val="156082" w:themeColor="accent1"/>
              <w:sz w:val="32"/>
              <w:szCs w:val="32"/>
            </w:rPr>
          </w:pPr>
          <w:r w:rsidRPr="003D36F6">
            <w:rPr>
              <w:color w:val="156082" w:themeColor="accent1"/>
              <w:sz w:val="32"/>
              <w:szCs w:val="32"/>
            </w:rPr>
            <w:t>Student name: Costel Ionel Bordea</w:t>
          </w:r>
        </w:p>
        <w:p w14:paraId="0979E3A6" w14:textId="3DF64F03" w:rsidR="00DB611E" w:rsidRPr="003D36F6" w:rsidRDefault="00DB611E">
          <w:pPr>
            <w:pStyle w:val="NoSpacing"/>
            <w:jc w:val="center"/>
            <w:rPr>
              <w:color w:val="156082" w:themeColor="accent1"/>
              <w:sz w:val="32"/>
              <w:szCs w:val="32"/>
            </w:rPr>
          </w:pPr>
          <w:r w:rsidRPr="003D36F6">
            <w:rPr>
              <w:color w:val="156082" w:themeColor="accent1"/>
              <w:sz w:val="32"/>
              <w:szCs w:val="32"/>
            </w:rPr>
            <w:t>Student ID: 2133346</w:t>
          </w:r>
        </w:p>
        <w:p w14:paraId="553B3F34" w14:textId="55E243B9" w:rsidR="00DB611E" w:rsidRPr="003D36F6" w:rsidRDefault="00DB611E">
          <w:pPr>
            <w:pStyle w:val="NoSpacing"/>
            <w:jc w:val="center"/>
            <w:rPr>
              <w:color w:val="156082" w:themeColor="accent1"/>
              <w:sz w:val="32"/>
              <w:szCs w:val="32"/>
            </w:rPr>
          </w:pPr>
          <w:r w:rsidRPr="003D36F6">
            <w:rPr>
              <w:color w:val="156082" w:themeColor="accent1"/>
              <w:sz w:val="32"/>
              <w:szCs w:val="32"/>
            </w:rPr>
            <w:t xml:space="preserve">Words: </w:t>
          </w:r>
          <w:r w:rsidR="00B9083E">
            <w:rPr>
              <w:color w:val="156082" w:themeColor="accent1"/>
              <w:sz w:val="32"/>
              <w:szCs w:val="32"/>
            </w:rPr>
            <w:t>4056</w:t>
          </w:r>
        </w:p>
        <w:p w14:paraId="236DF91C" w14:textId="6B6ED60E" w:rsidR="003D36F6" w:rsidRPr="003D36F6" w:rsidRDefault="003D36F6" w:rsidP="003D36F6">
          <w:pPr>
            <w:pStyle w:val="NoSpacing"/>
            <w:jc w:val="center"/>
            <w:rPr>
              <w:color w:val="156082" w:themeColor="accent1"/>
              <w:sz w:val="32"/>
              <w:szCs w:val="32"/>
            </w:rPr>
          </w:pPr>
          <w:r w:rsidRPr="003D36F6">
            <w:rPr>
              <w:color w:val="156082" w:themeColor="accent1"/>
              <w:sz w:val="32"/>
              <w:szCs w:val="32"/>
            </w:rPr>
            <w:t>Lecturer: Chloe Harries</w:t>
          </w:r>
        </w:p>
        <w:p w14:paraId="72BB2482" w14:textId="37215D8E" w:rsidR="00DB6D3A" w:rsidRDefault="00DB6D3A">
          <w:pPr>
            <w:pStyle w:val="NoSpacing"/>
            <w:spacing w:before="480"/>
            <w:jc w:val="center"/>
            <w:rPr>
              <w:color w:val="156082" w:themeColor="accent1"/>
            </w:rPr>
          </w:pPr>
          <w:r>
            <w:rPr>
              <w:noProof/>
              <w:color w:val="156082" w:themeColor="accent1"/>
            </w:rPr>
            <w:drawing>
              <wp:inline distT="0" distB="0" distL="0" distR="0" wp14:anchorId="2B675B6B" wp14:editId="160EDA1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AC5A6AC" w14:textId="40DCD8A9" w:rsidR="00DB6D3A" w:rsidRDefault="00DB6D3A">
          <w:pPr>
            <w:rPr>
              <w:rFonts w:ascii="Arial" w:eastAsiaTheme="majorEastAsia" w:hAnsi="Arial" w:cs="Arial"/>
              <w:color w:val="0F4761" w:themeColor="accent1" w:themeShade="BF"/>
              <w:kern w:val="0"/>
              <w:sz w:val="32"/>
              <w:szCs w:val="32"/>
              <w:lang w:val="en-US"/>
              <w14:ligatures w14:val="none"/>
            </w:rPr>
          </w:pPr>
          <w:r>
            <w:rPr>
              <w:rFonts w:ascii="Arial" w:hAnsi="Arial" w:cs="Arial"/>
            </w:rPr>
            <w:br w:type="page"/>
          </w:r>
        </w:p>
      </w:sdtContent>
    </w:sdt>
    <w:sdt>
      <w:sdtPr>
        <w:rPr>
          <w:rFonts w:ascii="Arial" w:eastAsiaTheme="minorHAnsi" w:hAnsi="Arial" w:cs="Arial"/>
          <w:color w:val="auto"/>
          <w:kern w:val="2"/>
          <w:sz w:val="24"/>
          <w:szCs w:val="24"/>
          <w:lang w:val="en-GB"/>
          <w14:ligatures w14:val="standardContextual"/>
        </w:rPr>
        <w:id w:val="-1301919372"/>
        <w:docPartObj>
          <w:docPartGallery w:val="Table of Contents"/>
          <w:docPartUnique/>
        </w:docPartObj>
      </w:sdtPr>
      <w:sdtEndPr>
        <w:rPr>
          <w:b/>
          <w:bCs/>
          <w:noProof/>
        </w:rPr>
      </w:sdtEndPr>
      <w:sdtContent>
        <w:p w14:paraId="341D5E55" w14:textId="1A2C264A" w:rsidR="006363A0" w:rsidRPr="00A62F86" w:rsidRDefault="006363A0" w:rsidP="00A62F86">
          <w:pPr>
            <w:pStyle w:val="TOCHeading"/>
            <w:spacing w:line="360" w:lineRule="auto"/>
            <w:rPr>
              <w:rFonts w:ascii="Arial" w:hAnsi="Arial" w:cs="Arial"/>
            </w:rPr>
          </w:pPr>
          <w:r w:rsidRPr="00A62F86">
            <w:rPr>
              <w:rFonts w:ascii="Arial" w:hAnsi="Arial" w:cs="Arial"/>
            </w:rPr>
            <w:t>Contents</w:t>
          </w:r>
        </w:p>
        <w:p w14:paraId="587674DF" w14:textId="52ED294D" w:rsidR="00BE7BC7" w:rsidRDefault="006363A0">
          <w:pPr>
            <w:pStyle w:val="TOC1"/>
            <w:tabs>
              <w:tab w:val="right" w:leader="dot" w:pos="9016"/>
            </w:tabs>
            <w:rPr>
              <w:rFonts w:eastAsiaTheme="minorEastAsia"/>
              <w:noProof/>
              <w:lang w:eastAsia="en-GB"/>
            </w:rPr>
          </w:pPr>
          <w:r w:rsidRPr="00A62F86">
            <w:rPr>
              <w:rFonts w:ascii="Arial" w:hAnsi="Arial" w:cs="Arial"/>
            </w:rPr>
            <w:fldChar w:fldCharType="begin"/>
          </w:r>
          <w:r w:rsidRPr="00A62F86">
            <w:rPr>
              <w:rFonts w:ascii="Arial" w:hAnsi="Arial" w:cs="Arial"/>
            </w:rPr>
            <w:instrText xml:space="preserve"> TOC \o "1-3" \h \z \u </w:instrText>
          </w:r>
          <w:r w:rsidRPr="00A62F86">
            <w:rPr>
              <w:rFonts w:ascii="Arial" w:hAnsi="Arial" w:cs="Arial"/>
            </w:rPr>
            <w:fldChar w:fldCharType="separate"/>
          </w:r>
          <w:hyperlink w:anchor="_Toc183895093" w:history="1">
            <w:r w:rsidR="00BE7BC7" w:rsidRPr="00020865">
              <w:rPr>
                <w:rStyle w:val="Hyperlink"/>
                <w:noProof/>
              </w:rPr>
              <w:t>1. Introduction</w:t>
            </w:r>
            <w:r w:rsidR="00BE7BC7">
              <w:rPr>
                <w:noProof/>
                <w:webHidden/>
              </w:rPr>
              <w:tab/>
            </w:r>
            <w:r w:rsidR="00BE7BC7">
              <w:rPr>
                <w:noProof/>
                <w:webHidden/>
              </w:rPr>
              <w:fldChar w:fldCharType="begin"/>
            </w:r>
            <w:r w:rsidR="00BE7BC7">
              <w:rPr>
                <w:noProof/>
                <w:webHidden/>
              </w:rPr>
              <w:instrText xml:space="preserve"> PAGEREF _Toc183895093 \h </w:instrText>
            </w:r>
            <w:r w:rsidR="00BE7BC7">
              <w:rPr>
                <w:noProof/>
                <w:webHidden/>
              </w:rPr>
            </w:r>
            <w:r w:rsidR="00BE7BC7">
              <w:rPr>
                <w:noProof/>
                <w:webHidden/>
              </w:rPr>
              <w:fldChar w:fldCharType="separate"/>
            </w:r>
            <w:r w:rsidR="00BE7BC7">
              <w:rPr>
                <w:noProof/>
                <w:webHidden/>
              </w:rPr>
              <w:t>2</w:t>
            </w:r>
            <w:r w:rsidR="00BE7BC7">
              <w:rPr>
                <w:noProof/>
                <w:webHidden/>
              </w:rPr>
              <w:fldChar w:fldCharType="end"/>
            </w:r>
          </w:hyperlink>
        </w:p>
        <w:p w14:paraId="536E7FB4" w14:textId="286A8986" w:rsidR="00BE7BC7" w:rsidRDefault="00BE7BC7">
          <w:pPr>
            <w:pStyle w:val="TOC2"/>
            <w:tabs>
              <w:tab w:val="right" w:leader="dot" w:pos="9016"/>
            </w:tabs>
            <w:rPr>
              <w:rFonts w:eastAsiaTheme="minorEastAsia"/>
              <w:noProof/>
              <w:lang w:eastAsia="en-GB"/>
            </w:rPr>
          </w:pPr>
          <w:hyperlink w:anchor="_Toc183895094" w:history="1">
            <w:r w:rsidRPr="00020865">
              <w:rPr>
                <w:rStyle w:val="Hyperlink"/>
                <w:rFonts w:ascii="Arial" w:hAnsi="Arial" w:cs="Arial"/>
                <w:noProof/>
              </w:rPr>
              <w:t>1.1 Context</w:t>
            </w:r>
            <w:r>
              <w:rPr>
                <w:noProof/>
                <w:webHidden/>
              </w:rPr>
              <w:tab/>
            </w:r>
            <w:r>
              <w:rPr>
                <w:noProof/>
                <w:webHidden/>
              </w:rPr>
              <w:fldChar w:fldCharType="begin"/>
            </w:r>
            <w:r>
              <w:rPr>
                <w:noProof/>
                <w:webHidden/>
              </w:rPr>
              <w:instrText xml:space="preserve"> PAGEREF _Toc183895094 \h </w:instrText>
            </w:r>
            <w:r>
              <w:rPr>
                <w:noProof/>
                <w:webHidden/>
              </w:rPr>
            </w:r>
            <w:r>
              <w:rPr>
                <w:noProof/>
                <w:webHidden/>
              </w:rPr>
              <w:fldChar w:fldCharType="separate"/>
            </w:r>
            <w:r>
              <w:rPr>
                <w:noProof/>
                <w:webHidden/>
              </w:rPr>
              <w:t>2</w:t>
            </w:r>
            <w:r>
              <w:rPr>
                <w:noProof/>
                <w:webHidden/>
              </w:rPr>
              <w:fldChar w:fldCharType="end"/>
            </w:r>
          </w:hyperlink>
        </w:p>
        <w:p w14:paraId="5125FD6C" w14:textId="6020C9D4" w:rsidR="00BE7BC7" w:rsidRDefault="00BE7BC7">
          <w:pPr>
            <w:pStyle w:val="TOC2"/>
            <w:tabs>
              <w:tab w:val="right" w:leader="dot" w:pos="9016"/>
            </w:tabs>
            <w:rPr>
              <w:rFonts w:eastAsiaTheme="minorEastAsia"/>
              <w:noProof/>
              <w:lang w:eastAsia="en-GB"/>
            </w:rPr>
          </w:pPr>
          <w:hyperlink w:anchor="_Toc183895095" w:history="1">
            <w:r w:rsidRPr="00020865">
              <w:rPr>
                <w:rStyle w:val="Hyperlink"/>
                <w:rFonts w:ascii="Arial" w:hAnsi="Arial" w:cs="Arial"/>
                <w:noProof/>
              </w:rPr>
              <w:t>1.2 The Importance of Health, Wellbeing, and Education</w:t>
            </w:r>
            <w:r>
              <w:rPr>
                <w:noProof/>
                <w:webHidden/>
              </w:rPr>
              <w:tab/>
            </w:r>
            <w:r>
              <w:rPr>
                <w:noProof/>
                <w:webHidden/>
              </w:rPr>
              <w:fldChar w:fldCharType="begin"/>
            </w:r>
            <w:r>
              <w:rPr>
                <w:noProof/>
                <w:webHidden/>
              </w:rPr>
              <w:instrText xml:space="preserve"> PAGEREF _Toc183895095 \h </w:instrText>
            </w:r>
            <w:r>
              <w:rPr>
                <w:noProof/>
                <w:webHidden/>
              </w:rPr>
            </w:r>
            <w:r>
              <w:rPr>
                <w:noProof/>
                <w:webHidden/>
              </w:rPr>
              <w:fldChar w:fldCharType="separate"/>
            </w:r>
            <w:r>
              <w:rPr>
                <w:noProof/>
                <w:webHidden/>
              </w:rPr>
              <w:t>2</w:t>
            </w:r>
            <w:r>
              <w:rPr>
                <w:noProof/>
                <w:webHidden/>
              </w:rPr>
              <w:fldChar w:fldCharType="end"/>
            </w:r>
          </w:hyperlink>
        </w:p>
        <w:p w14:paraId="3977FAB1" w14:textId="38BC2887" w:rsidR="00BE7BC7" w:rsidRDefault="00BE7BC7">
          <w:pPr>
            <w:pStyle w:val="TOC2"/>
            <w:tabs>
              <w:tab w:val="right" w:leader="dot" w:pos="9016"/>
            </w:tabs>
            <w:rPr>
              <w:rFonts w:eastAsiaTheme="minorEastAsia"/>
              <w:noProof/>
              <w:lang w:eastAsia="en-GB"/>
            </w:rPr>
          </w:pPr>
          <w:hyperlink w:anchor="_Toc183895096" w:history="1">
            <w:r w:rsidRPr="00020865">
              <w:rPr>
                <w:rStyle w:val="Hyperlink"/>
                <w:rFonts w:ascii="Arial" w:hAnsi="Arial" w:cs="Arial"/>
                <w:noProof/>
              </w:rPr>
              <w:t>1.3 Selection of SDG 1 (No Poverty) and SDG 4 (Quality Education) and Their Relevance to the United Kingdom</w:t>
            </w:r>
            <w:r>
              <w:rPr>
                <w:noProof/>
                <w:webHidden/>
              </w:rPr>
              <w:tab/>
            </w:r>
            <w:r>
              <w:rPr>
                <w:noProof/>
                <w:webHidden/>
              </w:rPr>
              <w:fldChar w:fldCharType="begin"/>
            </w:r>
            <w:r>
              <w:rPr>
                <w:noProof/>
                <w:webHidden/>
              </w:rPr>
              <w:instrText xml:space="preserve"> PAGEREF _Toc183895096 \h </w:instrText>
            </w:r>
            <w:r>
              <w:rPr>
                <w:noProof/>
                <w:webHidden/>
              </w:rPr>
            </w:r>
            <w:r>
              <w:rPr>
                <w:noProof/>
                <w:webHidden/>
              </w:rPr>
              <w:fldChar w:fldCharType="separate"/>
            </w:r>
            <w:r>
              <w:rPr>
                <w:noProof/>
                <w:webHidden/>
              </w:rPr>
              <w:t>3</w:t>
            </w:r>
            <w:r>
              <w:rPr>
                <w:noProof/>
                <w:webHidden/>
              </w:rPr>
              <w:fldChar w:fldCharType="end"/>
            </w:r>
          </w:hyperlink>
        </w:p>
        <w:p w14:paraId="4AD925B4" w14:textId="6971B3B6" w:rsidR="00BE7BC7" w:rsidRDefault="00BE7BC7">
          <w:pPr>
            <w:pStyle w:val="TOC3"/>
            <w:tabs>
              <w:tab w:val="right" w:leader="dot" w:pos="9016"/>
            </w:tabs>
            <w:rPr>
              <w:rFonts w:eastAsiaTheme="minorEastAsia"/>
              <w:noProof/>
              <w:lang w:eastAsia="en-GB"/>
            </w:rPr>
          </w:pPr>
          <w:hyperlink w:anchor="_Toc183895097" w:history="1">
            <w:r w:rsidRPr="00020865">
              <w:rPr>
                <w:rStyle w:val="Hyperlink"/>
                <w:rFonts w:ascii="Arial" w:hAnsi="Arial" w:cs="Arial"/>
                <w:noProof/>
              </w:rPr>
              <w:t>1.3.1 Relevance of SDG 1 to the United Kingdom</w:t>
            </w:r>
            <w:r>
              <w:rPr>
                <w:noProof/>
                <w:webHidden/>
              </w:rPr>
              <w:tab/>
            </w:r>
            <w:r>
              <w:rPr>
                <w:noProof/>
                <w:webHidden/>
              </w:rPr>
              <w:fldChar w:fldCharType="begin"/>
            </w:r>
            <w:r>
              <w:rPr>
                <w:noProof/>
                <w:webHidden/>
              </w:rPr>
              <w:instrText xml:space="preserve"> PAGEREF _Toc183895097 \h </w:instrText>
            </w:r>
            <w:r>
              <w:rPr>
                <w:noProof/>
                <w:webHidden/>
              </w:rPr>
            </w:r>
            <w:r>
              <w:rPr>
                <w:noProof/>
                <w:webHidden/>
              </w:rPr>
              <w:fldChar w:fldCharType="separate"/>
            </w:r>
            <w:r>
              <w:rPr>
                <w:noProof/>
                <w:webHidden/>
              </w:rPr>
              <w:t>4</w:t>
            </w:r>
            <w:r>
              <w:rPr>
                <w:noProof/>
                <w:webHidden/>
              </w:rPr>
              <w:fldChar w:fldCharType="end"/>
            </w:r>
          </w:hyperlink>
        </w:p>
        <w:p w14:paraId="07883639" w14:textId="7B8D8427" w:rsidR="00BE7BC7" w:rsidRDefault="00BE7BC7">
          <w:pPr>
            <w:pStyle w:val="TOC3"/>
            <w:tabs>
              <w:tab w:val="right" w:leader="dot" w:pos="9016"/>
            </w:tabs>
            <w:rPr>
              <w:rFonts w:eastAsiaTheme="minorEastAsia"/>
              <w:noProof/>
              <w:lang w:eastAsia="en-GB"/>
            </w:rPr>
          </w:pPr>
          <w:hyperlink w:anchor="_Toc183895098" w:history="1">
            <w:r w:rsidRPr="00020865">
              <w:rPr>
                <w:rStyle w:val="Hyperlink"/>
                <w:rFonts w:ascii="Arial" w:hAnsi="Arial" w:cs="Arial"/>
                <w:noProof/>
              </w:rPr>
              <w:t>1.3.2 Relevance of SDG 4 to the United Kingdom</w:t>
            </w:r>
            <w:r>
              <w:rPr>
                <w:noProof/>
                <w:webHidden/>
              </w:rPr>
              <w:tab/>
            </w:r>
            <w:r>
              <w:rPr>
                <w:noProof/>
                <w:webHidden/>
              </w:rPr>
              <w:fldChar w:fldCharType="begin"/>
            </w:r>
            <w:r>
              <w:rPr>
                <w:noProof/>
                <w:webHidden/>
              </w:rPr>
              <w:instrText xml:space="preserve"> PAGEREF _Toc183895098 \h </w:instrText>
            </w:r>
            <w:r>
              <w:rPr>
                <w:noProof/>
                <w:webHidden/>
              </w:rPr>
            </w:r>
            <w:r>
              <w:rPr>
                <w:noProof/>
                <w:webHidden/>
              </w:rPr>
              <w:fldChar w:fldCharType="separate"/>
            </w:r>
            <w:r>
              <w:rPr>
                <w:noProof/>
                <w:webHidden/>
              </w:rPr>
              <w:t>4</w:t>
            </w:r>
            <w:r>
              <w:rPr>
                <w:noProof/>
                <w:webHidden/>
              </w:rPr>
              <w:fldChar w:fldCharType="end"/>
            </w:r>
          </w:hyperlink>
        </w:p>
        <w:p w14:paraId="0F94D54B" w14:textId="66E1F0C3" w:rsidR="00BE7BC7" w:rsidRDefault="00BE7BC7">
          <w:pPr>
            <w:pStyle w:val="TOC1"/>
            <w:tabs>
              <w:tab w:val="right" w:leader="dot" w:pos="9016"/>
            </w:tabs>
            <w:rPr>
              <w:rFonts w:eastAsiaTheme="minorEastAsia"/>
              <w:noProof/>
              <w:lang w:eastAsia="en-GB"/>
            </w:rPr>
          </w:pPr>
          <w:hyperlink w:anchor="_Toc183895099" w:history="1">
            <w:r w:rsidRPr="00020865">
              <w:rPr>
                <w:rStyle w:val="Hyperlink"/>
                <w:rFonts w:ascii="Arial" w:hAnsi="Arial" w:cs="Arial"/>
                <w:noProof/>
              </w:rPr>
              <w:t>2. Analysis of the SDG Objectives</w:t>
            </w:r>
            <w:r>
              <w:rPr>
                <w:noProof/>
                <w:webHidden/>
              </w:rPr>
              <w:tab/>
            </w:r>
            <w:r>
              <w:rPr>
                <w:noProof/>
                <w:webHidden/>
              </w:rPr>
              <w:fldChar w:fldCharType="begin"/>
            </w:r>
            <w:r>
              <w:rPr>
                <w:noProof/>
                <w:webHidden/>
              </w:rPr>
              <w:instrText xml:space="preserve"> PAGEREF _Toc183895099 \h </w:instrText>
            </w:r>
            <w:r>
              <w:rPr>
                <w:noProof/>
                <w:webHidden/>
              </w:rPr>
            </w:r>
            <w:r>
              <w:rPr>
                <w:noProof/>
                <w:webHidden/>
              </w:rPr>
              <w:fldChar w:fldCharType="separate"/>
            </w:r>
            <w:r>
              <w:rPr>
                <w:noProof/>
                <w:webHidden/>
              </w:rPr>
              <w:t>5</w:t>
            </w:r>
            <w:r>
              <w:rPr>
                <w:noProof/>
                <w:webHidden/>
              </w:rPr>
              <w:fldChar w:fldCharType="end"/>
            </w:r>
          </w:hyperlink>
        </w:p>
        <w:p w14:paraId="5BC754A5" w14:textId="0C8534BC" w:rsidR="00BE7BC7" w:rsidRDefault="00BE7BC7">
          <w:pPr>
            <w:pStyle w:val="TOC2"/>
            <w:tabs>
              <w:tab w:val="right" w:leader="dot" w:pos="9016"/>
            </w:tabs>
            <w:rPr>
              <w:rFonts w:eastAsiaTheme="minorEastAsia"/>
              <w:noProof/>
              <w:lang w:eastAsia="en-GB"/>
            </w:rPr>
          </w:pPr>
          <w:hyperlink w:anchor="_Toc183895100" w:history="1">
            <w:r w:rsidRPr="00020865">
              <w:rPr>
                <w:rStyle w:val="Hyperlink"/>
                <w:rFonts w:ascii="Arial" w:hAnsi="Arial" w:cs="Arial"/>
                <w:noProof/>
              </w:rPr>
              <w:t>2.1 The Sustainable Development Goal (No Poverty) is primarily focused on combating extreme poverty.</w:t>
            </w:r>
            <w:r>
              <w:rPr>
                <w:noProof/>
                <w:webHidden/>
              </w:rPr>
              <w:tab/>
            </w:r>
            <w:r>
              <w:rPr>
                <w:noProof/>
                <w:webHidden/>
              </w:rPr>
              <w:fldChar w:fldCharType="begin"/>
            </w:r>
            <w:r>
              <w:rPr>
                <w:noProof/>
                <w:webHidden/>
              </w:rPr>
              <w:instrText xml:space="preserve"> PAGEREF _Toc183895100 \h </w:instrText>
            </w:r>
            <w:r>
              <w:rPr>
                <w:noProof/>
                <w:webHidden/>
              </w:rPr>
            </w:r>
            <w:r>
              <w:rPr>
                <w:noProof/>
                <w:webHidden/>
              </w:rPr>
              <w:fldChar w:fldCharType="separate"/>
            </w:r>
            <w:r>
              <w:rPr>
                <w:noProof/>
                <w:webHidden/>
              </w:rPr>
              <w:t>5</w:t>
            </w:r>
            <w:r>
              <w:rPr>
                <w:noProof/>
                <w:webHidden/>
              </w:rPr>
              <w:fldChar w:fldCharType="end"/>
            </w:r>
          </w:hyperlink>
        </w:p>
        <w:p w14:paraId="090712D7" w14:textId="4648C09C" w:rsidR="00BE7BC7" w:rsidRDefault="00BE7BC7">
          <w:pPr>
            <w:pStyle w:val="TOC3"/>
            <w:tabs>
              <w:tab w:val="right" w:leader="dot" w:pos="9016"/>
            </w:tabs>
            <w:rPr>
              <w:rFonts w:eastAsiaTheme="minorEastAsia"/>
              <w:noProof/>
              <w:lang w:eastAsia="en-GB"/>
            </w:rPr>
          </w:pPr>
          <w:hyperlink w:anchor="_Toc183895101" w:history="1">
            <w:r w:rsidRPr="00020865">
              <w:rPr>
                <w:rStyle w:val="Hyperlink"/>
                <w:rFonts w:ascii="Arial" w:hAnsi="Arial" w:cs="Arial"/>
                <w:noProof/>
              </w:rPr>
              <w:t>2.1.1 Shame and Social Exclusion</w:t>
            </w:r>
            <w:r>
              <w:rPr>
                <w:noProof/>
                <w:webHidden/>
              </w:rPr>
              <w:tab/>
            </w:r>
            <w:r>
              <w:rPr>
                <w:noProof/>
                <w:webHidden/>
              </w:rPr>
              <w:fldChar w:fldCharType="begin"/>
            </w:r>
            <w:r>
              <w:rPr>
                <w:noProof/>
                <w:webHidden/>
              </w:rPr>
              <w:instrText xml:space="preserve"> PAGEREF _Toc183895101 \h </w:instrText>
            </w:r>
            <w:r>
              <w:rPr>
                <w:noProof/>
                <w:webHidden/>
              </w:rPr>
            </w:r>
            <w:r>
              <w:rPr>
                <w:noProof/>
                <w:webHidden/>
              </w:rPr>
              <w:fldChar w:fldCharType="separate"/>
            </w:r>
            <w:r>
              <w:rPr>
                <w:noProof/>
                <w:webHidden/>
              </w:rPr>
              <w:t>6</w:t>
            </w:r>
            <w:r>
              <w:rPr>
                <w:noProof/>
                <w:webHidden/>
              </w:rPr>
              <w:fldChar w:fldCharType="end"/>
            </w:r>
          </w:hyperlink>
        </w:p>
        <w:p w14:paraId="6F6A6DDC" w14:textId="299BCB44" w:rsidR="00BE7BC7" w:rsidRDefault="00BE7BC7">
          <w:pPr>
            <w:pStyle w:val="TOC3"/>
            <w:tabs>
              <w:tab w:val="right" w:leader="dot" w:pos="9016"/>
            </w:tabs>
            <w:rPr>
              <w:rFonts w:eastAsiaTheme="minorEastAsia"/>
              <w:noProof/>
              <w:lang w:eastAsia="en-GB"/>
            </w:rPr>
          </w:pPr>
          <w:hyperlink w:anchor="_Toc183895102" w:history="1">
            <w:r w:rsidRPr="00020865">
              <w:rPr>
                <w:rStyle w:val="Hyperlink"/>
                <w:rFonts w:ascii="Arial" w:hAnsi="Arial" w:cs="Arial"/>
                <w:noProof/>
              </w:rPr>
              <w:t>2.1.2 Impact on Mental Health</w:t>
            </w:r>
            <w:r>
              <w:rPr>
                <w:noProof/>
                <w:webHidden/>
              </w:rPr>
              <w:tab/>
            </w:r>
            <w:r>
              <w:rPr>
                <w:noProof/>
                <w:webHidden/>
              </w:rPr>
              <w:fldChar w:fldCharType="begin"/>
            </w:r>
            <w:r>
              <w:rPr>
                <w:noProof/>
                <w:webHidden/>
              </w:rPr>
              <w:instrText xml:space="preserve"> PAGEREF _Toc183895102 \h </w:instrText>
            </w:r>
            <w:r>
              <w:rPr>
                <w:noProof/>
                <w:webHidden/>
              </w:rPr>
            </w:r>
            <w:r>
              <w:rPr>
                <w:noProof/>
                <w:webHidden/>
              </w:rPr>
              <w:fldChar w:fldCharType="separate"/>
            </w:r>
            <w:r>
              <w:rPr>
                <w:noProof/>
                <w:webHidden/>
              </w:rPr>
              <w:t>6</w:t>
            </w:r>
            <w:r>
              <w:rPr>
                <w:noProof/>
                <w:webHidden/>
              </w:rPr>
              <w:fldChar w:fldCharType="end"/>
            </w:r>
          </w:hyperlink>
        </w:p>
        <w:p w14:paraId="6105941F" w14:textId="4F8852D0" w:rsidR="00BE7BC7" w:rsidRDefault="00BE7BC7">
          <w:pPr>
            <w:pStyle w:val="TOC3"/>
            <w:tabs>
              <w:tab w:val="right" w:leader="dot" w:pos="9016"/>
            </w:tabs>
            <w:rPr>
              <w:rFonts w:eastAsiaTheme="minorEastAsia"/>
              <w:noProof/>
              <w:lang w:eastAsia="en-GB"/>
            </w:rPr>
          </w:pPr>
          <w:hyperlink w:anchor="_Toc183895103" w:history="1">
            <w:r w:rsidRPr="00020865">
              <w:rPr>
                <w:rStyle w:val="Hyperlink"/>
                <w:rFonts w:ascii="Arial" w:hAnsi="Arial" w:cs="Arial"/>
                <w:noProof/>
              </w:rPr>
              <w:t>2.1.3 Housing Benefit</w:t>
            </w:r>
            <w:r>
              <w:rPr>
                <w:noProof/>
                <w:webHidden/>
              </w:rPr>
              <w:tab/>
            </w:r>
            <w:r>
              <w:rPr>
                <w:noProof/>
                <w:webHidden/>
              </w:rPr>
              <w:fldChar w:fldCharType="begin"/>
            </w:r>
            <w:r>
              <w:rPr>
                <w:noProof/>
                <w:webHidden/>
              </w:rPr>
              <w:instrText xml:space="preserve"> PAGEREF _Toc183895103 \h </w:instrText>
            </w:r>
            <w:r>
              <w:rPr>
                <w:noProof/>
                <w:webHidden/>
              </w:rPr>
            </w:r>
            <w:r>
              <w:rPr>
                <w:noProof/>
                <w:webHidden/>
              </w:rPr>
              <w:fldChar w:fldCharType="separate"/>
            </w:r>
            <w:r>
              <w:rPr>
                <w:noProof/>
                <w:webHidden/>
              </w:rPr>
              <w:t>7</w:t>
            </w:r>
            <w:r>
              <w:rPr>
                <w:noProof/>
                <w:webHidden/>
              </w:rPr>
              <w:fldChar w:fldCharType="end"/>
            </w:r>
          </w:hyperlink>
        </w:p>
        <w:p w14:paraId="2E104533" w14:textId="057FA0A7" w:rsidR="00BE7BC7" w:rsidRDefault="00BE7BC7">
          <w:pPr>
            <w:pStyle w:val="TOC3"/>
            <w:tabs>
              <w:tab w:val="right" w:leader="dot" w:pos="9016"/>
            </w:tabs>
            <w:rPr>
              <w:rFonts w:eastAsiaTheme="minorEastAsia"/>
              <w:noProof/>
              <w:lang w:eastAsia="en-GB"/>
            </w:rPr>
          </w:pPr>
          <w:hyperlink w:anchor="_Toc183895104" w:history="1">
            <w:r w:rsidRPr="00020865">
              <w:rPr>
                <w:rStyle w:val="Hyperlink"/>
                <w:rFonts w:ascii="Arial" w:hAnsi="Arial" w:cs="Arial"/>
                <w:noProof/>
              </w:rPr>
              <w:t>2.1.4 Evaluating Progress</w:t>
            </w:r>
            <w:r>
              <w:rPr>
                <w:noProof/>
                <w:webHidden/>
              </w:rPr>
              <w:tab/>
            </w:r>
            <w:r>
              <w:rPr>
                <w:noProof/>
                <w:webHidden/>
              </w:rPr>
              <w:fldChar w:fldCharType="begin"/>
            </w:r>
            <w:r>
              <w:rPr>
                <w:noProof/>
                <w:webHidden/>
              </w:rPr>
              <w:instrText xml:space="preserve"> PAGEREF _Toc183895104 \h </w:instrText>
            </w:r>
            <w:r>
              <w:rPr>
                <w:noProof/>
                <w:webHidden/>
              </w:rPr>
            </w:r>
            <w:r>
              <w:rPr>
                <w:noProof/>
                <w:webHidden/>
              </w:rPr>
              <w:fldChar w:fldCharType="separate"/>
            </w:r>
            <w:r>
              <w:rPr>
                <w:noProof/>
                <w:webHidden/>
              </w:rPr>
              <w:t>8</w:t>
            </w:r>
            <w:r>
              <w:rPr>
                <w:noProof/>
                <w:webHidden/>
              </w:rPr>
              <w:fldChar w:fldCharType="end"/>
            </w:r>
          </w:hyperlink>
        </w:p>
        <w:p w14:paraId="413B8A7F" w14:textId="6DE3C466" w:rsidR="00BE7BC7" w:rsidRDefault="00BE7BC7">
          <w:pPr>
            <w:pStyle w:val="TOC3"/>
            <w:tabs>
              <w:tab w:val="right" w:leader="dot" w:pos="9016"/>
            </w:tabs>
            <w:rPr>
              <w:rFonts w:eastAsiaTheme="minorEastAsia"/>
              <w:noProof/>
              <w:lang w:eastAsia="en-GB"/>
            </w:rPr>
          </w:pPr>
          <w:hyperlink w:anchor="_Toc183895105" w:history="1">
            <w:r w:rsidRPr="00020865">
              <w:rPr>
                <w:rStyle w:val="Hyperlink"/>
                <w:rFonts w:ascii="Arial" w:hAnsi="Arial" w:cs="Arial"/>
                <w:noProof/>
              </w:rPr>
              <w:t>2.1.5 Challenges</w:t>
            </w:r>
            <w:r>
              <w:rPr>
                <w:noProof/>
                <w:webHidden/>
              </w:rPr>
              <w:tab/>
            </w:r>
            <w:r>
              <w:rPr>
                <w:noProof/>
                <w:webHidden/>
              </w:rPr>
              <w:fldChar w:fldCharType="begin"/>
            </w:r>
            <w:r>
              <w:rPr>
                <w:noProof/>
                <w:webHidden/>
              </w:rPr>
              <w:instrText xml:space="preserve"> PAGEREF _Toc183895105 \h </w:instrText>
            </w:r>
            <w:r>
              <w:rPr>
                <w:noProof/>
                <w:webHidden/>
              </w:rPr>
            </w:r>
            <w:r>
              <w:rPr>
                <w:noProof/>
                <w:webHidden/>
              </w:rPr>
              <w:fldChar w:fldCharType="separate"/>
            </w:r>
            <w:r>
              <w:rPr>
                <w:noProof/>
                <w:webHidden/>
              </w:rPr>
              <w:t>8</w:t>
            </w:r>
            <w:r>
              <w:rPr>
                <w:noProof/>
                <w:webHidden/>
              </w:rPr>
              <w:fldChar w:fldCharType="end"/>
            </w:r>
          </w:hyperlink>
        </w:p>
        <w:p w14:paraId="243D033A" w14:textId="14890FEE" w:rsidR="00BE7BC7" w:rsidRDefault="00BE7BC7">
          <w:pPr>
            <w:pStyle w:val="TOC2"/>
            <w:tabs>
              <w:tab w:val="right" w:leader="dot" w:pos="9016"/>
            </w:tabs>
            <w:rPr>
              <w:rFonts w:eastAsiaTheme="minorEastAsia"/>
              <w:noProof/>
              <w:lang w:eastAsia="en-GB"/>
            </w:rPr>
          </w:pPr>
          <w:hyperlink w:anchor="_Toc183895106" w:history="1">
            <w:r w:rsidRPr="00020865">
              <w:rPr>
                <w:rStyle w:val="Hyperlink"/>
                <w:rFonts w:ascii="Arial" w:hAnsi="Arial" w:cs="Arial"/>
                <w:noProof/>
              </w:rPr>
              <w:t>2.2 Quality Education (SDG 4)</w:t>
            </w:r>
            <w:r>
              <w:rPr>
                <w:noProof/>
                <w:webHidden/>
              </w:rPr>
              <w:tab/>
            </w:r>
            <w:r>
              <w:rPr>
                <w:noProof/>
                <w:webHidden/>
              </w:rPr>
              <w:fldChar w:fldCharType="begin"/>
            </w:r>
            <w:r>
              <w:rPr>
                <w:noProof/>
                <w:webHidden/>
              </w:rPr>
              <w:instrText xml:space="preserve"> PAGEREF _Toc183895106 \h </w:instrText>
            </w:r>
            <w:r>
              <w:rPr>
                <w:noProof/>
                <w:webHidden/>
              </w:rPr>
            </w:r>
            <w:r>
              <w:rPr>
                <w:noProof/>
                <w:webHidden/>
              </w:rPr>
              <w:fldChar w:fldCharType="separate"/>
            </w:r>
            <w:r>
              <w:rPr>
                <w:noProof/>
                <w:webHidden/>
              </w:rPr>
              <w:t>9</w:t>
            </w:r>
            <w:r>
              <w:rPr>
                <w:noProof/>
                <w:webHidden/>
              </w:rPr>
              <w:fldChar w:fldCharType="end"/>
            </w:r>
          </w:hyperlink>
        </w:p>
        <w:p w14:paraId="53B1A0C9" w14:textId="3815DE2B" w:rsidR="00BE7BC7" w:rsidRDefault="00BE7BC7">
          <w:pPr>
            <w:pStyle w:val="TOC3"/>
            <w:tabs>
              <w:tab w:val="right" w:leader="dot" w:pos="9016"/>
            </w:tabs>
            <w:rPr>
              <w:rFonts w:eastAsiaTheme="minorEastAsia"/>
              <w:noProof/>
              <w:lang w:eastAsia="en-GB"/>
            </w:rPr>
          </w:pPr>
          <w:hyperlink w:anchor="_Toc183895107" w:history="1">
            <w:r w:rsidRPr="00020865">
              <w:rPr>
                <w:rStyle w:val="Hyperlink"/>
                <w:rFonts w:ascii="Arial" w:hAnsi="Arial" w:cs="Arial"/>
                <w:noProof/>
              </w:rPr>
              <w:t>2.2.1 Explanation and Significance</w:t>
            </w:r>
            <w:r>
              <w:rPr>
                <w:noProof/>
                <w:webHidden/>
              </w:rPr>
              <w:tab/>
            </w:r>
            <w:r>
              <w:rPr>
                <w:noProof/>
                <w:webHidden/>
              </w:rPr>
              <w:fldChar w:fldCharType="begin"/>
            </w:r>
            <w:r>
              <w:rPr>
                <w:noProof/>
                <w:webHidden/>
              </w:rPr>
              <w:instrText xml:space="preserve"> PAGEREF _Toc183895107 \h </w:instrText>
            </w:r>
            <w:r>
              <w:rPr>
                <w:noProof/>
                <w:webHidden/>
              </w:rPr>
            </w:r>
            <w:r>
              <w:rPr>
                <w:noProof/>
                <w:webHidden/>
              </w:rPr>
              <w:fldChar w:fldCharType="separate"/>
            </w:r>
            <w:r>
              <w:rPr>
                <w:noProof/>
                <w:webHidden/>
              </w:rPr>
              <w:t>9</w:t>
            </w:r>
            <w:r>
              <w:rPr>
                <w:noProof/>
                <w:webHidden/>
              </w:rPr>
              <w:fldChar w:fldCharType="end"/>
            </w:r>
          </w:hyperlink>
        </w:p>
        <w:p w14:paraId="60721B41" w14:textId="3ED333B3" w:rsidR="00BE7BC7" w:rsidRDefault="00BE7BC7">
          <w:pPr>
            <w:pStyle w:val="TOC3"/>
            <w:tabs>
              <w:tab w:val="right" w:leader="dot" w:pos="9016"/>
            </w:tabs>
            <w:rPr>
              <w:rFonts w:eastAsiaTheme="minorEastAsia"/>
              <w:noProof/>
              <w:lang w:eastAsia="en-GB"/>
            </w:rPr>
          </w:pPr>
          <w:hyperlink w:anchor="_Toc183895108" w:history="1">
            <w:r w:rsidRPr="00020865">
              <w:rPr>
                <w:rStyle w:val="Hyperlink"/>
                <w:rFonts w:ascii="Arial" w:hAnsi="Arial" w:cs="Arial"/>
                <w:noProof/>
              </w:rPr>
              <w:t>2.2.2 Evaluating Progress</w:t>
            </w:r>
            <w:r>
              <w:rPr>
                <w:noProof/>
                <w:webHidden/>
              </w:rPr>
              <w:tab/>
            </w:r>
            <w:r>
              <w:rPr>
                <w:noProof/>
                <w:webHidden/>
              </w:rPr>
              <w:fldChar w:fldCharType="begin"/>
            </w:r>
            <w:r>
              <w:rPr>
                <w:noProof/>
                <w:webHidden/>
              </w:rPr>
              <w:instrText xml:space="preserve"> PAGEREF _Toc183895108 \h </w:instrText>
            </w:r>
            <w:r>
              <w:rPr>
                <w:noProof/>
                <w:webHidden/>
              </w:rPr>
            </w:r>
            <w:r>
              <w:rPr>
                <w:noProof/>
                <w:webHidden/>
              </w:rPr>
              <w:fldChar w:fldCharType="separate"/>
            </w:r>
            <w:r>
              <w:rPr>
                <w:noProof/>
                <w:webHidden/>
              </w:rPr>
              <w:t>10</w:t>
            </w:r>
            <w:r>
              <w:rPr>
                <w:noProof/>
                <w:webHidden/>
              </w:rPr>
              <w:fldChar w:fldCharType="end"/>
            </w:r>
          </w:hyperlink>
        </w:p>
        <w:p w14:paraId="148C7D75" w14:textId="6DE606FB" w:rsidR="00BE7BC7" w:rsidRDefault="00BE7BC7">
          <w:pPr>
            <w:pStyle w:val="TOC1"/>
            <w:tabs>
              <w:tab w:val="right" w:leader="dot" w:pos="9016"/>
            </w:tabs>
            <w:rPr>
              <w:rFonts w:eastAsiaTheme="minorEastAsia"/>
              <w:noProof/>
              <w:lang w:eastAsia="en-GB"/>
            </w:rPr>
          </w:pPr>
          <w:hyperlink w:anchor="_Toc183895109" w:history="1">
            <w:r w:rsidRPr="00020865">
              <w:rPr>
                <w:rStyle w:val="Hyperlink"/>
                <w:rFonts w:ascii="Arial" w:hAnsi="Arial" w:cs="Arial"/>
                <w:noProof/>
              </w:rPr>
              <w:t>3. Impact of the Objectives on Health and Sustainable Development</w:t>
            </w:r>
            <w:r>
              <w:rPr>
                <w:noProof/>
                <w:webHidden/>
              </w:rPr>
              <w:tab/>
            </w:r>
            <w:r>
              <w:rPr>
                <w:noProof/>
                <w:webHidden/>
              </w:rPr>
              <w:fldChar w:fldCharType="begin"/>
            </w:r>
            <w:r>
              <w:rPr>
                <w:noProof/>
                <w:webHidden/>
              </w:rPr>
              <w:instrText xml:space="preserve"> PAGEREF _Toc183895109 \h </w:instrText>
            </w:r>
            <w:r>
              <w:rPr>
                <w:noProof/>
                <w:webHidden/>
              </w:rPr>
            </w:r>
            <w:r>
              <w:rPr>
                <w:noProof/>
                <w:webHidden/>
              </w:rPr>
              <w:fldChar w:fldCharType="separate"/>
            </w:r>
            <w:r>
              <w:rPr>
                <w:noProof/>
                <w:webHidden/>
              </w:rPr>
              <w:t>11</w:t>
            </w:r>
            <w:r>
              <w:rPr>
                <w:noProof/>
                <w:webHidden/>
              </w:rPr>
              <w:fldChar w:fldCharType="end"/>
            </w:r>
          </w:hyperlink>
        </w:p>
        <w:p w14:paraId="6CB5BA1B" w14:textId="17490DA0" w:rsidR="00BE7BC7" w:rsidRDefault="00BE7BC7">
          <w:pPr>
            <w:pStyle w:val="TOC2"/>
            <w:tabs>
              <w:tab w:val="right" w:leader="dot" w:pos="9016"/>
            </w:tabs>
            <w:rPr>
              <w:rFonts w:eastAsiaTheme="minorEastAsia"/>
              <w:noProof/>
              <w:lang w:eastAsia="en-GB"/>
            </w:rPr>
          </w:pPr>
          <w:hyperlink w:anchor="_Toc183895110" w:history="1">
            <w:r w:rsidRPr="00020865">
              <w:rPr>
                <w:rStyle w:val="Hyperlink"/>
                <w:rFonts w:ascii="Arial" w:hAnsi="Arial" w:cs="Arial"/>
                <w:noProof/>
              </w:rPr>
              <w:t>3.1 SDG 1: Impact on Health and Sustainable Development</w:t>
            </w:r>
            <w:r>
              <w:rPr>
                <w:noProof/>
                <w:webHidden/>
              </w:rPr>
              <w:tab/>
            </w:r>
            <w:r>
              <w:rPr>
                <w:noProof/>
                <w:webHidden/>
              </w:rPr>
              <w:fldChar w:fldCharType="begin"/>
            </w:r>
            <w:r>
              <w:rPr>
                <w:noProof/>
                <w:webHidden/>
              </w:rPr>
              <w:instrText xml:space="preserve"> PAGEREF _Toc183895110 \h </w:instrText>
            </w:r>
            <w:r>
              <w:rPr>
                <w:noProof/>
                <w:webHidden/>
              </w:rPr>
            </w:r>
            <w:r>
              <w:rPr>
                <w:noProof/>
                <w:webHidden/>
              </w:rPr>
              <w:fldChar w:fldCharType="separate"/>
            </w:r>
            <w:r>
              <w:rPr>
                <w:noProof/>
                <w:webHidden/>
              </w:rPr>
              <w:t>11</w:t>
            </w:r>
            <w:r>
              <w:rPr>
                <w:noProof/>
                <w:webHidden/>
              </w:rPr>
              <w:fldChar w:fldCharType="end"/>
            </w:r>
          </w:hyperlink>
        </w:p>
        <w:p w14:paraId="12B19E63" w14:textId="1D054DD1" w:rsidR="00BE7BC7" w:rsidRDefault="00BE7BC7">
          <w:pPr>
            <w:pStyle w:val="TOC2"/>
            <w:tabs>
              <w:tab w:val="right" w:leader="dot" w:pos="9016"/>
            </w:tabs>
            <w:rPr>
              <w:rFonts w:eastAsiaTheme="minorEastAsia"/>
              <w:noProof/>
              <w:lang w:eastAsia="en-GB"/>
            </w:rPr>
          </w:pPr>
          <w:hyperlink w:anchor="_Toc183895111" w:history="1">
            <w:r w:rsidRPr="00020865">
              <w:rPr>
                <w:rStyle w:val="Hyperlink"/>
                <w:rFonts w:ascii="Arial" w:hAnsi="Arial" w:cs="Arial"/>
                <w:noProof/>
              </w:rPr>
              <w:t>3.2 SDG 4: Impact on Health</w:t>
            </w:r>
            <w:r>
              <w:rPr>
                <w:noProof/>
                <w:webHidden/>
              </w:rPr>
              <w:tab/>
            </w:r>
            <w:r>
              <w:rPr>
                <w:noProof/>
                <w:webHidden/>
              </w:rPr>
              <w:fldChar w:fldCharType="begin"/>
            </w:r>
            <w:r>
              <w:rPr>
                <w:noProof/>
                <w:webHidden/>
              </w:rPr>
              <w:instrText xml:space="preserve"> PAGEREF _Toc183895111 \h </w:instrText>
            </w:r>
            <w:r>
              <w:rPr>
                <w:noProof/>
                <w:webHidden/>
              </w:rPr>
            </w:r>
            <w:r>
              <w:rPr>
                <w:noProof/>
                <w:webHidden/>
              </w:rPr>
              <w:fldChar w:fldCharType="separate"/>
            </w:r>
            <w:r>
              <w:rPr>
                <w:noProof/>
                <w:webHidden/>
              </w:rPr>
              <w:t>12</w:t>
            </w:r>
            <w:r>
              <w:rPr>
                <w:noProof/>
                <w:webHidden/>
              </w:rPr>
              <w:fldChar w:fldCharType="end"/>
            </w:r>
          </w:hyperlink>
        </w:p>
        <w:p w14:paraId="43160A1D" w14:textId="4C3B49F1" w:rsidR="00BE7BC7" w:rsidRDefault="00BE7BC7">
          <w:pPr>
            <w:pStyle w:val="TOC1"/>
            <w:tabs>
              <w:tab w:val="right" w:leader="dot" w:pos="9016"/>
            </w:tabs>
            <w:rPr>
              <w:rFonts w:eastAsiaTheme="minorEastAsia"/>
              <w:noProof/>
              <w:lang w:eastAsia="en-GB"/>
            </w:rPr>
          </w:pPr>
          <w:hyperlink w:anchor="_Toc183895112" w:history="1">
            <w:r w:rsidRPr="00020865">
              <w:rPr>
                <w:rStyle w:val="Hyperlink"/>
                <w:rFonts w:ascii="Arial" w:hAnsi="Arial" w:cs="Arial"/>
                <w:noProof/>
              </w:rPr>
              <w:t>4. Conclusion</w:t>
            </w:r>
            <w:r>
              <w:rPr>
                <w:noProof/>
                <w:webHidden/>
              </w:rPr>
              <w:tab/>
            </w:r>
            <w:r>
              <w:rPr>
                <w:noProof/>
                <w:webHidden/>
              </w:rPr>
              <w:fldChar w:fldCharType="begin"/>
            </w:r>
            <w:r>
              <w:rPr>
                <w:noProof/>
                <w:webHidden/>
              </w:rPr>
              <w:instrText xml:space="preserve"> PAGEREF _Toc183895112 \h </w:instrText>
            </w:r>
            <w:r>
              <w:rPr>
                <w:noProof/>
                <w:webHidden/>
              </w:rPr>
            </w:r>
            <w:r>
              <w:rPr>
                <w:noProof/>
                <w:webHidden/>
              </w:rPr>
              <w:fldChar w:fldCharType="separate"/>
            </w:r>
            <w:r>
              <w:rPr>
                <w:noProof/>
                <w:webHidden/>
              </w:rPr>
              <w:t>13</w:t>
            </w:r>
            <w:r>
              <w:rPr>
                <w:noProof/>
                <w:webHidden/>
              </w:rPr>
              <w:fldChar w:fldCharType="end"/>
            </w:r>
          </w:hyperlink>
        </w:p>
        <w:p w14:paraId="3F8EE5AF" w14:textId="0BE4CDB9" w:rsidR="00BE7BC7" w:rsidRDefault="00BE7BC7">
          <w:pPr>
            <w:pStyle w:val="TOC1"/>
            <w:tabs>
              <w:tab w:val="right" w:leader="dot" w:pos="9016"/>
            </w:tabs>
            <w:rPr>
              <w:rFonts w:eastAsiaTheme="minorEastAsia"/>
              <w:noProof/>
              <w:lang w:eastAsia="en-GB"/>
            </w:rPr>
          </w:pPr>
          <w:hyperlink w:anchor="_Toc183895113" w:history="1">
            <w:r w:rsidRPr="00020865">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_Toc183895113 \h </w:instrText>
            </w:r>
            <w:r>
              <w:rPr>
                <w:noProof/>
                <w:webHidden/>
              </w:rPr>
            </w:r>
            <w:r>
              <w:rPr>
                <w:noProof/>
                <w:webHidden/>
              </w:rPr>
              <w:fldChar w:fldCharType="separate"/>
            </w:r>
            <w:r>
              <w:rPr>
                <w:noProof/>
                <w:webHidden/>
              </w:rPr>
              <w:t>15</w:t>
            </w:r>
            <w:r>
              <w:rPr>
                <w:noProof/>
                <w:webHidden/>
              </w:rPr>
              <w:fldChar w:fldCharType="end"/>
            </w:r>
          </w:hyperlink>
        </w:p>
        <w:p w14:paraId="65B8C482" w14:textId="680E3AAC" w:rsidR="006363A0" w:rsidRPr="00A62F86" w:rsidRDefault="006363A0" w:rsidP="00A62F86">
          <w:pPr>
            <w:spacing w:line="360" w:lineRule="auto"/>
            <w:rPr>
              <w:rFonts w:ascii="Arial" w:hAnsi="Arial" w:cs="Arial"/>
            </w:rPr>
          </w:pPr>
          <w:r w:rsidRPr="00A62F86">
            <w:rPr>
              <w:rFonts w:ascii="Arial" w:hAnsi="Arial" w:cs="Arial"/>
              <w:b/>
              <w:bCs/>
              <w:noProof/>
            </w:rPr>
            <w:fldChar w:fldCharType="end"/>
          </w:r>
        </w:p>
      </w:sdtContent>
    </w:sdt>
    <w:p w14:paraId="20B7C5FD" w14:textId="77777777" w:rsidR="006363A0" w:rsidRPr="00A62F86" w:rsidRDefault="006363A0" w:rsidP="00A62F86">
      <w:pPr>
        <w:pStyle w:val="Heading1"/>
        <w:spacing w:line="360" w:lineRule="auto"/>
        <w:rPr>
          <w:rFonts w:ascii="Arial" w:hAnsi="Arial" w:cs="Arial"/>
        </w:rPr>
      </w:pPr>
    </w:p>
    <w:p w14:paraId="0AF92093" w14:textId="61CC54A2" w:rsidR="008520EF" w:rsidRPr="00A62F86" w:rsidRDefault="006363A0" w:rsidP="005B318A">
      <w:pPr>
        <w:pStyle w:val="Heading1"/>
      </w:pPr>
      <w:r w:rsidRPr="00A62F86">
        <w:br w:type="page"/>
      </w:r>
      <w:bookmarkStart w:id="0" w:name="_Toc183895093"/>
      <w:r w:rsidR="00195AB5" w:rsidRPr="00A62F86">
        <w:lastRenderedPageBreak/>
        <w:t xml:space="preserve">1. </w:t>
      </w:r>
      <w:r w:rsidR="008520EF" w:rsidRPr="00A62F86">
        <w:t>Introduction</w:t>
      </w:r>
      <w:bookmarkEnd w:id="0"/>
    </w:p>
    <w:p w14:paraId="12636FA3" w14:textId="77777777" w:rsidR="008520EF" w:rsidRPr="00A62F86" w:rsidRDefault="008520EF" w:rsidP="00A62F86">
      <w:pPr>
        <w:pStyle w:val="Heading2"/>
        <w:spacing w:line="360" w:lineRule="auto"/>
        <w:rPr>
          <w:rFonts w:ascii="Arial" w:hAnsi="Arial" w:cs="Arial"/>
        </w:rPr>
      </w:pPr>
      <w:bookmarkStart w:id="1" w:name="_Toc183895094"/>
      <w:r w:rsidRPr="00A62F86">
        <w:rPr>
          <w:rFonts w:ascii="Arial" w:hAnsi="Arial" w:cs="Arial"/>
        </w:rPr>
        <w:t>1.1 Context</w:t>
      </w:r>
      <w:bookmarkEnd w:id="1"/>
    </w:p>
    <w:p w14:paraId="0BBE7797" w14:textId="3E881B39" w:rsidR="008520EF" w:rsidRPr="00A62F86" w:rsidRDefault="008520EF" w:rsidP="00A62F86">
      <w:pPr>
        <w:spacing w:line="360" w:lineRule="auto"/>
        <w:jc w:val="both"/>
        <w:rPr>
          <w:rFonts w:ascii="Arial" w:hAnsi="Arial" w:cs="Arial"/>
        </w:rPr>
      </w:pPr>
      <w:r w:rsidRPr="00A62F86">
        <w:rPr>
          <w:rFonts w:ascii="Arial" w:hAnsi="Arial" w:cs="Arial"/>
        </w:rPr>
        <w:t xml:space="preserve">The SDGs represent a global response to existing social, economic, and environmental issues that challenge and influence the quality of life on the planet. </w:t>
      </w:r>
      <w:r w:rsidR="007C2A73" w:rsidRPr="007C2A73">
        <w:rPr>
          <w:rFonts w:ascii="Arial" w:hAnsi="Arial" w:cs="Arial"/>
        </w:rPr>
        <w:t>According to UNDP (2022), these objectives are essential for establishing global measures to address social, economic, and climate-related uncertainties and challenges</w:t>
      </w:r>
      <w:r w:rsidR="007C2A73">
        <w:rPr>
          <w:rFonts w:ascii="Arial" w:hAnsi="Arial" w:cs="Arial"/>
        </w:rPr>
        <w:t xml:space="preserve">. </w:t>
      </w:r>
      <w:r w:rsidRPr="00A62F86">
        <w:rPr>
          <w:rFonts w:ascii="Arial" w:hAnsi="Arial" w:cs="Arial"/>
        </w:rPr>
        <w:t>In 2015, the United Nations established a set of 17 SDGs, representing a universal framework aimed at eradicating poverty. This approach seeks to resolve the global problem of inequities. The emphasis is placed on the development and respect of equity for all states.</w:t>
      </w:r>
    </w:p>
    <w:p w14:paraId="24FE9840" w14:textId="77777777" w:rsidR="008520EF" w:rsidRPr="00A62F86" w:rsidRDefault="008520EF" w:rsidP="00A62F86">
      <w:pPr>
        <w:spacing w:line="360" w:lineRule="auto"/>
        <w:jc w:val="both"/>
        <w:rPr>
          <w:rFonts w:ascii="Arial" w:hAnsi="Arial" w:cs="Arial"/>
        </w:rPr>
      </w:pPr>
      <w:r w:rsidRPr="00A62F86">
        <w:rPr>
          <w:rFonts w:ascii="Arial" w:hAnsi="Arial" w:cs="Arial"/>
        </w:rPr>
        <w:t>According to Amartya Sen (1999), sustainable development does not merely signify development for economic benefits but also necessitates the expansion of fundamental freedoms for individuals. This would allow the population to lead more dignified and fulfilled lives. Thus, poverty reduction and easy access to education are pivotal, and many strive to stabilize these critical aspects. Extreme poverty has direct implications for the health of affected populations, their education, and the respect for their fundamental rights.</w:t>
      </w:r>
    </w:p>
    <w:p w14:paraId="56239229" w14:textId="58CE6CF6" w:rsidR="008520EF" w:rsidRPr="00A62F86" w:rsidRDefault="008520EF" w:rsidP="00A62F86">
      <w:pPr>
        <w:spacing w:line="360" w:lineRule="auto"/>
        <w:jc w:val="both"/>
        <w:rPr>
          <w:rFonts w:ascii="Arial" w:hAnsi="Arial" w:cs="Arial"/>
        </w:rPr>
      </w:pPr>
      <w:r w:rsidRPr="00A62F86">
        <w:rPr>
          <w:rFonts w:ascii="Arial" w:hAnsi="Arial" w:cs="Arial"/>
        </w:rPr>
        <w:t xml:space="preserve">SDG 4, “Quality Education,” highlights the value of education in its role as the primary tool for social and economic emancipation. At the same time, quality education will create very </w:t>
      </w:r>
      <w:r w:rsidR="00FA6205" w:rsidRPr="00A62F86">
        <w:rPr>
          <w:rFonts w:ascii="Arial" w:hAnsi="Arial" w:cs="Arial"/>
        </w:rPr>
        <w:t>favourable</w:t>
      </w:r>
      <w:r w:rsidRPr="00A62F86">
        <w:rPr>
          <w:rFonts w:ascii="Arial" w:hAnsi="Arial" w:cs="Arial"/>
        </w:rPr>
        <w:t xml:space="preserve"> conditions for sustainable economic growth.</w:t>
      </w:r>
    </w:p>
    <w:p w14:paraId="2DAB109A" w14:textId="77777777" w:rsidR="008520EF" w:rsidRPr="00A62F86" w:rsidRDefault="008520EF" w:rsidP="00A62F86">
      <w:pPr>
        <w:spacing w:line="360" w:lineRule="auto"/>
        <w:jc w:val="both"/>
        <w:rPr>
          <w:rFonts w:ascii="Arial" w:hAnsi="Arial" w:cs="Arial"/>
        </w:rPr>
      </w:pPr>
      <w:r w:rsidRPr="00A62F86">
        <w:rPr>
          <w:rFonts w:ascii="Arial" w:hAnsi="Arial" w:cs="Arial"/>
        </w:rPr>
        <w:t>The United Kingdom is a leader in many fields; however, it also faces challenges such as poverty and educational inequalities. High housing costs and limited access to educational resources significantly undermine efforts to implement SDG 1 and SDG 4.</w:t>
      </w:r>
    </w:p>
    <w:p w14:paraId="16A8B864" w14:textId="77777777" w:rsidR="008520EF" w:rsidRPr="00A62F86" w:rsidRDefault="008520EF" w:rsidP="00A62F86">
      <w:pPr>
        <w:pStyle w:val="Heading2"/>
        <w:spacing w:line="360" w:lineRule="auto"/>
        <w:rPr>
          <w:rFonts w:ascii="Arial" w:hAnsi="Arial" w:cs="Arial"/>
        </w:rPr>
      </w:pPr>
      <w:bookmarkStart w:id="2" w:name="_Toc183895095"/>
      <w:r w:rsidRPr="00A62F86">
        <w:rPr>
          <w:rFonts w:ascii="Arial" w:hAnsi="Arial" w:cs="Arial"/>
        </w:rPr>
        <w:t>1.2 The Importance of Health, Wellbeing, and Education</w:t>
      </w:r>
      <w:bookmarkEnd w:id="2"/>
    </w:p>
    <w:p w14:paraId="61B6A300" w14:textId="77777777" w:rsidR="008520EF" w:rsidRPr="00A62F86" w:rsidRDefault="008520EF" w:rsidP="00A62F86">
      <w:pPr>
        <w:spacing w:line="360" w:lineRule="auto"/>
        <w:jc w:val="both"/>
        <w:rPr>
          <w:rFonts w:ascii="Arial" w:hAnsi="Arial" w:cs="Arial"/>
        </w:rPr>
      </w:pPr>
      <w:r w:rsidRPr="00A62F86">
        <w:rPr>
          <w:rFonts w:ascii="Arial" w:hAnsi="Arial" w:cs="Arial"/>
        </w:rPr>
        <w:t>The foundation of economic, social, and environmental progress is based on the three-dimensional interconnectedness of these elements. They not only support individuals in reaching their maximum potential but also serve as the engine of stability for communities and nations on this planet.</w:t>
      </w:r>
    </w:p>
    <w:p w14:paraId="36982C90" w14:textId="148CA25B" w:rsidR="008520EF" w:rsidRPr="00A62F86" w:rsidRDefault="008520EF" w:rsidP="00A62F86">
      <w:pPr>
        <w:spacing w:line="360" w:lineRule="auto"/>
        <w:jc w:val="both"/>
        <w:rPr>
          <w:rFonts w:ascii="Arial" w:hAnsi="Arial" w:cs="Arial"/>
        </w:rPr>
      </w:pPr>
      <w:r w:rsidRPr="00A62F86">
        <w:rPr>
          <w:rFonts w:ascii="Arial" w:hAnsi="Arial" w:cs="Arial"/>
        </w:rPr>
        <w:lastRenderedPageBreak/>
        <w:t xml:space="preserve">Wilkinson and Pickett (2010) demonstrate how social inequalities and inequities directly negatively impact individuals’ physical and mental health, as well as their access to educational opportunities. Data from over 20 developed countries were </w:t>
      </w:r>
      <w:r w:rsidR="00FA6205" w:rsidRPr="00A62F86">
        <w:rPr>
          <w:rFonts w:ascii="Arial" w:hAnsi="Arial" w:cs="Arial"/>
        </w:rPr>
        <w:t>analysed</w:t>
      </w:r>
      <w:r w:rsidRPr="00A62F86">
        <w:rPr>
          <w:rFonts w:ascii="Arial" w:hAnsi="Arial" w:cs="Arial"/>
        </w:rPr>
        <w:t xml:space="preserve"> to identify the relationship between levels of economic inequality. The analysis used the Gini coefficient and a wide range of social indicators. The Gini coefficient is a statistical measure used to determine and identify the degree of inequality and how incomes and wealth are distributed within a population. A value of 0 represents perfect equality, with all individuals being financially equal, while 1 signifies total inequality in wealth distribution among people. This indicator is frequently used to calculate inequality levels between countries or regions.</w:t>
      </w:r>
    </w:p>
    <w:p w14:paraId="06F269EE" w14:textId="77777777" w:rsidR="008520EF" w:rsidRPr="00A62F86" w:rsidRDefault="008520EF" w:rsidP="00A62F86">
      <w:pPr>
        <w:spacing w:line="360" w:lineRule="auto"/>
        <w:jc w:val="both"/>
        <w:rPr>
          <w:rFonts w:ascii="Arial" w:hAnsi="Arial" w:cs="Arial"/>
        </w:rPr>
      </w:pPr>
      <w:r w:rsidRPr="00A62F86">
        <w:rPr>
          <w:rFonts w:ascii="Arial" w:hAnsi="Arial" w:cs="Arial"/>
        </w:rPr>
        <w:t>After measuring the Gini coefficient in the 20 countries, the authors found that higher economic inequalities tended to lead more frequently to greater social issues, such as shorter life expectancy, higher incidence of mental illnesses, greater rates of obesity, and higher levels of crime.</w:t>
      </w:r>
    </w:p>
    <w:p w14:paraId="1CD68C3B" w14:textId="77777777" w:rsidR="008520EF" w:rsidRPr="00A62F86" w:rsidRDefault="008520EF" w:rsidP="00A62F86">
      <w:pPr>
        <w:spacing w:line="360" w:lineRule="auto"/>
        <w:jc w:val="both"/>
        <w:rPr>
          <w:rFonts w:ascii="Arial" w:hAnsi="Arial" w:cs="Arial"/>
        </w:rPr>
      </w:pPr>
      <w:r w:rsidRPr="00A62F86">
        <w:rPr>
          <w:rFonts w:ascii="Arial" w:hAnsi="Arial" w:cs="Arial"/>
        </w:rPr>
        <w:t>The impact of economic inequalities generates psychological stress among those at the bottom of society. This chronic stress leads to physical health issues such as high blood pressure. A sense of inferiority caused by economic inequities and the feeling of lacking control over one’s life is notable. Consequently, society tends to polarize based on these inequalities.</w:t>
      </w:r>
    </w:p>
    <w:p w14:paraId="6DCE72D2" w14:textId="77777777" w:rsidR="008520EF" w:rsidRPr="00A62F86" w:rsidRDefault="008520EF" w:rsidP="00A62F86">
      <w:pPr>
        <w:spacing w:line="360" w:lineRule="auto"/>
        <w:jc w:val="both"/>
        <w:rPr>
          <w:rFonts w:ascii="Arial" w:hAnsi="Arial" w:cs="Arial"/>
        </w:rPr>
      </w:pPr>
      <w:r w:rsidRPr="00A62F86">
        <w:rPr>
          <w:rFonts w:ascii="Arial" w:hAnsi="Arial" w:cs="Arial"/>
        </w:rPr>
        <w:t>As a positive example of low levels of inequality, we can mention the Nordic countries, whereas as a negative example, we can observe the United States, where these levels are very high.</w:t>
      </w:r>
    </w:p>
    <w:p w14:paraId="2417D5C1" w14:textId="77777777" w:rsidR="008520EF" w:rsidRPr="00A62F86" w:rsidRDefault="008520EF" w:rsidP="00A62F86">
      <w:pPr>
        <w:pStyle w:val="Heading2"/>
        <w:spacing w:line="360" w:lineRule="auto"/>
        <w:rPr>
          <w:rFonts w:ascii="Arial" w:hAnsi="Arial" w:cs="Arial"/>
        </w:rPr>
      </w:pPr>
      <w:bookmarkStart w:id="3" w:name="_Toc183895096"/>
      <w:r w:rsidRPr="00A62F86">
        <w:rPr>
          <w:rFonts w:ascii="Arial" w:hAnsi="Arial" w:cs="Arial"/>
        </w:rPr>
        <w:t>1.3 Selection of SDG 1 (No Poverty) and SDG 4 (Quality Education) and Their Relevance to the United Kingdom</w:t>
      </w:r>
      <w:bookmarkEnd w:id="3"/>
    </w:p>
    <w:p w14:paraId="41702381" w14:textId="3CF9D21E" w:rsidR="008520EF" w:rsidRPr="00A62F86" w:rsidRDefault="008520EF" w:rsidP="00A62F86">
      <w:pPr>
        <w:spacing w:line="360" w:lineRule="auto"/>
        <w:jc w:val="both"/>
        <w:rPr>
          <w:rFonts w:ascii="Arial" w:hAnsi="Arial" w:cs="Arial"/>
        </w:rPr>
      </w:pPr>
      <w:r w:rsidRPr="00A62F86">
        <w:rPr>
          <w:rFonts w:ascii="Arial" w:hAnsi="Arial" w:cs="Arial"/>
        </w:rPr>
        <w:t xml:space="preserve">These two objectives reflect major challenges the UK faces, despite its status as a developed country. Marmot (2010) suggests that social and economic inequalities are the primary cause of differences in health and wellbeing within the population. </w:t>
      </w:r>
      <w:r w:rsidR="00FA6205" w:rsidRPr="00A62F86">
        <w:rPr>
          <w:rFonts w:ascii="Arial" w:hAnsi="Arial" w:cs="Arial"/>
        </w:rPr>
        <w:t>Like</w:t>
      </w:r>
      <w:r w:rsidRPr="00A62F86">
        <w:rPr>
          <w:rFonts w:ascii="Arial" w:hAnsi="Arial" w:cs="Arial"/>
        </w:rPr>
        <w:t xml:space="preserve"> Townsend (1979), Marmot argues that poverty is more than just a material lack, as it limits access to education, healthcare, or other fundamental opportunities.</w:t>
      </w:r>
    </w:p>
    <w:p w14:paraId="060EF644" w14:textId="77777777" w:rsidR="008520EF" w:rsidRPr="00A62F86" w:rsidRDefault="008520EF" w:rsidP="00A62F86">
      <w:pPr>
        <w:pStyle w:val="Heading3"/>
        <w:spacing w:line="360" w:lineRule="auto"/>
        <w:rPr>
          <w:rFonts w:ascii="Arial" w:hAnsi="Arial" w:cs="Arial"/>
        </w:rPr>
      </w:pPr>
      <w:bookmarkStart w:id="4" w:name="_Toc183895097"/>
      <w:r w:rsidRPr="00A62F86">
        <w:rPr>
          <w:rFonts w:ascii="Arial" w:hAnsi="Arial" w:cs="Arial"/>
        </w:rPr>
        <w:lastRenderedPageBreak/>
        <w:t>1.3.1 Relevance of SDG 1 to the United Kingdom</w:t>
      </w:r>
      <w:bookmarkEnd w:id="4"/>
    </w:p>
    <w:p w14:paraId="070A3F7C" w14:textId="0689258A" w:rsidR="008520EF" w:rsidRPr="00A62F86" w:rsidRDefault="008520EF" w:rsidP="00A62F86">
      <w:pPr>
        <w:spacing w:line="360" w:lineRule="auto"/>
        <w:jc w:val="both"/>
        <w:rPr>
          <w:rFonts w:ascii="Arial" w:hAnsi="Arial" w:cs="Arial"/>
        </w:rPr>
      </w:pPr>
      <w:r w:rsidRPr="00A62F86">
        <w:rPr>
          <w:rFonts w:ascii="Arial" w:hAnsi="Arial" w:cs="Arial"/>
        </w:rPr>
        <w:t>Townsend (1979) defines poverty as the lack of necessary resources to maintain an acceptable standard of living. Affected individuals, due to insufficient resources, cannot participate in ordinary social life. Studies and reports, such as those by the Joseph Rowntree Foundation (2024) and the Department for Work and Pensions (2024), emphasize that poverty has deepened in certain regions of the country, with lower incomes and limited access to good housing and stable jobs.</w:t>
      </w:r>
      <w:r w:rsidR="007C2A73">
        <w:rPr>
          <w:rFonts w:ascii="Arial" w:hAnsi="Arial" w:cs="Arial"/>
        </w:rPr>
        <w:t xml:space="preserve"> </w:t>
      </w:r>
    </w:p>
    <w:p w14:paraId="2F32350A" w14:textId="77777777" w:rsidR="008520EF" w:rsidRPr="00A62F86" w:rsidRDefault="008520EF" w:rsidP="00A62F86">
      <w:pPr>
        <w:spacing w:line="360" w:lineRule="auto"/>
        <w:jc w:val="both"/>
        <w:rPr>
          <w:rFonts w:ascii="Arial" w:hAnsi="Arial" w:cs="Arial"/>
        </w:rPr>
      </w:pPr>
      <w:r w:rsidRPr="00A62F86">
        <w:rPr>
          <w:rFonts w:ascii="Arial" w:hAnsi="Arial" w:cs="Arial"/>
        </w:rPr>
        <w:t>The Joseph Rowntree Foundation (2024) report showed that approximately 14.4 million people lived in poverty in 2021/22. Among these, 4 million were children, and 2 million were pensioners.</w:t>
      </w:r>
    </w:p>
    <w:p w14:paraId="342994EE" w14:textId="7EADE13F" w:rsidR="008520EF" w:rsidRPr="00A62F86" w:rsidRDefault="008520EF" w:rsidP="00A62F86">
      <w:pPr>
        <w:spacing w:line="360" w:lineRule="auto"/>
        <w:jc w:val="both"/>
        <w:rPr>
          <w:rFonts w:ascii="Arial" w:hAnsi="Arial" w:cs="Arial"/>
        </w:rPr>
      </w:pPr>
      <w:r w:rsidRPr="00A62F86">
        <w:rPr>
          <w:rFonts w:ascii="Arial" w:hAnsi="Arial" w:cs="Arial"/>
        </w:rPr>
        <w:t xml:space="preserve">The Department for Work and Pensions (2024) report revealed that the median weekly income fell to £621 before housing costs and to £545 after these costs. Inflation rose to 10%, eroding purchasing power, while wages increased at a slower rate of only 6.3%. Food bank usage increased by 3.4%. </w:t>
      </w:r>
      <w:r w:rsidR="00FA6205" w:rsidRPr="00A62F86">
        <w:rPr>
          <w:rFonts w:ascii="Arial" w:hAnsi="Arial" w:cs="Arial"/>
        </w:rPr>
        <w:t>All</w:t>
      </w:r>
      <w:r w:rsidRPr="00A62F86">
        <w:rPr>
          <w:rFonts w:ascii="Arial" w:hAnsi="Arial" w:cs="Arial"/>
        </w:rPr>
        <w:t xml:space="preserve"> these factors have made children from poor families the most affected.</w:t>
      </w:r>
    </w:p>
    <w:p w14:paraId="3A432F33" w14:textId="77777777" w:rsidR="008520EF" w:rsidRPr="00A62F86" w:rsidRDefault="008520EF" w:rsidP="00A62F86">
      <w:pPr>
        <w:spacing w:line="360" w:lineRule="auto"/>
        <w:jc w:val="both"/>
        <w:rPr>
          <w:rFonts w:ascii="Arial" w:hAnsi="Arial" w:cs="Arial"/>
        </w:rPr>
      </w:pPr>
      <w:r w:rsidRPr="00A62F86">
        <w:rPr>
          <w:rFonts w:ascii="Arial" w:hAnsi="Arial" w:cs="Arial"/>
        </w:rPr>
        <w:t xml:space="preserve">The Marmot Report (2010), authored by Sir Michael Marmot and titled </w:t>
      </w:r>
      <w:r w:rsidRPr="00A62F86">
        <w:rPr>
          <w:rFonts w:ascii="Arial" w:hAnsi="Arial" w:cs="Arial"/>
          <w:i/>
          <w:iCs/>
        </w:rPr>
        <w:t>Fair Society, Healthy Lives</w:t>
      </w:r>
      <w:r w:rsidRPr="00A62F86">
        <w:rPr>
          <w:rFonts w:ascii="Arial" w:hAnsi="Arial" w:cs="Arial"/>
        </w:rPr>
        <w:t>, reports that poverty has a major effect on mental health, which increases the frequency of other illnesses. Introducing the concept of the social gradient, it was demonstrated that health improves or becomes better as socio-economic status increases.</w:t>
      </w:r>
    </w:p>
    <w:p w14:paraId="3E768EF8" w14:textId="77777777" w:rsidR="008520EF" w:rsidRPr="00A62F86" w:rsidRDefault="008520EF" w:rsidP="00A62F86">
      <w:pPr>
        <w:pStyle w:val="Heading3"/>
        <w:spacing w:line="360" w:lineRule="auto"/>
        <w:rPr>
          <w:rFonts w:ascii="Arial" w:hAnsi="Arial" w:cs="Arial"/>
        </w:rPr>
      </w:pPr>
      <w:bookmarkStart w:id="5" w:name="_Toc183895098"/>
      <w:r w:rsidRPr="00A62F86">
        <w:rPr>
          <w:rFonts w:ascii="Arial" w:hAnsi="Arial" w:cs="Arial"/>
        </w:rPr>
        <w:t>1.3.2 Relevance of SDG 4 to the United Kingdom</w:t>
      </w:r>
      <w:bookmarkEnd w:id="5"/>
    </w:p>
    <w:p w14:paraId="655798F5" w14:textId="77777777" w:rsidR="008520EF" w:rsidRPr="00A62F86" w:rsidRDefault="008520EF" w:rsidP="00A62F86">
      <w:pPr>
        <w:spacing w:line="360" w:lineRule="auto"/>
        <w:jc w:val="both"/>
        <w:rPr>
          <w:rFonts w:ascii="Arial" w:hAnsi="Arial" w:cs="Arial"/>
        </w:rPr>
      </w:pPr>
      <w:r w:rsidRPr="00A62F86">
        <w:rPr>
          <w:rFonts w:ascii="Arial" w:hAnsi="Arial" w:cs="Arial"/>
        </w:rPr>
        <w:t>Marmot (2010) insists that education plays an essential role in reducing economic gaps within the population. This is one of the main determinants of health, having a positive effect on life and access to well-paid jobs. However, the UK educational system faces significant challenges.</w:t>
      </w:r>
    </w:p>
    <w:p w14:paraId="6C93D92D" w14:textId="312858B0" w:rsidR="008520EF" w:rsidRPr="00A62F86" w:rsidRDefault="008520EF" w:rsidP="00A62F86">
      <w:pPr>
        <w:spacing w:line="360" w:lineRule="auto"/>
        <w:jc w:val="both"/>
        <w:rPr>
          <w:rFonts w:ascii="Arial" w:hAnsi="Arial" w:cs="Arial"/>
        </w:rPr>
      </w:pPr>
      <w:r w:rsidRPr="00A62F86">
        <w:rPr>
          <w:rFonts w:ascii="Arial" w:hAnsi="Arial" w:cs="Arial"/>
        </w:rPr>
        <w:t xml:space="preserve">The </w:t>
      </w:r>
      <w:r w:rsidRPr="00A62F86">
        <w:rPr>
          <w:rFonts w:ascii="Arial" w:hAnsi="Arial" w:cs="Arial"/>
          <w:i/>
          <w:iCs/>
        </w:rPr>
        <w:t>Educational Inequality in England</w:t>
      </w:r>
      <w:r w:rsidRPr="00A62F86">
        <w:rPr>
          <w:rFonts w:ascii="Arial" w:hAnsi="Arial" w:cs="Arial"/>
        </w:rPr>
        <w:t xml:space="preserve"> report by Sutton Trust (2017) </w:t>
      </w:r>
      <w:r w:rsidR="00FA6205" w:rsidRPr="00A62F86">
        <w:rPr>
          <w:rFonts w:ascii="Arial" w:hAnsi="Arial" w:cs="Arial"/>
        </w:rPr>
        <w:t>analyses</w:t>
      </w:r>
      <w:r w:rsidRPr="00A62F86">
        <w:rPr>
          <w:rFonts w:ascii="Arial" w:hAnsi="Arial" w:cs="Arial"/>
        </w:rPr>
        <w:t xml:space="preserve"> the use of private tutoring and supplementary study among students in the UK. In England, students spend 9.5 hours a week on additional instruction. Countries such as South Korea or China far exceed this figure. For the same level of performance, students from affluent families receive 2.5 more hours of support than disadvantaged ones. London leads this statistic, with 50% of students aged 11–16 receiving private tutoring. </w:t>
      </w:r>
      <w:r w:rsidRPr="00A62F86">
        <w:rPr>
          <w:rFonts w:ascii="Arial" w:hAnsi="Arial" w:cs="Arial"/>
        </w:rPr>
        <w:lastRenderedPageBreak/>
        <w:t>Even though students from disadvantaged families achieve high academic results, they still receive less support compared to those from affluent families.</w:t>
      </w:r>
    </w:p>
    <w:p w14:paraId="7EFF7BF2" w14:textId="77777777" w:rsidR="008520EF" w:rsidRPr="00A62F86" w:rsidRDefault="008520EF" w:rsidP="00A62F86">
      <w:pPr>
        <w:spacing w:line="360" w:lineRule="auto"/>
        <w:jc w:val="both"/>
        <w:rPr>
          <w:rFonts w:ascii="Arial" w:hAnsi="Arial" w:cs="Arial"/>
        </w:rPr>
      </w:pPr>
      <w:r w:rsidRPr="00A62F86">
        <w:rPr>
          <w:rFonts w:ascii="Arial" w:hAnsi="Arial" w:cs="Arial"/>
        </w:rPr>
        <w:t xml:space="preserve">The </w:t>
      </w:r>
      <w:r w:rsidRPr="00A62F86">
        <w:rPr>
          <w:rFonts w:ascii="Arial" w:hAnsi="Arial" w:cs="Arial"/>
          <w:i/>
          <w:iCs/>
        </w:rPr>
        <w:t>State of the Nation 2018-19: Social Mobility in Great Britain</w:t>
      </w:r>
      <w:r w:rsidRPr="00A62F86">
        <w:rPr>
          <w:rFonts w:ascii="Arial" w:hAnsi="Arial" w:cs="Arial"/>
        </w:rPr>
        <w:t xml:space="preserve"> report by the Social Mobility Commission (2019) shows how economic and social inequalities limit individuals' access to opportunities. It is noteworthy that people from disadvantaged backgrounds have and will continue to have lower chances of accessing professional and, implicitly, better-paid jobs. Even with similar qualifications, those from privileged backgrounds earn 24% more.</w:t>
      </w:r>
    </w:p>
    <w:p w14:paraId="0CDDFA0E" w14:textId="73187BC2" w:rsidR="00B64BCF" w:rsidRPr="00A62F86" w:rsidRDefault="00195AB5" w:rsidP="00A62F86">
      <w:pPr>
        <w:pStyle w:val="Heading1"/>
        <w:spacing w:line="360" w:lineRule="auto"/>
        <w:rPr>
          <w:rFonts w:ascii="Arial" w:hAnsi="Arial" w:cs="Arial"/>
        </w:rPr>
      </w:pPr>
      <w:bookmarkStart w:id="6" w:name="_Toc183895099"/>
      <w:r w:rsidRPr="00A62F86">
        <w:rPr>
          <w:rFonts w:ascii="Arial" w:hAnsi="Arial" w:cs="Arial"/>
        </w:rPr>
        <w:t xml:space="preserve">2. </w:t>
      </w:r>
      <w:r w:rsidR="00B64BCF" w:rsidRPr="00A62F86">
        <w:rPr>
          <w:rFonts w:ascii="Arial" w:hAnsi="Arial" w:cs="Arial"/>
        </w:rPr>
        <w:t>Analysis of the SDG Objectives</w:t>
      </w:r>
      <w:bookmarkEnd w:id="6"/>
    </w:p>
    <w:p w14:paraId="3ACE9738" w14:textId="77777777" w:rsidR="00B64BCF" w:rsidRPr="00A62F86" w:rsidRDefault="00B64BCF" w:rsidP="00A62F86">
      <w:pPr>
        <w:pStyle w:val="Heading2"/>
        <w:spacing w:line="360" w:lineRule="auto"/>
        <w:rPr>
          <w:rFonts w:ascii="Arial" w:hAnsi="Arial" w:cs="Arial"/>
        </w:rPr>
      </w:pPr>
      <w:bookmarkStart w:id="7" w:name="_Toc183895100"/>
      <w:r w:rsidRPr="00A62F86">
        <w:rPr>
          <w:rFonts w:ascii="Arial" w:hAnsi="Arial" w:cs="Arial"/>
        </w:rPr>
        <w:t>2.1 The Sustainable Development Goal (No Poverty) is primarily focused on combating extreme poverty.</w:t>
      </w:r>
      <w:bookmarkEnd w:id="7"/>
    </w:p>
    <w:p w14:paraId="228C18A9" w14:textId="77777777" w:rsidR="00B64BCF" w:rsidRPr="00A62F86" w:rsidRDefault="00B64BCF" w:rsidP="00A62F86">
      <w:pPr>
        <w:spacing w:line="360" w:lineRule="auto"/>
        <w:jc w:val="both"/>
        <w:rPr>
          <w:rFonts w:ascii="Arial" w:hAnsi="Arial" w:cs="Arial"/>
        </w:rPr>
      </w:pPr>
      <w:r w:rsidRPr="00A62F86">
        <w:rPr>
          <w:rFonts w:ascii="Arial" w:hAnsi="Arial" w:cs="Arial"/>
        </w:rPr>
        <w:t xml:space="preserve">Peter Townsend (1979) offers an innovative approach to the concept of poverty. He surpasses traditional ideas that define poverty primarily as a lack of financial income. In his most important work, </w:t>
      </w:r>
      <w:r w:rsidRPr="00A62F86">
        <w:rPr>
          <w:rFonts w:ascii="Arial" w:hAnsi="Arial" w:cs="Arial"/>
          <w:i/>
          <w:iCs/>
        </w:rPr>
        <w:t>Poverty in the United Kingdom: A Survey of Household Resources and Standards of Living</w:t>
      </w:r>
      <w:r w:rsidRPr="00A62F86">
        <w:rPr>
          <w:rFonts w:ascii="Arial" w:hAnsi="Arial" w:cs="Arial"/>
        </w:rPr>
        <w:t>, he guides us to understand the multidimensional nature of poverty and argues that, beyond the lack of material resources, it also represents individuals' inability to actively participate in the social and economic life of society. These individuals are affected in fulfilling basic social roles, such as properly raising children, maintaining their own health, or participating in economic activities. This does not merely signify a lack of food, clothing, or housing but a systematic exclusion from essential opportunities that are part of fundamental human rights.</w:t>
      </w:r>
    </w:p>
    <w:p w14:paraId="739AD2A6" w14:textId="77777777" w:rsidR="00B64BCF" w:rsidRPr="00A62F86" w:rsidRDefault="00B64BCF" w:rsidP="00A62F86">
      <w:pPr>
        <w:spacing w:line="360" w:lineRule="auto"/>
        <w:jc w:val="both"/>
        <w:rPr>
          <w:rFonts w:ascii="Arial" w:hAnsi="Arial" w:cs="Arial"/>
        </w:rPr>
      </w:pPr>
      <w:r w:rsidRPr="00A62F86">
        <w:rPr>
          <w:rFonts w:ascii="Arial" w:hAnsi="Arial" w:cs="Arial"/>
        </w:rPr>
        <w:t>Townsend's extended vision of poverty, as demonstrated in his study, has a significant impact on social policies. His arguments suggest that combating poverty does not merely mean increasing incomes for the vulnerable population but requires creating an integrated system of access to education, healthcare, employment, and social participation.</w:t>
      </w:r>
    </w:p>
    <w:p w14:paraId="1590208B" w14:textId="77777777" w:rsidR="00B64BCF" w:rsidRPr="00A62F86" w:rsidRDefault="00B64BCF" w:rsidP="00A62F86">
      <w:pPr>
        <w:spacing w:line="360" w:lineRule="auto"/>
        <w:jc w:val="both"/>
        <w:rPr>
          <w:rFonts w:ascii="Arial" w:hAnsi="Arial" w:cs="Arial"/>
        </w:rPr>
      </w:pPr>
      <w:r w:rsidRPr="00A62F86">
        <w:rPr>
          <w:rFonts w:ascii="Arial" w:hAnsi="Arial" w:cs="Arial"/>
        </w:rPr>
        <w:t xml:space="preserve">Walker (2014), in his book </w:t>
      </w:r>
      <w:r w:rsidRPr="00A62F86">
        <w:rPr>
          <w:rFonts w:ascii="Arial" w:hAnsi="Arial" w:cs="Arial"/>
          <w:i/>
          <w:iCs/>
        </w:rPr>
        <w:t>The Shame of Poverty</w:t>
      </w:r>
      <w:r w:rsidRPr="00A62F86">
        <w:rPr>
          <w:rFonts w:ascii="Arial" w:hAnsi="Arial" w:cs="Arial"/>
        </w:rPr>
        <w:t xml:space="preserve">, offers a profound perspective on the psychological dimension of poverty and how it affects the personal identity and social relationships of affected individuals. Almost always, those affected tend to feel </w:t>
      </w:r>
      <w:r w:rsidRPr="00A62F86">
        <w:rPr>
          <w:rFonts w:ascii="Arial" w:hAnsi="Arial" w:cs="Arial"/>
        </w:rPr>
        <w:lastRenderedPageBreak/>
        <w:t>a deep sense of shame caused by the social stigma they face. As a result, they begin to feel inferior and inadequate.</w:t>
      </w:r>
    </w:p>
    <w:p w14:paraId="553D403F" w14:textId="77777777" w:rsidR="00B64BCF" w:rsidRPr="00A62F86" w:rsidRDefault="00B64BCF" w:rsidP="00A62F86">
      <w:pPr>
        <w:pStyle w:val="Heading3"/>
        <w:spacing w:line="360" w:lineRule="auto"/>
        <w:rPr>
          <w:rFonts w:ascii="Arial" w:hAnsi="Arial" w:cs="Arial"/>
        </w:rPr>
      </w:pPr>
      <w:bookmarkStart w:id="8" w:name="_Toc183895101"/>
      <w:r w:rsidRPr="00A62F86">
        <w:rPr>
          <w:rFonts w:ascii="Arial" w:hAnsi="Arial" w:cs="Arial"/>
        </w:rPr>
        <w:t>2.1.1 Shame and Social Exclusion</w:t>
      </w:r>
      <w:bookmarkEnd w:id="8"/>
    </w:p>
    <w:p w14:paraId="29D6A33B" w14:textId="77777777" w:rsidR="00B64BCF" w:rsidRPr="00A62F86" w:rsidRDefault="00B64BCF" w:rsidP="00A62F86">
      <w:pPr>
        <w:spacing w:line="360" w:lineRule="auto"/>
        <w:jc w:val="both"/>
        <w:rPr>
          <w:rFonts w:ascii="Arial" w:hAnsi="Arial" w:cs="Arial"/>
        </w:rPr>
      </w:pPr>
      <w:r w:rsidRPr="00A62F86">
        <w:rPr>
          <w:rFonts w:ascii="Arial" w:hAnsi="Arial" w:cs="Arial"/>
        </w:rPr>
        <w:t>Individuals with low incomes affected by poverty are perceived as the primary culprits for their condition. This perception only fuels negative stereotypes. Stigma leads to the isolation of poor individuals, causing them to almost entirely avoid interactions. In the United Kingdom, those dependent on the welfare system are seen as lazy and incapable, without considering the circumstances that brought them to this situation. This perception is influenced both by public discourse and by the media.</w:t>
      </w:r>
    </w:p>
    <w:p w14:paraId="2A40C8F4" w14:textId="77777777" w:rsidR="00B64BCF" w:rsidRPr="00A62F86" w:rsidRDefault="00B64BCF" w:rsidP="00A62F86">
      <w:pPr>
        <w:pStyle w:val="Heading3"/>
        <w:spacing w:line="360" w:lineRule="auto"/>
        <w:rPr>
          <w:rFonts w:ascii="Arial" w:hAnsi="Arial" w:cs="Arial"/>
        </w:rPr>
      </w:pPr>
      <w:bookmarkStart w:id="9" w:name="_Toc183895102"/>
      <w:r w:rsidRPr="00A62F86">
        <w:rPr>
          <w:rFonts w:ascii="Arial" w:hAnsi="Arial" w:cs="Arial"/>
        </w:rPr>
        <w:t>2.1.2 Impact on Mental Health</w:t>
      </w:r>
      <w:bookmarkEnd w:id="9"/>
    </w:p>
    <w:p w14:paraId="126A0D2A" w14:textId="77777777" w:rsidR="00B64BCF" w:rsidRPr="00A62F86" w:rsidRDefault="00B64BCF" w:rsidP="00A62F86">
      <w:pPr>
        <w:spacing w:line="360" w:lineRule="auto"/>
        <w:jc w:val="both"/>
        <w:rPr>
          <w:rFonts w:ascii="Arial" w:hAnsi="Arial" w:cs="Arial"/>
        </w:rPr>
      </w:pPr>
      <w:r w:rsidRPr="00A62F86">
        <w:rPr>
          <w:rFonts w:ascii="Arial" w:hAnsi="Arial" w:cs="Arial"/>
        </w:rPr>
        <w:t>Walker demonstrated that poor individuals generally suffer from anxiety, depression, and chronic stress due to the pressure of hiding their condition. To substantiate this, he used an approach based on international comparative studies, including data from the UK, China, Norway, and Uganda—environments that are culturally and economically diverse. The research included in-depth interviews with affected individuals, focus groups to explore perceptions associated with poverty, and a comparative analysis of the identified data across countries. Ultimately, it was shown that shame is universally associated with poverty. This shame originates from social norms that value financial success. The constant fear of judgment and rejection by society, along with the difficulty for those affected by poverty to meet minimal social expectations or their personal sense of failure, has a major impact on mental health. For instance, a parent unable to provide their child with the same conditions as their peers will experience a deep sense of personal failure, even if the reasons are beyond their control. This situation is exacerbated by the severe lack of access to mental health services.</w:t>
      </w:r>
    </w:p>
    <w:p w14:paraId="0987B38B" w14:textId="77777777" w:rsidR="00B64BCF" w:rsidRPr="00A62F86" w:rsidRDefault="00B64BCF" w:rsidP="00A62F86">
      <w:pPr>
        <w:spacing w:line="360" w:lineRule="auto"/>
        <w:jc w:val="both"/>
        <w:rPr>
          <w:rFonts w:ascii="Arial" w:hAnsi="Arial" w:cs="Arial"/>
        </w:rPr>
      </w:pPr>
      <w:r w:rsidRPr="00A62F86">
        <w:rPr>
          <w:rFonts w:ascii="Arial" w:hAnsi="Arial" w:cs="Arial"/>
        </w:rPr>
        <w:t xml:space="preserve">From Walker's perspective, poverty is an issue of social justice and not the result of individual failures. The political systems that create economic structures play an essential role. For example, in the United Kingdom, the 2008 crisis and the austerity measures introduced by the government disproportionately and negatively impacted low-income individuals. Often, political rhetoric that promotes so-called meritocracy as a universal solution further stigmatizes those who rely on government benefits. In Walker's view, this type of rhetoric only serves to ignore structural inequalities and fails </w:t>
      </w:r>
      <w:r w:rsidRPr="00A62F86">
        <w:rPr>
          <w:rFonts w:ascii="Arial" w:hAnsi="Arial" w:cs="Arial"/>
        </w:rPr>
        <w:lastRenderedPageBreak/>
        <w:t>to recognize the obstacles faced by a poor person. For instance, Universal Credit, created to simplify financial support, has been criticized for placing an excessive burden on those who apply. Applicants feel this burden due to processes considered humiliating and delays that worsen their financial situation. Many applicants describe a sense of shame in their interactions with authorities, which further undermines their mental wellbeing.</w:t>
      </w:r>
    </w:p>
    <w:p w14:paraId="35FF8036" w14:textId="77777777" w:rsidR="00B64BCF" w:rsidRPr="00A62F86" w:rsidRDefault="00B64BCF" w:rsidP="00A62F86">
      <w:pPr>
        <w:spacing w:line="360" w:lineRule="auto"/>
        <w:jc w:val="both"/>
        <w:rPr>
          <w:rFonts w:ascii="Arial" w:hAnsi="Arial" w:cs="Arial"/>
        </w:rPr>
      </w:pPr>
      <w:r w:rsidRPr="00A62F86">
        <w:rPr>
          <w:rFonts w:ascii="Arial" w:hAnsi="Arial" w:cs="Arial"/>
        </w:rPr>
        <w:t>Another negative example is the stigmatization of children benefiting from the Free School Meals program. Often vital for families with modest incomes, this aid labels children in the eyes of their peers, leading to marginalization. In such cases, children suffer from low self-esteem and very little social confidence.</w:t>
      </w:r>
    </w:p>
    <w:p w14:paraId="25E6719C" w14:textId="77777777" w:rsidR="00B64BCF" w:rsidRPr="00A62F86" w:rsidRDefault="00B64BCF" w:rsidP="00A62F86">
      <w:pPr>
        <w:spacing w:line="360" w:lineRule="auto"/>
        <w:jc w:val="both"/>
        <w:rPr>
          <w:rFonts w:ascii="Arial" w:hAnsi="Arial" w:cs="Arial"/>
        </w:rPr>
      </w:pPr>
      <w:r w:rsidRPr="00A62F86">
        <w:rPr>
          <w:rFonts w:ascii="Arial" w:hAnsi="Arial" w:cs="Arial"/>
        </w:rPr>
        <w:t>Walker’s analysis is defining for me in understanding how poverty transcends the mere lack of economic resources. I firmly believe that public education plays a major role in reducing stigmatization by promoting a more empathetic understanding of the causes of poverty.</w:t>
      </w:r>
    </w:p>
    <w:p w14:paraId="14A126EC" w14:textId="77777777" w:rsidR="00B64BCF" w:rsidRPr="00A62F86" w:rsidRDefault="00B64BCF" w:rsidP="00A62F86">
      <w:pPr>
        <w:pStyle w:val="Heading3"/>
        <w:spacing w:line="360" w:lineRule="auto"/>
        <w:rPr>
          <w:rFonts w:ascii="Arial" w:hAnsi="Arial" w:cs="Arial"/>
        </w:rPr>
      </w:pPr>
      <w:bookmarkStart w:id="10" w:name="_Toc183895103"/>
      <w:r w:rsidRPr="00A62F86">
        <w:rPr>
          <w:rFonts w:ascii="Arial" w:hAnsi="Arial" w:cs="Arial"/>
        </w:rPr>
        <w:t>2.1.3 Housing Benefit</w:t>
      </w:r>
      <w:bookmarkEnd w:id="10"/>
    </w:p>
    <w:p w14:paraId="055ED686" w14:textId="77777777" w:rsidR="00B64BCF" w:rsidRPr="00A62F86" w:rsidRDefault="00B64BCF" w:rsidP="00A62F86">
      <w:pPr>
        <w:spacing w:line="360" w:lineRule="auto"/>
        <w:jc w:val="both"/>
        <w:rPr>
          <w:rFonts w:ascii="Arial" w:hAnsi="Arial" w:cs="Arial"/>
        </w:rPr>
      </w:pPr>
      <w:r w:rsidRPr="00A62F86">
        <w:rPr>
          <w:rFonts w:ascii="Arial" w:hAnsi="Arial" w:cs="Arial"/>
        </w:rPr>
        <w:t>This is a program designed to assist low-income individuals with housing costs. It was one of the primary benefits provided by social protection before being included in Universal Credit. Housing Benefit covers all or part of rental costs, depending on each family's income. It is primarily intended for those living in private housing who cannot afford rent without financial support. With the implementation of Universal Credit, this service was integrated but continues to operate separately in exceptional cases, such as for pensioners.</w:t>
      </w:r>
    </w:p>
    <w:p w14:paraId="22587B4B" w14:textId="77777777" w:rsidR="00B64BCF" w:rsidRPr="00A62F86" w:rsidRDefault="00B64BCF" w:rsidP="00A62F86">
      <w:pPr>
        <w:spacing w:line="360" w:lineRule="auto"/>
        <w:jc w:val="both"/>
        <w:rPr>
          <w:rFonts w:ascii="Arial" w:hAnsi="Arial" w:cs="Arial"/>
        </w:rPr>
      </w:pPr>
      <w:r w:rsidRPr="00A62F86">
        <w:rPr>
          <w:rFonts w:ascii="Arial" w:hAnsi="Arial" w:cs="Arial"/>
        </w:rPr>
        <w:t>According to the Joseph Rowntree Foundation (2022), Housing Benefit has played a vital role in reducing poverty for economically constrained individuals. However, criticisms of the program exist. The social housing crisis and the limited availability of such housing have led to excessive reliance on the private sector, where rents are generally higher. A report by the National Audit Office (2017) shows that Housing Benefit expenditures have increased by over 50% in the last two decades, leading to a program cost of nearly £23 billion. This is mainly due to higher payments in the private sector.</w:t>
      </w:r>
    </w:p>
    <w:p w14:paraId="377EB0F5" w14:textId="77777777" w:rsidR="00B64BCF" w:rsidRPr="00A62F86" w:rsidRDefault="00B64BCF" w:rsidP="00A62F86">
      <w:pPr>
        <w:spacing w:line="360" w:lineRule="auto"/>
        <w:jc w:val="both"/>
        <w:rPr>
          <w:rFonts w:ascii="Arial" w:hAnsi="Arial" w:cs="Arial"/>
        </w:rPr>
      </w:pPr>
      <w:r w:rsidRPr="00A62F86">
        <w:rPr>
          <w:rFonts w:ascii="Arial" w:hAnsi="Arial" w:cs="Arial"/>
        </w:rPr>
        <w:lastRenderedPageBreak/>
        <w:t>Housing Benefit indirectly contributes to an artificial increase in rents. By guaranteeing a certain level of rent payment, private-sector landlords raise prices, knowing that the government will cover part of the costs. This phenomenon has reduced the program's efficiency. Possible solutions could include limiting and regulating rents by establishing a maximum cap in the private sector. Another solution would be investing in adequate social housing and increasing funding for such projects.</w:t>
      </w:r>
    </w:p>
    <w:p w14:paraId="12577023" w14:textId="77777777" w:rsidR="00B64BCF" w:rsidRPr="00A62F86" w:rsidRDefault="00B64BCF" w:rsidP="00A62F86">
      <w:pPr>
        <w:spacing w:line="360" w:lineRule="auto"/>
        <w:jc w:val="both"/>
        <w:rPr>
          <w:rFonts w:ascii="Arial" w:hAnsi="Arial" w:cs="Arial"/>
        </w:rPr>
      </w:pPr>
      <w:r w:rsidRPr="00A62F86">
        <w:rPr>
          <w:rFonts w:ascii="Arial" w:hAnsi="Arial" w:cs="Arial"/>
        </w:rPr>
        <w:t>The administrative complexity of applying for Housing Benefit is considered cumbersome by many, preventing some eligible individuals from accessing this support due to bureaucracy. Despite these shortcomings, both Universal Credit and Housing Benefit remain key pillars in combating poverty in the UK. As emphasized by Atkinson (2019) and the Joseph Rowntree Foundation (2022), the efficiency of these programs can be enhanced through better approaches tailored to the current context.</w:t>
      </w:r>
    </w:p>
    <w:p w14:paraId="3F75ACFB" w14:textId="77777777" w:rsidR="00B64BCF" w:rsidRPr="00A62F86" w:rsidRDefault="00B64BCF" w:rsidP="00A62F86">
      <w:pPr>
        <w:pStyle w:val="Heading3"/>
        <w:spacing w:line="360" w:lineRule="auto"/>
        <w:rPr>
          <w:rFonts w:ascii="Arial" w:hAnsi="Arial" w:cs="Arial"/>
        </w:rPr>
      </w:pPr>
      <w:bookmarkStart w:id="11" w:name="_Toc183895104"/>
      <w:r w:rsidRPr="00A62F86">
        <w:rPr>
          <w:rFonts w:ascii="Arial" w:hAnsi="Arial" w:cs="Arial"/>
        </w:rPr>
        <w:t>2.1.4 Evaluating Progress</w:t>
      </w:r>
      <w:bookmarkEnd w:id="11"/>
    </w:p>
    <w:p w14:paraId="2079F0DA" w14:textId="77777777" w:rsidR="00B64BCF" w:rsidRPr="00A62F86" w:rsidRDefault="00B64BCF" w:rsidP="00A62F86">
      <w:pPr>
        <w:spacing w:line="360" w:lineRule="auto"/>
        <w:jc w:val="both"/>
        <w:rPr>
          <w:rFonts w:ascii="Arial" w:hAnsi="Arial" w:cs="Arial"/>
        </w:rPr>
      </w:pPr>
      <w:r w:rsidRPr="00A62F86">
        <w:rPr>
          <w:rFonts w:ascii="Arial" w:hAnsi="Arial" w:cs="Arial"/>
        </w:rPr>
        <w:t xml:space="preserve">The report </w:t>
      </w:r>
      <w:r w:rsidRPr="00A62F86">
        <w:rPr>
          <w:rFonts w:ascii="Arial" w:hAnsi="Arial" w:cs="Arial"/>
          <w:i/>
          <w:iCs/>
        </w:rPr>
        <w:t>Monitoring Poverty and Social Exclusion 2014</w:t>
      </w:r>
      <w:r w:rsidRPr="00A62F86">
        <w:rPr>
          <w:rFonts w:ascii="Arial" w:hAnsi="Arial" w:cs="Arial"/>
        </w:rPr>
        <w:t xml:space="preserve"> by Tom MacInnes et al., published by the Joseph Rowntree Foundation (JRF), provides a detailed picture of poverty and social exclusion in the United Kingdom. This report reveals that the number of beneficiaries has increased significantly, and the value of requested financial benefits has risen. It indicates that 22% of the UK's population lived below the relative poverty threshold (60% of the median income) in 2014. This rate has remained relatively constant over recent decades. Unfortunately, one in three children suffers from poverty, which socially excludes them.</w:t>
      </w:r>
    </w:p>
    <w:p w14:paraId="0119A29B" w14:textId="77777777" w:rsidR="00B64BCF" w:rsidRPr="00A62F86" w:rsidRDefault="00B64BCF" w:rsidP="00A62F86">
      <w:pPr>
        <w:spacing w:line="360" w:lineRule="auto"/>
        <w:jc w:val="both"/>
        <w:rPr>
          <w:rFonts w:ascii="Arial" w:hAnsi="Arial" w:cs="Arial"/>
        </w:rPr>
      </w:pPr>
      <w:r w:rsidRPr="00A62F86">
        <w:rPr>
          <w:rFonts w:ascii="Arial" w:hAnsi="Arial" w:cs="Arial"/>
        </w:rPr>
        <w:t>Nevertheless, there are improvements. It is noteworthy, as Marmot (2010) states, that government measures such as Universal Credit and heating subsidies have contributed to reducing absolute poverty levels. This is a positive aspect.</w:t>
      </w:r>
    </w:p>
    <w:p w14:paraId="4F7FCBC1" w14:textId="77777777" w:rsidR="00B64BCF" w:rsidRPr="00A62F86" w:rsidRDefault="00B64BCF" w:rsidP="00A62F86">
      <w:pPr>
        <w:pStyle w:val="Heading3"/>
        <w:spacing w:line="360" w:lineRule="auto"/>
        <w:rPr>
          <w:rFonts w:ascii="Arial" w:hAnsi="Arial" w:cs="Arial"/>
        </w:rPr>
      </w:pPr>
      <w:bookmarkStart w:id="12" w:name="_Toc183895105"/>
      <w:r w:rsidRPr="00A62F86">
        <w:rPr>
          <w:rFonts w:ascii="Arial" w:hAnsi="Arial" w:cs="Arial"/>
        </w:rPr>
        <w:t>2.1.5 Challenges</w:t>
      </w:r>
      <w:bookmarkEnd w:id="12"/>
    </w:p>
    <w:p w14:paraId="74B894D6" w14:textId="77777777" w:rsidR="00B64BCF" w:rsidRPr="00A62F86" w:rsidRDefault="00B64BCF" w:rsidP="00A62F86">
      <w:pPr>
        <w:spacing w:line="360" w:lineRule="auto"/>
        <w:jc w:val="both"/>
        <w:rPr>
          <w:rFonts w:ascii="Arial" w:hAnsi="Arial" w:cs="Arial"/>
        </w:rPr>
      </w:pPr>
      <w:r w:rsidRPr="00A62F86">
        <w:rPr>
          <w:rFonts w:ascii="Arial" w:hAnsi="Arial" w:cs="Arial"/>
        </w:rPr>
        <w:t>Dorling (2015) argues that the concentration of wealth in a small percentage of the population drastically limits equitable redistribution. Although unemployment rates have decreased over the last decade, real wages have stagnated. In some cases, wages have declined, meaning that many families cannot rise above the poverty line (in-work poverty). For instance, in 2015, approximately 4 million working individuals in the UK were considered poor, undermining efforts to reduce poverty as wages are insufficient for a decent living.</w:t>
      </w:r>
    </w:p>
    <w:p w14:paraId="6832C65B" w14:textId="20ED1FD4" w:rsidR="00B64BCF" w:rsidRPr="00A62F86" w:rsidRDefault="00B64BCF" w:rsidP="00A62F86">
      <w:pPr>
        <w:spacing w:line="360" w:lineRule="auto"/>
        <w:jc w:val="both"/>
        <w:rPr>
          <w:rFonts w:ascii="Arial" w:hAnsi="Arial" w:cs="Arial"/>
        </w:rPr>
      </w:pPr>
      <w:r w:rsidRPr="00A62F86">
        <w:rPr>
          <w:rFonts w:ascii="Arial" w:hAnsi="Arial" w:cs="Arial"/>
        </w:rPr>
        <w:lastRenderedPageBreak/>
        <w:t xml:space="preserve">Although the UK tax system is progressive, it fails to reduce inequalities effectively. Dorling (2015) argues that fiscal policies disproportionately </w:t>
      </w:r>
      <w:r w:rsidR="00FA6205" w:rsidRPr="00A62F86">
        <w:rPr>
          <w:rFonts w:ascii="Arial" w:hAnsi="Arial" w:cs="Arial"/>
        </w:rPr>
        <w:t>favour</w:t>
      </w:r>
      <w:r w:rsidRPr="00A62F86">
        <w:rPr>
          <w:rFonts w:ascii="Arial" w:hAnsi="Arial" w:cs="Arial"/>
        </w:rPr>
        <w:t xml:space="preserve"> high-income individuals. Insufficient tax revenue means reduced social benefits, while progressive taxes like VAT disproportionately affect poor families.</w:t>
      </w:r>
    </w:p>
    <w:p w14:paraId="7EF0918F" w14:textId="77777777" w:rsidR="00B64BCF" w:rsidRPr="00A62F86" w:rsidRDefault="00B64BCF" w:rsidP="00A62F86">
      <w:pPr>
        <w:spacing w:line="360" w:lineRule="auto"/>
        <w:jc w:val="both"/>
        <w:rPr>
          <w:rFonts w:ascii="Arial" w:hAnsi="Arial" w:cs="Arial"/>
        </w:rPr>
      </w:pPr>
      <w:r w:rsidRPr="00A62F86">
        <w:rPr>
          <w:rFonts w:ascii="Arial" w:hAnsi="Arial" w:cs="Arial"/>
        </w:rPr>
        <w:t>Another challenge faced by the UK is reduced mobility. According to Blanden and Machin (2007), social mobility in the United Kingdom is among the lowest in Europe. This lack of mobility hinders efforts to alleviate poverty. Low mobility leads to unequal access to education, with limited opportunities to attend quality schools.</w:t>
      </w:r>
    </w:p>
    <w:p w14:paraId="6E0D087E" w14:textId="56223625" w:rsidR="00B64BCF" w:rsidRPr="00A62F86" w:rsidRDefault="00B64BCF" w:rsidP="00A62F86">
      <w:pPr>
        <w:spacing w:line="360" w:lineRule="auto"/>
        <w:jc w:val="both"/>
        <w:rPr>
          <w:rFonts w:ascii="Arial" w:hAnsi="Arial" w:cs="Arial"/>
        </w:rPr>
      </w:pPr>
      <w:r w:rsidRPr="00A62F86">
        <w:rPr>
          <w:rFonts w:ascii="Arial" w:hAnsi="Arial" w:cs="Arial"/>
        </w:rPr>
        <w:t xml:space="preserve">Blanden and Machin show that academic performance is closely correlated with parents' socio-economic status, perpetuating the cycle of poverty. Unfortunately, the </w:t>
      </w:r>
      <w:r w:rsidR="00FA6205" w:rsidRPr="00A62F86">
        <w:rPr>
          <w:rFonts w:ascii="Arial" w:hAnsi="Arial" w:cs="Arial"/>
        </w:rPr>
        <w:t>labour</w:t>
      </w:r>
      <w:r w:rsidRPr="00A62F86">
        <w:rPr>
          <w:rFonts w:ascii="Arial" w:hAnsi="Arial" w:cs="Arial"/>
        </w:rPr>
        <w:t xml:space="preserve"> market is also highly segmented. Job opportunities are often </w:t>
      </w:r>
      <w:r w:rsidR="00FA6205" w:rsidRPr="00A62F86">
        <w:rPr>
          <w:rFonts w:ascii="Arial" w:hAnsi="Arial" w:cs="Arial"/>
        </w:rPr>
        <w:t>favoured</w:t>
      </w:r>
      <w:r w:rsidRPr="00A62F86">
        <w:rPr>
          <w:rFonts w:ascii="Arial" w:hAnsi="Arial" w:cs="Arial"/>
        </w:rPr>
        <w:t xml:space="preserve"> for those with social connections, excluding individuals from disadvantaged backgrounds.</w:t>
      </w:r>
    </w:p>
    <w:p w14:paraId="21E68CE2" w14:textId="77777777" w:rsidR="00B64BCF" w:rsidRPr="00A62F86" w:rsidRDefault="00B64BCF" w:rsidP="00A62F86">
      <w:pPr>
        <w:pStyle w:val="Heading2"/>
        <w:spacing w:line="360" w:lineRule="auto"/>
        <w:rPr>
          <w:rFonts w:ascii="Arial" w:hAnsi="Arial" w:cs="Arial"/>
        </w:rPr>
      </w:pPr>
      <w:bookmarkStart w:id="13" w:name="_Toc183895106"/>
      <w:r w:rsidRPr="00A62F86">
        <w:rPr>
          <w:rFonts w:ascii="Arial" w:hAnsi="Arial" w:cs="Arial"/>
        </w:rPr>
        <w:t>2.2 Quality Education (SDG 4)</w:t>
      </w:r>
      <w:bookmarkEnd w:id="13"/>
    </w:p>
    <w:p w14:paraId="24B78375" w14:textId="77777777" w:rsidR="00B64BCF" w:rsidRPr="00A62F86" w:rsidRDefault="00B64BCF" w:rsidP="00A62F86">
      <w:pPr>
        <w:pStyle w:val="Heading3"/>
        <w:spacing w:line="360" w:lineRule="auto"/>
        <w:rPr>
          <w:rFonts w:ascii="Arial" w:hAnsi="Arial" w:cs="Arial"/>
        </w:rPr>
      </w:pPr>
      <w:bookmarkStart w:id="14" w:name="_Toc183895107"/>
      <w:r w:rsidRPr="00A62F86">
        <w:rPr>
          <w:rFonts w:ascii="Arial" w:hAnsi="Arial" w:cs="Arial"/>
        </w:rPr>
        <w:t>2.2.1 Explanation and Significance</w:t>
      </w:r>
      <w:bookmarkEnd w:id="14"/>
    </w:p>
    <w:p w14:paraId="2F3AF2AD" w14:textId="2B408468" w:rsidR="00B64BCF" w:rsidRPr="00A62F86" w:rsidRDefault="00B64BCF" w:rsidP="00A62F86">
      <w:pPr>
        <w:spacing w:line="360" w:lineRule="auto"/>
        <w:jc w:val="both"/>
        <w:rPr>
          <w:rFonts w:ascii="Arial" w:hAnsi="Arial" w:cs="Arial"/>
        </w:rPr>
      </w:pPr>
      <w:r w:rsidRPr="00A62F86">
        <w:rPr>
          <w:rFonts w:ascii="Arial" w:hAnsi="Arial" w:cs="Arial"/>
        </w:rPr>
        <w:t xml:space="preserve">Quality Education is one of the fundamental objectives of sustainable development. According to Ball (2017), education is a means for developing social, moral, and economic skills, not merely a tool for acquiring knowledge. All children, regardless of the social status of their parents, should have access to free and compulsory education. </w:t>
      </w:r>
      <w:r w:rsidR="009712FD" w:rsidRPr="009712FD">
        <w:rPr>
          <w:rFonts w:ascii="Arial" w:hAnsi="Arial" w:cs="Arial"/>
        </w:rPr>
        <w:t>The OECD (2021) highlights that equitable access to modern education, emphasizing digital skills and critical thinking, is essential for both individual and societal progress.</w:t>
      </w:r>
      <w:r w:rsidR="009712FD">
        <w:rPr>
          <w:rFonts w:ascii="Arial" w:hAnsi="Arial" w:cs="Arial"/>
        </w:rPr>
        <w:t xml:space="preserve"> </w:t>
      </w:r>
      <w:r w:rsidRPr="00A62F86">
        <w:rPr>
          <w:rFonts w:ascii="Arial" w:hAnsi="Arial" w:cs="Arial"/>
        </w:rPr>
        <w:t>This education must be adapted to current needs, such as digital skills and the ability to solve problems requiring critical thinking.</w:t>
      </w:r>
    </w:p>
    <w:p w14:paraId="037CA228" w14:textId="77777777" w:rsidR="00B64BCF" w:rsidRPr="00A62F86" w:rsidRDefault="00B64BCF" w:rsidP="00A62F86">
      <w:pPr>
        <w:spacing w:line="360" w:lineRule="auto"/>
        <w:jc w:val="both"/>
        <w:rPr>
          <w:rFonts w:ascii="Arial" w:hAnsi="Arial" w:cs="Arial"/>
        </w:rPr>
      </w:pPr>
      <w:r w:rsidRPr="00A62F86">
        <w:rPr>
          <w:rFonts w:ascii="Arial" w:hAnsi="Arial" w:cs="Arial"/>
        </w:rPr>
        <w:t>Machin and Vignoles (2005) state that education contributes to the increase of individual incomes and that an educated workforce leads to a higher rate of innovation. Solutions proposed by the authors include increasing investments in education in poorer regions and mentorship programs for students from disadvantaged backgrounds. These mentorship programs should provide academic support by helping students with homework and improving their learning skills. They should also morally support students and help them improve their self-esteem.</w:t>
      </w:r>
    </w:p>
    <w:p w14:paraId="5F657AB2" w14:textId="77777777" w:rsidR="00B64BCF" w:rsidRPr="00A62F86" w:rsidRDefault="00B64BCF" w:rsidP="00A62F86">
      <w:pPr>
        <w:spacing w:line="360" w:lineRule="auto"/>
        <w:jc w:val="both"/>
        <w:rPr>
          <w:rFonts w:ascii="Arial" w:hAnsi="Arial" w:cs="Arial"/>
        </w:rPr>
      </w:pPr>
      <w:r w:rsidRPr="00A62F86">
        <w:rPr>
          <w:rFonts w:ascii="Arial" w:hAnsi="Arial" w:cs="Arial"/>
        </w:rPr>
        <w:t xml:space="preserve">A good example of mentorship is </w:t>
      </w:r>
      <w:r w:rsidRPr="00A62F86">
        <w:rPr>
          <w:rFonts w:ascii="Arial" w:hAnsi="Arial" w:cs="Arial"/>
          <w:i/>
          <w:iCs/>
        </w:rPr>
        <w:t>The Sutton Trust</w:t>
      </w:r>
      <w:r w:rsidRPr="00A62F86">
        <w:rPr>
          <w:rFonts w:ascii="Arial" w:hAnsi="Arial" w:cs="Arial"/>
        </w:rPr>
        <w:t xml:space="preserve">, a charitable organization based in London founded in 1997 by Sir Peter Lampl. It has conducted over 150 research </w:t>
      </w:r>
      <w:r w:rsidRPr="00A62F86">
        <w:rPr>
          <w:rFonts w:ascii="Arial" w:hAnsi="Arial" w:cs="Arial"/>
        </w:rPr>
        <w:lastRenderedPageBreak/>
        <w:t>studies and provided financial support for children engaged in early education up to their access to universities. In partnership with universities and employers, Sutton Trust programs have offered students practical advice, inspired them, and increased their confidence in their future.</w:t>
      </w:r>
    </w:p>
    <w:p w14:paraId="5320F846" w14:textId="77777777" w:rsidR="00B64BCF" w:rsidRPr="00A62F86" w:rsidRDefault="00B64BCF" w:rsidP="00A62F86">
      <w:pPr>
        <w:spacing w:line="360" w:lineRule="auto"/>
        <w:jc w:val="both"/>
        <w:rPr>
          <w:rFonts w:ascii="Arial" w:hAnsi="Arial" w:cs="Arial"/>
        </w:rPr>
      </w:pPr>
      <w:r w:rsidRPr="00A62F86">
        <w:rPr>
          <w:rFonts w:ascii="Arial" w:hAnsi="Arial" w:cs="Arial"/>
        </w:rPr>
        <w:t xml:space="preserve">We can also commend the </w:t>
      </w:r>
      <w:r w:rsidRPr="00A62F86">
        <w:rPr>
          <w:rFonts w:ascii="Arial" w:hAnsi="Arial" w:cs="Arial"/>
          <w:i/>
          <w:iCs/>
        </w:rPr>
        <w:t>Pathways to Law</w:t>
      </w:r>
      <w:r w:rsidRPr="00A62F86">
        <w:rPr>
          <w:rFonts w:ascii="Arial" w:hAnsi="Arial" w:cs="Arial"/>
        </w:rPr>
        <w:t xml:space="preserve"> program developed by The Sutton Trust. It was designed to broaden access to the legal profession. Students benefit from an internship where they are guided by a professional mentor. In this way, they develop their academic skills through teaching sessions in the legal field.</w:t>
      </w:r>
    </w:p>
    <w:p w14:paraId="32E167B4" w14:textId="77777777" w:rsidR="00B64BCF" w:rsidRPr="00A62F86" w:rsidRDefault="00B64BCF" w:rsidP="00A62F86">
      <w:pPr>
        <w:spacing w:line="360" w:lineRule="auto"/>
        <w:jc w:val="both"/>
        <w:rPr>
          <w:rFonts w:ascii="Arial" w:hAnsi="Arial" w:cs="Arial"/>
        </w:rPr>
      </w:pPr>
      <w:r w:rsidRPr="00A62F86">
        <w:rPr>
          <w:rFonts w:ascii="Arial" w:hAnsi="Arial" w:cs="Arial"/>
        </w:rPr>
        <w:t xml:space="preserve">Another positive example is </w:t>
      </w:r>
      <w:r w:rsidRPr="00A62F86">
        <w:rPr>
          <w:rFonts w:ascii="Arial" w:hAnsi="Arial" w:cs="Arial"/>
          <w:i/>
          <w:iCs/>
        </w:rPr>
        <w:t>Teach First</w:t>
      </w:r>
      <w:r w:rsidRPr="00A62F86">
        <w:rPr>
          <w:rFonts w:ascii="Arial" w:hAnsi="Arial" w:cs="Arial"/>
        </w:rPr>
        <w:t>, a program where top teachers are recruited to work in schools in the poorest regions of the United Kingdom. These mentors also provide inspiration for students, improving their aspirations and outcomes.</w:t>
      </w:r>
    </w:p>
    <w:p w14:paraId="0C5428CE" w14:textId="77777777" w:rsidR="00B64BCF" w:rsidRPr="00A62F86" w:rsidRDefault="00B64BCF" w:rsidP="00A62F86">
      <w:pPr>
        <w:pStyle w:val="Heading3"/>
        <w:spacing w:line="360" w:lineRule="auto"/>
        <w:rPr>
          <w:rFonts w:ascii="Arial" w:hAnsi="Arial" w:cs="Arial"/>
        </w:rPr>
      </w:pPr>
      <w:bookmarkStart w:id="15" w:name="_Toc183895108"/>
      <w:r w:rsidRPr="00A62F86">
        <w:rPr>
          <w:rFonts w:ascii="Arial" w:hAnsi="Arial" w:cs="Arial"/>
        </w:rPr>
        <w:t>2.2.2 Evaluating Progress</w:t>
      </w:r>
      <w:bookmarkEnd w:id="15"/>
    </w:p>
    <w:p w14:paraId="13AE1418" w14:textId="2C96CF8C" w:rsidR="00B64BCF" w:rsidRPr="00A62F86" w:rsidRDefault="00B64BCF" w:rsidP="00A62F86">
      <w:pPr>
        <w:spacing w:line="360" w:lineRule="auto"/>
        <w:jc w:val="both"/>
        <w:rPr>
          <w:rFonts w:ascii="Arial" w:hAnsi="Arial" w:cs="Arial"/>
        </w:rPr>
      </w:pPr>
      <w:r w:rsidRPr="00A62F86">
        <w:rPr>
          <w:rFonts w:ascii="Arial" w:hAnsi="Arial" w:cs="Arial"/>
        </w:rPr>
        <w:t xml:space="preserve">Blanden, Gregg, and Macmillan (2013), through their study in the article </w:t>
      </w:r>
      <w:r w:rsidRPr="00A62F86">
        <w:rPr>
          <w:rFonts w:ascii="Arial" w:hAnsi="Arial" w:cs="Arial"/>
          <w:i/>
          <w:iCs/>
        </w:rPr>
        <w:t>Intergenerational Persistence in Income and Social Class: The Effect of Within-Group Inequality</w:t>
      </w:r>
      <w:r w:rsidRPr="00A62F86">
        <w:rPr>
          <w:rFonts w:ascii="Arial" w:hAnsi="Arial" w:cs="Arial"/>
        </w:rPr>
        <w:t xml:space="preserve">, published in the </w:t>
      </w:r>
      <w:r w:rsidRPr="00A62F86">
        <w:rPr>
          <w:rFonts w:ascii="Arial" w:hAnsi="Arial" w:cs="Arial"/>
          <w:i/>
          <w:iCs/>
        </w:rPr>
        <w:t>Journal of the Royal Statistical Society: Series A</w:t>
      </w:r>
      <w:r w:rsidRPr="00A62F86">
        <w:rPr>
          <w:rFonts w:ascii="Arial" w:hAnsi="Arial" w:cs="Arial"/>
        </w:rPr>
        <w:t xml:space="preserve">, </w:t>
      </w:r>
      <w:r w:rsidR="00FA6205" w:rsidRPr="00A62F86">
        <w:rPr>
          <w:rFonts w:ascii="Arial" w:hAnsi="Arial" w:cs="Arial"/>
        </w:rPr>
        <w:t>analyse</w:t>
      </w:r>
      <w:r w:rsidRPr="00A62F86">
        <w:rPr>
          <w:rFonts w:ascii="Arial" w:hAnsi="Arial" w:cs="Arial"/>
        </w:rPr>
        <w:t xml:space="preserve"> the intergenerational persistence of income and social class in the United Kingdom. They compared two groups: one born in 1958 and another in 1970. Essentially, they </w:t>
      </w:r>
      <w:r w:rsidR="00FA6205" w:rsidRPr="00A62F86">
        <w:rPr>
          <w:rFonts w:ascii="Arial" w:hAnsi="Arial" w:cs="Arial"/>
        </w:rPr>
        <w:t>analysed</w:t>
      </w:r>
      <w:r w:rsidRPr="00A62F86">
        <w:rPr>
          <w:rFonts w:ascii="Arial" w:hAnsi="Arial" w:cs="Arial"/>
        </w:rPr>
        <w:t xml:space="preserve"> the link between family income and sons’ earnings. For the group born in 1958, they found that the connection between parents' income and sons' income was relatively weak, suggesting greater mobility. In other words, sons were more likely to surpass their parents' economic status. For the group born in 1970, this link became stronger, indicating a decline in intergenerational income mobility, with sons having fewer chances to surpass their parents' economic status. The authors emphasize the conclusion that income inequality directly affects economic mobility, regardless of whether individuals change their economic status.</w:t>
      </w:r>
    </w:p>
    <w:p w14:paraId="1845AB79" w14:textId="77777777" w:rsidR="00B64BCF" w:rsidRPr="00A62F86" w:rsidRDefault="00B64BCF" w:rsidP="00A62F86">
      <w:pPr>
        <w:spacing w:line="360" w:lineRule="auto"/>
        <w:jc w:val="both"/>
        <w:rPr>
          <w:rFonts w:ascii="Arial" w:hAnsi="Arial" w:cs="Arial"/>
        </w:rPr>
      </w:pPr>
      <w:r w:rsidRPr="00A62F86">
        <w:rPr>
          <w:rFonts w:ascii="Arial" w:hAnsi="Arial" w:cs="Arial"/>
        </w:rPr>
        <w:t xml:space="preserve">The OECD (2012) report, </w:t>
      </w:r>
      <w:r w:rsidRPr="00A62F86">
        <w:rPr>
          <w:rFonts w:ascii="Arial" w:hAnsi="Arial" w:cs="Arial"/>
          <w:i/>
          <w:iCs/>
        </w:rPr>
        <w:t>Equity and Quality in Education: Supporting Disadvantaged Students and Schools</w:t>
      </w:r>
      <w:r w:rsidRPr="00A62F86">
        <w:rPr>
          <w:rFonts w:ascii="Arial" w:hAnsi="Arial" w:cs="Arial"/>
        </w:rPr>
        <w:t>, highlights how the lack of equity and inclusion in education can lead to school failure. The report reveals that one in five students does not complete upper secondary education. It emphasizes the importance of implementing measures to eliminate grade repetition and to delay early selection of students into different educational tracks. An appropriate strategy is also limiting total freedom of school choice, which can prevent segregation based on economic status.</w:t>
      </w:r>
    </w:p>
    <w:p w14:paraId="70419D47" w14:textId="09C4DFEC" w:rsidR="00BD2A92" w:rsidRPr="00A62F86" w:rsidRDefault="00B64BCF" w:rsidP="00A62F86">
      <w:pPr>
        <w:spacing w:line="360" w:lineRule="auto"/>
        <w:jc w:val="both"/>
        <w:rPr>
          <w:rFonts w:ascii="Arial" w:hAnsi="Arial" w:cs="Arial"/>
        </w:rPr>
      </w:pPr>
      <w:r w:rsidRPr="00A62F86">
        <w:rPr>
          <w:rFonts w:ascii="Arial" w:hAnsi="Arial" w:cs="Arial"/>
        </w:rPr>
        <w:lastRenderedPageBreak/>
        <w:t xml:space="preserve">Progress in reducing disparities can be appreciated through programs like the </w:t>
      </w:r>
      <w:r w:rsidRPr="00A62F86">
        <w:rPr>
          <w:rFonts w:ascii="Arial" w:hAnsi="Arial" w:cs="Arial"/>
          <w:i/>
          <w:iCs/>
        </w:rPr>
        <w:t>National Tutoring Programme</w:t>
      </w:r>
      <w:r w:rsidRPr="00A62F86">
        <w:rPr>
          <w:rFonts w:ascii="Arial" w:hAnsi="Arial" w:cs="Arial"/>
        </w:rPr>
        <w:t xml:space="preserve">, which provides support for students affected by educational losses during the COVID-19 pandemic. Through this program, additional lessons are offered to affected students. Additionally, the </w:t>
      </w:r>
      <w:r w:rsidRPr="00A62F86">
        <w:rPr>
          <w:rFonts w:ascii="Arial" w:hAnsi="Arial" w:cs="Arial"/>
          <w:i/>
          <w:iCs/>
        </w:rPr>
        <w:t>Pupil Premium</w:t>
      </w:r>
      <w:r w:rsidRPr="00A62F86">
        <w:rPr>
          <w:rFonts w:ascii="Arial" w:hAnsi="Arial" w:cs="Arial"/>
        </w:rPr>
        <w:t xml:space="preserve"> program, which provides additional funding for schools with disadvantaged students, has contributed to reducing academic performance gaps in some regions. Unfortunately, its effects have been limited due to a lack of uniform implementation.</w:t>
      </w:r>
    </w:p>
    <w:p w14:paraId="728958FB" w14:textId="77777777" w:rsidR="009C2B0E" w:rsidRPr="00A62F86" w:rsidRDefault="009C2B0E" w:rsidP="00A62F86">
      <w:pPr>
        <w:pStyle w:val="Heading1"/>
        <w:spacing w:line="360" w:lineRule="auto"/>
        <w:rPr>
          <w:rFonts w:ascii="Arial" w:hAnsi="Arial" w:cs="Arial"/>
        </w:rPr>
      </w:pPr>
      <w:bookmarkStart w:id="16" w:name="_Toc183895109"/>
      <w:r w:rsidRPr="00A62F86">
        <w:rPr>
          <w:rFonts w:ascii="Arial" w:hAnsi="Arial" w:cs="Arial"/>
        </w:rPr>
        <w:t>3. Impact of the Objectives on Health and Sustainable Development</w:t>
      </w:r>
      <w:bookmarkEnd w:id="16"/>
    </w:p>
    <w:p w14:paraId="1A279C48" w14:textId="77777777" w:rsidR="009C2B0E" w:rsidRPr="00A62F86" w:rsidRDefault="009C2B0E" w:rsidP="00A62F86">
      <w:pPr>
        <w:pStyle w:val="Heading2"/>
        <w:spacing w:line="360" w:lineRule="auto"/>
        <w:rPr>
          <w:rFonts w:ascii="Arial" w:hAnsi="Arial" w:cs="Arial"/>
        </w:rPr>
      </w:pPr>
      <w:bookmarkStart w:id="17" w:name="_Toc183895110"/>
      <w:r w:rsidRPr="00A62F86">
        <w:rPr>
          <w:rFonts w:ascii="Arial" w:hAnsi="Arial" w:cs="Arial"/>
        </w:rPr>
        <w:t>3.1 SDG 1: Impact on Health and Sustainable Development</w:t>
      </w:r>
      <w:bookmarkEnd w:id="17"/>
    </w:p>
    <w:p w14:paraId="7CA33CCF" w14:textId="77777777" w:rsidR="009C2B0E" w:rsidRPr="00A62F86" w:rsidRDefault="009C2B0E" w:rsidP="00A62F86">
      <w:pPr>
        <w:spacing w:line="360" w:lineRule="auto"/>
        <w:jc w:val="both"/>
        <w:rPr>
          <w:rFonts w:ascii="Arial" w:hAnsi="Arial" w:cs="Arial"/>
        </w:rPr>
      </w:pPr>
      <w:r w:rsidRPr="00A62F86">
        <w:rPr>
          <w:rFonts w:ascii="Arial" w:hAnsi="Arial" w:cs="Arial"/>
        </w:rPr>
        <w:t>The emergence of SDG 1 has accelerated the allocation of financial resources necessary to combat poverty worldwide. Many governments have implemented programs to provide guaranteed income or conditional cash transfers. The idea of direct financial support, even if restricted or conditioned by specific criteria, represents a safety net that helps disadvantaged families by reducing their financial stress.</w:t>
      </w:r>
    </w:p>
    <w:p w14:paraId="1D60DC6B" w14:textId="77777777" w:rsidR="009C2B0E" w:rsidRPr="00A62F86" w:rsidRDefault="009C2B0E" w:rsidP="00A62F86">
      <w:pPr>
        <w:spacing w:line="360" w:lineRule="auto"/>
        <w:jc w:val="both"/>
        <w:rPr>
          <w:rFonts w:ascii="Arial" w:hAnsi="Arial" w:cs="Arial"/>
        </w:rPr>
      </w:pPr>
      <w:r w:rsidRPr="00A62F86">
        <w:rPr>
          <w:rFonts w:ascii="Arial" w:hAnsi="Arial" w:cs="Arial"/>
          <w:i/>
          <w:iCs/>
        </w:rPr>
        <w:t>Bolsa Família</w:t>
      </w:r>
      <w:r w:rsidRPr="00A62F86">
        <w:rPr>
          <w:rFonts w:ascii="Arial" w:hAnsi="Arial" w:cs="Arial"/>
        </w:rPr>
        <w:t xml:space="preserve"> in Brazil and </w:t>
      </w:r>
      <w:r w:rsidRPr="00A62F86">
        <w:rPr>
          <w:rFonts w:ascii="Arial" w:hAnsi="Arial" w:cs="Arial"/>
          <w:i/>
          <w:iCs/>
        </w:rPr>
        <w:t>Progresa/Oportunidades</w:t>
      </w:r>
      <w:r w:rsidRPr="00A62F86">
        <w:rPr>
          <w:rFonts w:ascii="Arial" w:hAnsi="Arial" w:cs="Arial"/>
        </w:rPr>
        <w:t xml:space="preserve"> in Mexico are emblematic programs. These involve direct financial transfers, where disadvantaged families receive money to improve their living conditions. At the same time, the families receiving money commit to meeting a set of mandatory conditions. Children must attend school regularly, maintaining at least 80% attendance. Families must actively manage their health by attending regular medical check-ups and vaccinating their children. Additionally, they are required to attend mandatory nutrition courses to ensure a fortified diet. The goal of these cash transfers is to alleviate extreme poverty in the short term, while in the long term, investing in children’s education and the health of all family members will represent assets for escaping poverty in the future.</w:t>
      </w:r>
    </w:p>
    <w:p w14:paraId="27F4BB3B" w14:textId="7B947A9E" w:rsidR="009C2B0E" w:rsidRPr="00A62F86" w:rsidRDefault="009C2B0E" w:rsidP="00A62F86">
      <w:pPr>
        <w:spacing w:line="360" w:lineRule="auto"/>
        <w:jc w:val="both"/>
        <w:rPr>
          <w:rFonts w:ascii="Arial" w:hAnsi="Arial" w:cs="Arial"/>
        </w:rPr>
      </w:pPr>
      <w:r w:rsidRPr="00A62F86">
        <w:rPr>
          <w:rFonts w:ascii="Arial" w:hAnsi="Arial" w:cs="Arial"/>
        </w:rPr>
        <w:t xml:space="preserve">Countries that have successfully implemented Conditional Cash Transfer (CCT) programs include Mexico, Brazil, and the Philippines. The most well-known program is </w:t>
      </w:r>
      <w:r w:rsidRPr="00A62F86">
        <w:rPr>
          <w:rFonts w:ascii="Arial" w:hAnsi="Arial" w:cs="Arial"/>
          <w:i/>
          <w:iCs/>
        </w:rPr>
        <w:t>Progresa</w:t>
      </w:r>
      <w:r w:rsidRPr="00A62F86">
        <w:rPr>
          <w:rFonts w:ascii="Arial" w:hAnsi="Arial" w:cs="Arial"/>
        </w:rPr>
        <w:t xml:space="preserve"> in Mexico. Later renamed </w:t>
      </w:r>
      <w:r w:rsidRPr="00A62F86">
        <w:rPr>
          <w:rFonts w:ascii="Arial" w:hAnsi="Arial" w:cs="Arial"/>
          <w:i/>
          <w:iCs/>
        </w:rPr>
        <w:t>Prospera</w:t>
      </w:r>
      <w:r w:rsidRPr="00A62F86">
        <w:rPr>
          <w:rFonts w:ascii="Arial" w:hAnsi="Arial" w:cs="Arial"/>
        </w:rPr>
        <w:t xml:space="preserve">, this program has remained one of the most influential since its launch in 1997 (Levy, 2006). It addressed the root causes of poverty and focused on improving access to quality education. It also trained </w:t>
      </w:r>
      <w:r w:rsidRPr="00A62F86">
        <w:rPr>
          <w:rFonts w:ascii="Arial" w:hAnsi="Arial" w:cs="Arial"/>
        </w:rPr>
        <w:lastRenderedPageBreak/>
        <w:t xml:space="preserve">vulnerable populations on healthy eating, targeting mothers </w:t>
      </w:r>
      <w:r w:rsidR="00FA6205" w:rsidRPr="00A62F86">
        <w:rPr>
          <w:rFonts w:ascii="Arial" w:hAnsi="Arial" w:cs="Arial"/>
        </w:rPr>
        <w:t>by</w:t>
      </w:r>
      <w:r w:rsidRPr="00A62F86">
        <w:rPr>
          <w:rFonts w:ascii="Arial" w:hAnsi="Arial" w:cs="Arial"/>
        </w:rPr>
        <w:t xml:space="preserve"> teaching them how to adequately feed their children.</w:t>
      </w:r>
    </w:p>
    <w:p w14:paraId="72BF8F69" w14:textId="0A4780A2" w:rsidR="009C2B0E" w:rsidRPr="00A62F86" w:rsidRDefault="009C2B0E" w:rsidP="00A62F86">
      <w:pPr>
        <w:spacing w:line="360" w:lineRule="auto"/>
        <w:jc w:val="both"/>
        <w:rPr>
          <w:rFonts w:ascii="Arial" w:hAnsi="Arial" w:cs="Arial"/>
        </w:rPr>
      </w:pPr>
      <w:r w:rsidRPr="00A62F86">
        <w:rPr>
          <w:rFonts w:ascii="Arial" w:hAnsi="Arial" w:cs="Arial"/>
        </w:rPr>
        <w:t xml:space="preserve">The most significant success of this program was achieved in education. School attendance rates among children increased. Before the program's implementation by the government, children were often used for various forms of </w:t>
      </w:r>
      <w:r w:rsidR="00FA6205" w:rsidRPr="00A62F86">
        <w:rPr>
          <w:rFonts w:ascii="Arial" w:hAnsi="Arial" w:cs="Arial"/>
        </w:rPr>
        <w:t>labour</w:t>
      </w:r>
      <w:r w:rsidRPr="00A62F86">
        <w:rPr>
          <w:rFonts w:ascii="Arial" w:hAnsi="Arial" w:cs="Arial"/>
        </w:rPr>
        <w:t xml:space="preserve">, and families could not afford the financial burden of sending them to school (Fiszbein and Schady, 2009). Illiteracy, especially among girls, was extremely high. Through </w:t>
      </w:r>
      <w:r w:rsidRPr="00A62F86">
        <w:rPr>
          <w:rFonts w:ascii="Arial" w:hAnsi="Arial" w:cs="Arial"/>
          <w:i/>
          <w:iCs/>
        </w:rPr>
        <w:t>Progresa</w:t>
      </w:r>
      <w:r w:rsidRPr="00A62F86">
        <w:rPr>
          <w:rFonts w:ascii="Arial" w:hAnsi="Arial" w:cs="Arial"/>
        </w:rPr>
        <w:t>, the government financially compensated families for the loss of income their children would have earned by working. This led to a 10% increase in the transition of girls from primary to secondary education (Gertler et al., 2012).</w:t>
      </w:r>
    </w:p>
    <w:p w14:paraId="39EDAC33" w14:textId="77777777" w:rsidR="009C2B0E" w:rsidRPr="00A62F86" w:rsidRDefault="009C2B0E" w:rsidP="00A62F86">
      <w:pPr>
        <w:spacing w:line="360" w:lineRule="auto"/>
        <w:jc w:val="both"/>
        <w:rPr>
          <w:rFonts w:ascii="Arial" w:hAnsi="Arial" w:cs="Arial"/>
        </w:rPr>
      </w:pPr>
      <w:r w:rsidRPr="00A62F86">
        <w:rPr>
          <w:rFonts w:ascii="Arial" w:hAnsi="Arial" w:cs="Arial"/>
        </w:rPr>
        <w:t>The mandatory medical visits proved beneficial, as child immunization rates increased and the prevalence of common illnesses, such as diarrhea, decreased. Thanks to mothers’ training in nutrition, children developed better physically and cognitively.</w:t>
      </w:r>
    </w:p>
    <w:p w14:paraId="6DF40082" w14:textId="77777777" w:rsidR="009C2B0E" w:rsidRPr="00A62F86" w:rsidRDefault="009C2B0E" w:rsidP="00A62F86">
      <w:pPr>
        <w:spacing w:line="360" w:lineRule="auto"/>
        <w:jc w:val="both"/>
        <w:rPr>
          <w:rFonts w:ascii="Arial" w:hAnsi="Arial" w:cs="Arial"/>
        </w:rPr>
      </w:pPr>
      <w:r w:rsidRPr="00A62F86">
        <w:rPr>
          <w:rFonts w:ascii="Arial" w:hAnsi="Arial" w:cs="Arial"/>
        </w:rPr>
        <w:t>By directly sending money to mothers, the government empowered them within the family and increased their self-esteem. To some extent, this allowed women to gain autonomy through these financial resources, granting them the ability to make household decisions.</w:t>
      </w:r>
    </w:p>
    <w:p w14:paraId="44C46F37" w14:textId="77777777" w:rsidR="009C2B0E" w:rsidRPr="00A62F86" w:rsidRDefault="009C2B0E" w:rsidP="00A62F86">
      <w:pPr>
        <w:pStyle w:val="Heading2"/>
        <w:spacing w:line="360" w:lineRule="auto"/>
        <w:rPr>
          <w:rFonts w:ascii="Arial" w:hAnsi="Arial" w:cs="Arial"/>
        </w:rPr>
      </w:pPr>
      <w:bookmarkStart w:id="18" w:name="_Toc183895111"/>
      <w:r w:rsidRPr="00A62F86">
        <w:rPr>
          <w:rFonts w:ascii="Arial" w:hAnsi="Arial" w:cs="Arial"/>
        </w:rPr>
        <w:t>3.2 SDG 4: Impact on Health</w:t>
      </w:r>
      <w:bookmarkEnd w:id="18"/>
    </w:p>
    <w:p w14:paraId="3EEB71B7" w14:textId="68F6D5F1" w:rsidR="009C2B0E" w:rsidRPr="00A62F86" w:rsidRDefault="009C2B0E" w:rsidP="00A62F86">
      <w:pPr>
        <w:spacing w:line="360" w:lineRule="auto"/>
        <w:jc w:val="both"/>
        <w:rPr>
          <w:rFonts w:ascii="Arial" w:hAnsi="Arial" w:cs="Arial"/>
        </w:rPr>
      </w:pPr>
      <w:r w:rsidRPr="00A62F86">
        <w:rPr>
          <w:rFonts w:ascii="Arial" w:hAnsi="Arial" w:cs="Arial"/>
        </w:rPr>
        <w:t xml:space="preserve">Investing in children from an early age has been demonstrated to be beneficial throughout life (Heckman, 2006). It has been shown that such investments contribute to the development of both cognitive and non-cognitive skills, which help individuals make informed decisions about adopting healthy diets and avoiding risky medical </w:t>
      </w:r>
      <w:r w:rsidR="00FA6205" w:rsidRPr="00A62F86">
        <w:rPr>
          <w:rFonts w:ascii="Arial" w:hAnsi="Arial" w:cs="Arial"/>
        </w:rPr>
        <w:t>behaviours</w:t>
      </w:r>
      <w:r w:rsidRPr="00A62F86">
        <w:rPr>
          <w:rFonts w:ascii="Arial" w:hAnsi="Arial" w:cs="Arial"/>
        </w:rPr>
        <w:t>. An educated person has a higher life expectancy and a lower incidence of chronic illnesses such as obesity or cardiovascular problems.</w:t>
      </w:r>
    </w:p>
    <w:p w14:paraId="69764010" w14:textId="55BF6AE6" w:rsidR="009C2B0E" w:rsidRPr="00A62F86" w:rsidRDefault="009C2B0E" w:rsidP="00A62F86">
      <w:pPr>
        <w:spacing w:line="360" w:lineRule="auto"/>
        <w:jc w:val="both"/>
        <w:rPr>
          <w:rFonts w:ascii="Arial" w:hAnsi="Arial" w:cs="Arial"/>
        </w:rPr>
      </w:pPr>
      <w:r w:rsidRPr="00A62F86">
        <w:rPr>
          <w:rFonts w:ascii="Arial" w:hAnsi="Arial" w:cs="Arial"/>
        </w:rPr>
        <w:t xml:space="preserve">In the UK, Blanden and Machin (2013) </w:t>
      </w:r>
      <w:r w:rsidR="00FA6205" w:rsidRPr="00A62F86">
        <w:rPr>
          <w:rFonts w:ascii="Arial" w:hAnsi="Arial" w:cs="Arial"/>
        </w:rPr>
        <w:t>analysed</w:t>
      </w:r>
      <w:r w:rsidRPr="00A62F86">
        <w:rPr>
          <w:rFonts w:ascii="Arial" w:hAnsi="Arial" w:cs="Arial"/>
        </w:rPr>
        <w:t xml:space="preserve"> the impact of expanding access to higher education. While some benefits emerged, such as increased participation by many children from disadvantaged backgrounds, the authors note that these students often achieve poorer results due to the low quality of their pre-university education. Many students from these backgrounds drop out due to financial stress. The unequal representation at prestigious universities for this group of students is well-known. Those from wealthy families are overrepresented at elite universities, while those from </w:t>
      </w:r>
      <w:r w:rsidRPr="00A62F86">
        <w:rPr>
          <w:rFonts w:ascii="Arial" w:hAnsi="Arial" w:cs="Arial"/>
        </w:rPr>
        <w:lastRenderedPageBreak/>
        <w:t>disadvantaged families are nearly absent. Therefore, it is recommended to improve pre-university education and provide larger scholarships for disadvantaged students.</w:t>
      </w:r>
    </w:p>
    <w:p w14:paraId="0278369B" w14:textId="4C4876B0" w:rsidR="009C2B0E" w:rsidRPr="00A62F86" w:rsidRDefault="00E447F4" w:rsidP="00A62F86">
      <w:pPr>
        <w:pStyle w:val="Heading1"/>
        <w:spacing w:line="360" w:lineRule="auto"/>
        <w:rPr>
          <w:rFonts w:ascii="Arial" w:hAnsi="Arial" w:cs="Arial"/>
        </w:rPr>
      </w:pPr>
      <w:bookmarkStart w:id="19" w:name="_Toc183895112"/>
      <w:r w:rsidRPr="00A62F86">
        <w:rPr>
          <w:rFonts w:ascii="Arial" w:hAnsi="Arial" w:cs="Arial"/>
        </w:rPr>
        <w:t>4. Conclusion</w:t>
      </w:r>
      <w:bookmarkEnd w:id="19"/>
    </w:p>
    <w:p w14:paraId="0B5B2957" w14:textId="77777777" w:rsidR="00E447F4" w:rsidRPr="00E447F4" w:rsidRDefault="00E447F4" w:rsidP="00A62F86">
      <w:pPr>
        <w:spacing w:line="360" w:lineRule="auto"/>
        <w:jc w:val="both"/>
        <w:rPr>
          <w:rFonts w:ascii="Arial" w:hAnsi="Arial" w:cs="Arial"/>
        </w:rPr>
      </w:pPr>
      <w:r w:rsidRPr="00E447F4">
        <w:rPr>
          <w:rFonts w:ascii="Arial" w:hAnsi="Arial" w:cs="Arial"/>
        </w:rPr>
        <w:t>The impact of SDG 1 shows how the connections between access to education and health improvement can combat poverty. SDG 4, which promotes quality education, demonstrates that sustainable development cannot be achieved without a holistic approach that embraces both material and social, emotional, and cognitive needs of individuals.</w:t>
      </w:r>
    </w:p>
    <w:p w14:paraId="434DA1A2" w14:textId="3E0EA9D4" w:rsidR="00E447F4" w:rsidRPr="00E447F4" w:rsidRDefault="00E447F4" w:rsidP="00A62F86">
      <w:pPr>
        <w:spacing w:line="360" w:lineRule="auto"/>
        <w:jc w:val="both"/>
        <w:rPr>
          <w:rFonts w:ascii="Arial" w:hAnsi="Arial" w:cs="Arial"/>
        </w:rPr>
      </w:pPr>
      <w:r w:rsidRPr="00E447F4">
        <w:rPr>
          <w:rFonts w:ascii="Arial" w:hAnsi="Arial" w:cs="Arial"/>
        </w:rPr>
        <w:t xml:space="preserve">The recommendations of this theme highlight the need for more intensive use of technology as a tool for eradicating poverty. Financial technologies, or FinTech, should be introduced more broadly into society through mobile applications for money transfers. A strong recommendation is </w:t>
      </w:r>
      <w:r w:rsidRPr="00E447F4">
        <w:rPr>
          <w:rFonts w:ascii="Arial" w:hAnsi="Arial" w:cs="Arial"/>
          <w:i/>
          <w:iCs/>
        </w:rPr>
        <w:t>M-Pesa</w:t>
      </w:r>
      <w:r w:rsidRPr="00E447F4">
        <w:rPr>
          <w:rFonts w:ascii="Arial" w:hAnsi="Arial" w:cs="Arial"/>
        </w:rPr>
        <w:t xml:space="preserve"> in Kenya, which demonstrates how access to digital money can reduce barriers to poverty by providing people with secure financial tools. Blockchain technology, recognized for its transparency, could also be applied. This would eliminate intermediary fees, ensuring that funds reach beneficiaries directly and entirely. This would also reduce the risk of corruption, which may arise throughout the payment chain. Essentially, the government could create a secure digital wallet for all aid recipients, accessible from any smartphone. Funds could be transferred automatically through applications that certify, for instance, the </w:t>
      </w:r>
      <w:r w:rsidR="00FA6205" w:rsidRPr="00E447F4">
        <w:rPr>
          <w:rFonts w:ascii="Arial" w:hAnsi="Arial" w:cs="Arial"/>
        </w:rPr>
        <w:t>fulfilment</w:t>
      </w:r>
      <w:r w:rsidRPr="00E447F4">
        <w:rPr>
          <w:rFonts w:ascii="Arial" w:hAnsi="Arial" w:cs="Arial"/>
        </w:rPr>
        <w:t xml:space="preserve"> of conditions such as children’s school </w:t>
      </w:r>
      <w:r w:rsidR="00FA6205" w:rsidRPr="00E447F4">
        <w:rPr>
          <w:rFonts w:ascii="Arial" w:hAnsi="Arial" w:cs="Arial"/>
        </w:rPr>
        <w:t>enrolment</w:t>
      </w:r>
      <w:r w:rsidRPr="00E447F4">
        <w:rPr>
          <w:rFonts w:ascii="Arial" w:hAnsi="Arial" w:cs="Arial"/>
        </w:rPr>
        <w:t>. The entire network could thus be monitored in real-time, enabling the best decisions to be made almost instantly.</w:t>
      </w:r>
    </w:p>
    <w:p w14:paraId="143E9214" w14:textId="3A3BFB78" w:rsidR="00E447F4" w:rsidRPr="00E447F4" w:rsidRDefault="00E447F4" w:rsidP="00A62F86">
      <w:pPr>
        <w:spacing w:line="360" w:lineRule="auto"/>
        <w:jc w:val="both"/>
        <w:rPr>
          <w:rFonts w:ascii="Arial" w:hAnsi="Arial" w:cs="Arial"/>
        </w:rPr>
      </w:pPr>
      <w:r w:rsidRPr="00E447F4">
        <w:rPr>
          <w:rFonts w:ascii="Arial" w:hAnsi="Arial" w:cs="Arial"/>
        </w:rPr>
        <w:t xml:space="preserve">In conclusion, global collaboration and the development and integration of digital technologies can create innovative solutions for reducing poverty and promoting education. </w:t>
      </w:r>
      <w:r w:rsidR="00475D1D" w:rsidRPr="00475D1D">
        <w:rPr>
          <w:rFonts w:ascii="Arial" w:hAnsi="Arial" w:cs="Arial"/>
        </w:rPr>
        <w:t xml:space="preserve">According to ITU (2020), expanding access to digital technologies and global connectivity is essential for the economic and educational integration of marginalized </w:t>
      </w:r>
      <w:r w:rsidR="00FA6205" w:rsidRPr="00475D1D">
        <w:rPr>
          <w:rFonts w:ascii="Arial" w:hAnsi="Arial" w:cs="Arial"/>
        </w:rPr>
        <w:t>communities.</w:t>
      </w:r>
      <w:r w:rsidR="00475D1D">
        <w:rPr>
          <w:rFonts w:ascii="Arial" w:hAnsi="Arial" w:cs="Arial"/>
        </w:rPr>
        <w:t xml:space="preserve"> </w:t>
      </w:r>
      <w:r w:rsidRPr="00E447F4">
        <w:rPr>
          <w:rFonts w:ascii="Arial" w:hAnsi="Arial" w:cs="Arial"/>
        </w:rPr>
        <w:t>Once these technologies are developed, telemedicine and interactive educational programs will help and support vulnerable communities. Investments in digital infrastructure, internet access, and technological education can accelerate progress toward the Sustainable Development Goals, ensuring inclusion and sustainability for all people on this planet.</w:t>
      </w:r>
    </w:p>
    <w:p w14:paraId="10C7109C" w14:textId="678F6838" w:rsidR="00392635" w:rsidRPr="00A62F86" w:rsidRDefault="00392635" w:rsidP="00A62F86">
      <w:pPr>
        <w:spacing w:line="360" w:lineRule="auto"/>
        <w:rPr>
          <w:rFonts w:ascii="Arial" w:hAnsi="Arial" w:cs="Arial"/>
        </w:rPr>
      </w:pPr>
    </w:p>
    <w:p w14:paraId="61E41949" w14:textId="77777777" w:rsidR="00392635" w:rsidRPr="00A62F86" w:rsidRDefault="00392635" w:rsidP="00A62F86">
      <w:pPr>
        <w:spacing w:line="360" w:lineRule="auto"/>
        <w:rPr>
          <w:rFonts w:ascii="Arial" w:hAnsi="Arial" w:cs="Arial"/>
          <w:b/>
          <w:bCs/>
          <w:sz w:val="22"/>
          <w:szCs w:val="22"/>
        </w:rPr>
      </w:pPr>
      <w:bookmarkStart w:id="20" w:name="_Toc183895113"/>
      <w:r w:rsidRPr="00A62F86">
        <w:rPr>
          <w:rStyle w:val="Heading1Char"/>
          <w:rFonts w:ascii="Arial" w:hAnsi="Arial" w:cs="Arial"/>
        </w:rPr>
        <w:lastRenderedPageBreak/>
        <w:t>References</w:t>
      </w:r>
      <w:bookmarkEnd w:id="20"/>
    </w:p>
    <w:p w14:paraId="3FF35579"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Ball, S.J. (2017). </w:t>
      </w:r>
      <w:r w:rsidRPr="00B33CA8">
        <w:rPr>
          <w:rFonts w:ascii="Arial" w:hAnsi="Arial" w:cs="Arial"/>
          <w:i/>
          <w:iCs/>
        </w:rPr>
        <w:t>The Education Debate</w:t>
      </w:r>
      <w:r w:rsidRPr="00B33CA8">
        <w:rPr>
          <w:rFonts w:ascii="Arial" w:hAnsi="Arial" w:cs="Arial"/>
        </w:rPr>
        <w:t>. Policy Press.</w:t>
      </w:r>
    </w:p>
    <w:p w14:paraId="7522C80A" w14:textId="77777777" w:rsidR="00CB21BD" w:rsidRPr="00B33CA8" w:rsidRDefault="00CB21BD" w:rsidP="00B33CA8">
      <w:pPr>
        <w:spacing w:line="360" w:lineRule="auto"/>
        <w:ind w:left="360"/>
        <w:rPr>
          <w:rFonts w:ascii="Arial" w:hAnsi="Arial" w:cs="Arial"/>
        </w:rPr>
      </w:pPr>
      <w:r w:rsidRPr="00B33CA8">
        <w:rPr>
          <w:rFonts w:ascii="Arial" w:hAnsi="Arial" w:cs="Arial"/>
        </w:rPr>
        <w:t>Blanden, J. and Machin, S. (2007). Recent Changes in Intergenerational Mobility in Britain. Sutton Trust.</w:t>
      </w:r>
    </w:p>
    <w:p w14:paraId="5261139B"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Blanden, J. and Machin, S. (2013). Educational Inequality and the Expansion of UK Higher Education. </w:t>
      </w:r>
      <w:r w:rsidRPr="00B33CA8">
        <w:rPr>
          <w:rFonts w:ascii="Arial" w:hAnsi="Arial" w:cs="Arial"/>
          <w:i/>
          <w:iCs/>
        </w:rPr>
        <w:t>Scottish Journal of Political Economy</w:t>
      </w:r>
      <w:r w:rsidRPr="00B33CA8">
        <w:rPr>
          <w:rFonts w:ascii="Arial" w:hAnsi="Arial" w:cs="Arial"/>
        </w:rPr>
        <w:t>, 60(5), pp. 597–623.</w:t>
      </w:r>
    </w:p>
    <w:p w14:paraId="7139F167"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Blanden, J., Gregg, P. and Macmillan, L. (2013). Intergenerational Persistence in Income and Social Class: The Effect of Within-Group Inequality. </w:t>
      </w:r>
      <w:r w:rsidRPr="00B33CA8">
        <w:rPr>
          <w:rFonts w:ascii="Arial" w:hAnsi="Arial" w:cs="Arial"/>
          <w:i/>
          <w:iCs/>
        </w:rPr>
        <w:t>Journal of the Royal Statistical Society: Series A (Statistics in Society)</w:t>
      </w:r>
      <w:r w:rsidRPr="00B33CA8">
        <w:rPr>
          <w:rFonts w:ascii="Arial" w:hAnsi="Arial" w:cs="Arial"/>
        </w:rPr>
        <w:t xml:space="preserve">, 176(2), pp. 541–563. Available at: </w:t>
      </w:r>
      <w:hyperlink r:id="rId10" w:tgtFrame="_new" w:history="1">
        <w:r w:rsidRPr="00B33CA8">
          <w:rPr>
            <w:rStyle w:val="Hyperlink"/>
            <w:rFonts w:ascii="Arial" w:hAnsi="Arial" w:cs="Arial"/>
          </w:rPr>
          <w:t>https://www.jstor.org/stable/23355204</w:t>
        </w:r>
      </w:hyperlink>
      <w:r w:rsidRPr="00B33CA8">
        <w:rPr>
          <w:rFonts w:ascii="Arial" w:hAnsi="Arial" w:cs="Arial"/>
        </w:rPr>
        <w:t xml:space="preserve"> [Accessed 30 November 2024].</w:t>
      </w:r>
    </w:p>
    <w:p w14:paraId="56EF034A"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Department for Work and Pensions (2024). </w:t>
      </w:r>
      <w:r w:rsidRPr="00B33CA8">
        <w:rPr>
          <w:rFonts w:ascii="Arial" w:hAnsi="Arial" w:cs="Arial"/>
          <w:i/>
          <w:iCs/>
        </w:rPr>
        <w:t>Households Below Average Income: An analysis of the UK income distribution: FYE 1995 to FYE 2023</w:t>
      </w:r>
      <w:r w:rsidRPr="00B33CA8">
        <w:rPr>
          <w:rFonts w:ascii="Arial" w:hAnsi="Arial" w:cs="Arial"/>
        </w:rPr>
        <w:t xml:space="preserve">. Available at: </w:t>
      </w:r>
      <w:hyperlink r:id="rId11" w:tgtFrame="_new" w:history="1">
        <w:r w:rsidRPr="00B33CA8">
          <w:rPr>
            <w:rStyle w:val="Hyperlink"/>
            <w:rFonts w:ascii="Arial" w:hAnsi="Arial" w:cs="Arial"/>
          </w:rPr>
          <w:t>https://www.gov.uk/government/statistics/households-below-average-income-for-financial-years-ending-1995-to-2023/households-below-average-income-an-analysis-of-the-uk-income-distribution-fye-1995-to-fye-2023</w:t>
        </w:r>
      </w:hyperlink>
      <w:r w:rsidRPr="00B33CA8">
        <w:rPr>
          <w:rFonts w:ascii="Arial" w:hAnsi="Arial" w:cs="Arial"/>
        </w:rPr>
        <w:t xml:space="preserve"> [Accessed 27 November 2024].</w:t>
      </w:r>
    </w:p>
    <w:p w14:paraId="2A5E05ED"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Dorling, D. (2015). </w:t>
      </w:r>
      <w:r w:rsidRPr="00B33CA8">
        <w:rPr>
          <w:rFonts w:ascii="Arial" w:hAnsi="Arial" w:cs="Arial"/>
          <w:i/>
          <w:iCs/>
        </w:rPr>
        <w:t>Injustice: Why Social Inequality Still Persists</w:t>
      </w:r>
      <w:r w:rsidRPr="00B33CA8">
        <w:rPr>
          <w:rFonts w:ascii="Arial" w:hAnsi="Arial" w:cs="Arial"/>
        </w:rPr>
        <w:t>. Policy Press.</w:t>
      </w:r>
    </w:p>
    <w:p w14:paraId="741618FB"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Education Endowment Foundation (2020). </w:t>
      </w:r>
      <w:r w:rsidRPr="00B33CA8">
        <w:rPr>
          <w:rFonts w:ascii="Arial" w:hAnsi="Arial" w:cs="Arial"/>
          <w:i/>
          <w:iCs/>
        </w:rPr>
        <w:t>Individualised Tutoring and Its Impact</w:t>
      </w:r>
      <w:r w:rsidRPr="00B33CA8">
        <w:rPr>
          <w:rFonts w:ascii="Arial" w:hAnsi="Arial" w:cs="Arial"/>
        </w:rPr>
        <w:t>.</w:t>
      </w:r>
    </w:p>
    <w:p w14:paraId="0EC944C1"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Fiszbein, A. and Schady, N. (2009). </w:t>
      </w:r>
      <w:r w:rsidRPr="00B33CA8">
        <w:rPr>
          <w:rFonts w:ascii="Arial" w:hAnsi="Arial" w:cs="Arial"/>
          <w:i/>
          <w:iCs/>
        </w:rPr>
        <w:t>Conditional Cash Transfers: Reducing Present and Future Poverty</w:t>
      </w:r>
      <w:r w:rsidRPr="00B33CA8">
        <w:rPr>
          <w:rFonts w:ascii="Arial" w:hAnsi="Arial" w:cs="Arial"/>
        </w:rPr>
        <w:t>. Washington, DC: World Bank.</w:t>
      </w:r>
    </w:p>
    <w:p w14:paraId="5A5F656C"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Gertler, P., Martinez, S. and Rubio-Codina, M. (2012). Investing in Health: The Long-Term Impact of Progresa on Child Health. </w:t>
      </w:r>
      <w:r w:rsidRPr="00B33CA8">
        <w:rPr>
          <w:rFonts w:ascii="Arial" w:hAnsi="Arial" w:cs="Arial"/>
          <w:i/>
          <w:iCs/>
        </w:rPr>
        <w:t>Journal of Public Economics</w:t>
      </w:r>
      <w:r w:rsidRPr="00B33CA8">
        <w:rPr>
          <w:rFonts w:ascii="Arial" w:hAnsi="Arial" w:cs="Arial"/>
        </w:rPr>
        <w:t>, 96(5–6), pp. 512–523.</w:t>
      </w:r>
    </w:p>
    <w:p w14:paraId="18C2BAC0"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Heckman, J.J. (2006). Skill Formation and the Economics of Investing in Disadvantaged Children. </w:t>
      </w:r>
      <w:r w:rsidRPr="00B33CA8">
        <w:rPr>
          <w:rFonts w:ascii="Arial" w:hAnsi="Arial" w:cs="Arial"/>
          <w:i/>
          <w:iCs/>
        </w:rPr>
        <w:t>Science</w:t>
      </w:r>
      <w:r w:rsidRPr="00B33CA8">
        <w:rPr>
          <w:rFonts w:ascii="Arial" w:hAnsi="Arial" w:cs="Arial"/>
        </w:rPr>
        <w:t>, 312(5782), pp. 1900–1902.</w:t>
      </w:r>
    </w:p>
    <w:p w14:paraId="01831B6A"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International Telecommunication Union (2020). </w:t>
      </w:r>
      <w:r w:rsidRPr="00B33CA8">
        <w:rPr>
          <w:rFonts w:ascii="Arial" w:hAnsi="Arial" w:cs="Arial"/>
          <w:i/>
          <w:iCs/>
        </w:rPr>
        <w:t>Measuring Digital Development: Facts and Figures 2020</w:t>
      </w:r>
      <w:r w:rsidRPr="00B33CA8">
        <w:rPr>
          <w:rFonts w:ascii="Arial" w:hAnsi="Arial" w:cs="Arial"/>
        </w:rPr>
        <w:t>. Geneva: ITU. Available at: https://www.itu.int/en/publications [Accessed 30 November 2024].</w:t>
      </w:r>
    </w:p>
    <w:p w14:paraId="1DBF65CF" w14:textId="77777777" w:rsidR="00CB21BD" w:rsidRPr="00B33CA8" w:rsidRDefault="00CB21BD" w:rsidP="00B33CA8">
      <w:pPr>
        <w:spacing w:line="360" w:lineRule="auto"/>
        <w:ind w:left="360"/>
        <w:rPr>
          <w:rFonts w:ascii="Arial" w:hAnsi="Arial" w:cs="Arial"/>
        </w:rPr>
      </w:pPr>
      <w:r w:rsidRPr="00B33CA8">
        <w:rPr>
          <w:rFonts w:ascii="Arial" w:hAnsi="Arial" w:cs="Arial"/>
        </w:rPr>
        <w:lastRenderedPageBreak/>
        <w:t xml:space="preserve">Joseph Rowntree Foundation (2022). </w:t>
      </w:r>
      <w:r w:rsidRPr="00B33CA8">
        <w:rPr>
          <w:rFonts w:ascii="Arial" w:hAnsi="Arial" w:cs="Arial"/>
          <w:i/>
          <w:iCs/>
        </w:rPr>
        <w:t>UK Poverty Report: Causes and Solutions</w:t>
      </w:r>
      <w:r w:rsidRPr="00B33CA8">
        <w:rPr>
          <w:rFonts w:ascii="Arial" w:hAnsi="Arial" w:cs="Arial"/>
        </w:rPr>
        <w:t>. Joseph Rowntree Foundation.</w:t>
      </w:r>
    </w:p>
    <w:p w14:paraId="52B187CC"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Joseph Rowntree Foundation (2024). </w:t>
      </w:r>
      <w:r w:rsidRPr="00B33CA8">
        <w:rPr>
          <w:rFonts w:ascii="Arial" w:hAnsi="Arial" w:cs="Arial"/>
          <w:i/>
          <w:iCs/>
        </w:rPr>
        <w:t>UK Poverty 2024: The essential guide to understanding poverty in the UK</w:t>
      </w:r>
      <w:r w:rsidRPr="00B33CA8">
        <w:rPr>
          <w:rFonts w:ascii="Arial" w:hAnsi="Arial" w:cs="Arial"/>
        </w:rPr>
        <w:t xml:space="preserve">. Available at: </w:t>
      </w:r>
      <w:hyperlink r:id="rId12" w:tgtFrame="_new" w:history="1">
        <w:r w:rsidRPr="00B33CA8">
          <w:rPr>
            <w:rStyle w:val="Hyperlink"/>
            <w:rFonts w:ascii="Arial" w:hAnsi="Arial" w:cs="Arial"/>
          </w:rPr>
          <w:t>https://www.jrf.org.uk/pdf/15211</w:t>
        </w:r>
      </w:hyperlink>
      <w:r w:rsidRPr="00B33CA8">
        <w:rPr>
          <w:rFonts w:ascii="Arial" w:hAnsi="Arial" w:cs="Arial"/>
        </w:rPr>
        <w:t xml:space="preserve"> [Accessed 27 November 2024].</w:t>
      </w:r>
    </w:p>
    <w:p w14:paraId="7FB37B07"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Levy, S. (2006). </w:t>
      </w:r>
      <w:r w:rsidRPr="00B33CA8">
        <w:rPr>
          <w:rFonts w:ascii="Arial" w:hAnsi="Arial" w:cs="Arial"/>
          <w:i/>
          <w:iCs/>
        </w:rPr>
        <w:t>Progress Against Poverty: Sustaining Mexico’s Progresa-Oportunidades Program</w:t>
      </w:r>
      <w:r w:rsidRPr="00B33CA8">
        <w:rPr>
          <w:rFonts w:ascii="Arial" w:hAnsi="Arial" w:cs="Arial"/>
        </w:rPr>
        <w:t>. Brookings Institution Press.</w:t>
      </w:r>
    </w:p>
    <w:p w14:paraId="2383C2DE"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Machin, S. and Vignoles, A. (2005). </w:t>
      </w:r>
      <w:r w:rsidRPr="00B33CA8">
        <w:rPr>
          <w:rFonts w:ascii="Arial" w:hAnsi="Arial" w:cs="Arial"/>
          <w:i/>
          <w:iCs/>
        </w:rPr>
        <w:t>What's the Good of Education? The Economics of Education in the UK</w:t>
      </w:r>
      <w:r w:rsidRPr="00B33CA8">
        <w:rPr>
          <w:rFonts w:ascii="Arial" w:hAnsi="Arial" w:cs="Arial"/>
        </w:rPr>
        <w:t>. Princeton University Press.</w:t>
      </w:r>
    </w:p>
    <w:p w14:paraId="10D773ED"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MacInnes, T., Aldridge, H., Bushe, S., Kenway, P. and Tinson, A. (2014). </w:t>
      </w:r>
      <w:r w:rsidRPr="00B33CA8">
        <w:rPr>
          <w:rFonts w:ascii="Arial" w:hAnsi="Arial" w:cs="Arial"/>
          <w:i/>
          <w:iCs/>
        </w:rPr>
        <w:t>Monitoring Poverty and Social Exclusion 2014</w:t>
      </w:r>
      <w:r w:rsidRPr="00B33CA8">
        <w:rPr>
          <w:rFonts w:ascii="Arial" w:hAnsi="Arial" w:cs="Arial"/>
        </w:rPr>
        <w:t xml:space="preserve">. Joseph Rowntree Foundation. Available at: </w:t>
      </w:r>
      <w:hyperlink r:id="rId13" w:tgtFrame="_new" w:history="1">
        <w:r w:rsidRPr="00B33CA8">
          <w:rPr>
            <w:rStyle w:val="Hyperlink"/>
            <w:rFonts w:ascii="Arial" w:hAnsi="Arial" w:cs="Arial"/>
          </w:rPr>
          <w:t>https://www.npi.org.uk/files/8214/1658/1400/Monitoring_Poverty_and_Social_Exclusion_2014.pdf</w:t>
        </w:r>
      </w:hyperlink>
      <w:r w:rsidRPr="00B33CA8">
        <w:rPr>
          <w:rFonts w:ascii="Arial" w:hAnsi="Arial" w:cs="Arial"/>
        </w:rPr>
        <w:t xml:space="preserve"> [Accessed 30 November 2024].</w:t>
      </w:r>
    </w:p>
    <w:p w14:paraId="34870432"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Marmot, M. (2010). </w:t>
      </w:r>
      <w:r w:rsidRPr="00B33CA8">
        <w:rPr>
          <w:rFonts w:ascii="Arial" w:hAnsi="Arial" w:cs="Arial"/>
          <w:i/>
          <w:iCs/>
        </w:rPr>
        <w:t>Fair Society, Healthy Lives: The Marmot Review</w:t>
      </w:r>
      <w:r w:rsidRPr="00B33CA8">
        <w:rPr>
          <w:rFonts w:ascii="Arial" w:hAnsi="Arial" w:cs="Arial"/>
        </w:rPr>
        <w:t>. Institute of Health Equity.</w:t>
      </w:r>
    </w:p>
    <w:p w14:paraId="3AB8B560"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National Audit Office (2017). </w:t>
      </w:r>
      <w:r w:rsidRPr="00B33CA8">
        <w:rPr>
          <w:rFonts w:ascii="Arial" w:hAnsi="Arial" w:cs="Arial"/>
          <w:i/>
          <w:iCs/>
        </w:rPr>
        <w:t>Homelessness</w:t>
      </w:r>
      <w:r w:rsidRPr="00B33CA8">
        <w:rPr>
          <w:rFonts w:ascii="Arial" w:hAnsi="Arial" w:cs="Arial"/>
        </w:rPr>
        <w:t xml:space="preserve">. Available at: </w:t>
      </w:r>
      <w:hyperlink r:id="rId14" w:tgtFrame="_new" w:history="1">
        <w:r w:rsidRPr="00B33CA8">
          <w:rPr>
            <w:rStyle w:val="Hyperlink"/>
            <w:rFonts w:ascii="Arial" w:hAnsi="Arial" w:cs="Arial"/>
          </w:rPr>
          <w:t>https://www.nao.org.uk/wp-content/uploads/2017/09/Homelessness.pdf</w:t>
        </w:r>
      </w:hyperlink>
      <w:r w:rsidRPr="00B33CA8">
        <w:rPr>
          <w:rFonts w:ascii="Arial" w:hAnsi="Arial" w:cs="Arial"/>
        </w:rPr>
        <w:t xml:space="preserve"> [Accessed 30 November 2024].</w:t>
      </w:r>
    </w:p>
    <w:p w14:paraId="5B12FB17"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National Tutoring Programme (2023). </w:t>
      </w:r>
      <w:r w:rsidRPr="00B33CA8">
        <w:rPr>
          <w:rFonts w:ascii="Arial" w:hAnsi="Arial" w:cs="Arial"/>
          <w:i/>
          <w:iCs/>
        </w:rPr>
        <w:t>Annual Impact Report</w:t>
      </w:r>
      <w:r w:rsidRPr="00B33CA8">
        <w:rPr>
          <w:rFonts w:ascii="Arial" w:hAnsi="Arial" w:cs="Arial"/>
        </w:rPr>
        <w:t>.</w:t>
      </w:r>
    </w:p>
    <w:p w14:paraId="02378BAF"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OECD (2012). </w:t>
      </w:r>
      <w:r w:rsidRPr="00B33CA8">
        <w:rPr>
          <w:rFonts w:ascii="Arial" w:hAnsi="Arial" w:cs="Arial"/>
          <w:i/>
          <w:iCs/>
        </w:rPr>
        <w:t>Equity and Quality in Education: Supporting Disadvantaged Students and Schools</w:t>
      </w:r>
      <w:r w:rsidRPr="00B33CA8">
        <w:rPr>
          <w:rFonts w:ascii="Arial" w:hAnsi="Arial" w:cs="Arial"/>
        </w:rPr>
        <w:t xml:space="preserve">. OECD Publishing. Available at: </w:t>
      </w:r>
      <w:hyperlink r:id="rId15" w:tgtFrame="_new" w:history="1">
        <w:r w:rsidRPr="00B33CA8">
          <w:rPr>
            <w:rStyle w:val="Hyperlink"/>
            <w:rFonts w:ascii="Arial" w:hAnsi="Arial" w:cs="Arial"/>
          </w:rPr>
          <w:t>https://www.oecd-ilibrary.org/education/equity-and-quality-in-education_9789264130852-en</w:t>
        </w:r>
      </w:hyperlink>
      <w:r w:rsidRPr="00B33CA8">
        <w:rPr>
          <w:rFonts w:ascii="Arial" w:hAnsi="Arial" w:cs="Arial"/>
        </w:rPr>
        <w:t xml:space="preserve"> [Accessed 30 November 2024].</w:t>
      </w:r>
    </w:p>
    <w:p w14:paraId="27F66263"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OECD (2021). </w:t>
      </w:r>
      <w:r w:rsidRPr="00B33CA8">
        <w:rPr>
          <w:rFonts w:ascii="Arial" w:hAnsi="Arial" w:cs="Arial"/>
          <w:i/>
          <w:iCs/>
        </w:rPr>
        <w:t xml:space="preserve">Education </w:t>
      </w:r>
      <w:proofErr w:type="gramStart"/>
      <w:r w:rsidRPr="00B33CA8">
        <w:rPr>
          <w:rFonts w:ascii="Arial" w:hAnsi="Arial" w:cs="Arial"/>
          <w:i/>
          <w:iCs/>
        </w:rPr>
        <w:t>at a Glance</w:t>
      </w:r>
      <w:proofErr w:type="gramEnd"/>
      <w:r w:rsidRPr="00B33CA8">
        <w:rPr>
          <w:rFonts w:ascii="Arial" w:hAnsi="Arial" w:cs="Arial"/>
          <w:i/>
          <w:iCs/>
        </w:rPr>
        <w:t xml:space="preserve"> 2021: OECD Indicators</w:t>
      </w:r>
      <w:r w:rsidRPr="00B33CA8">
        <w:rPr>
          <w:rFonts w:ascii="Arial" w:hAnsi="Arial" w:cs="Arial"/>
        </w:rPr>
        <w:t>. Paris: OECD Publishing. Available at: https://www.oecd.org/education/education-at-a-glance/ [Accessed 30 November 2024].</w:t>
      </w:r>
    </w:p>
    <w:p w14:paraId="32293115"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Sen, A. (1999). </w:t>
      </w:r>
      <w:r w:rsidRPr="00B33CA8">
        <w:rPr>
          <w:rFonts w:ascii="Arial" w:hAnsi="Arial" w:cs="Arial"/>
          <w:i/>
          <w:iCs/>
        </w:rPr>
        <w:t>Development as Freedom</w:t>
      </w:r>
      <w:r w:rsidRPr="00B33CA8">
        <w:rPr>
          <w:rFonts w:ascii="Arial" w:hAnsi="Arial" w:cs="Arial"/>
        </w:rPr>
        <w:t>. Oxford University Press.</w:t>
      </w:r>
    </w:p>
    <w:p w14:paraId="714CB730" w14:textId="77777777" w:rsidR="00CB21BD" w:rsidRPr="00B33CA8" w:rsidRDefault="00CB21BD" w:rsidP="00B33CA8">
      <w:pPr>
        <w:spacing w:line="360" w:lineRule="auto"/>
        <w:ind w:left="360"/>
        <w:rPr>
          <w:rFonts w:ascii="Arial" w:hAnsi="Arial" w:cs="Arial"/>
        </w:rPr>
      </w:pPr>
      <w:r w:rsidRPr="00B33CA8">
        <w:rPr>
          <w:rFonts w:ascii="Arial" w:hAnsi="Arial" w:cs="Arial"/>
        </w:rPr>
        <w:lastRenderedPageBreak/>
        <w:t xml:space="preserve">Social Mobility Commission (2019). </w:t>
      </w:r>
      <w:r w:rsidRPr="00B33CA8">
        <w:rPr>
          <w:rFonts w:ascii="Arial" w:hAnsi="Arial" w:cs="Arial"/>
          <w:i/>
          <w:iCs/>
        </w:rPr>
        <w:t>State of the Nation 2018-19: Social Mobility in Great Britain</w:t>
      </w:r>
      <w:r w:rsidRPr="00B33CA8">
        <w:rPr>
          <w:rFonts w:ascii="Arial" w:hAnsi="Arial" w:cs="Arial"/>
        </w:rPr>
        <w:t xml:space="preserve">. Available at: </w:t>
      </w:r>
      <w:hyperlink r:id="rId16" w:tgtFrame="_new" w:history="1">
        <w:r w:rsidRPr="00B33CA8">
          <w:rPr>
            <w:rStyle w:val="Hyperlink"/>
            <w:rFonts w:ascii="Arial" w:hAnsi="Arial" w:cs="Arial"/>
          </w:rPr>
          <w:t>https://assets.publishing.service.gov.uk/government/uploads/system/uploads/attachment_data/file/798404/SMC_State_of_the_Nation_Report_2018-19.pdf</w:t>
        </w:r>
      </w:hyperlink>
      <w:r w:rsidRPr="00B33CA8">
        <w:rPr>
          <w:rFonts w:ascii="Arial" w:hAnsi="Arial" w:cs="Arial"/>
        </w:rPr>
        <w:t xml:space="preserve"> [Accessed 27 November 2024].</w:t>
      </w:r>
    </w:p>
    <w:p w14:paraId="271C8DFF"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Sutton Trust (2017). </w:t>
      </w:r>
      <w:r w:rsidRPr="00B33CA8">
        <w:rPr>
          <w:rFonts w:ascii="Arial" w:hAnsi="Arial" w:cs="Arial"/>
          <w:i/>
          <w:iCs/>
        </w:rPr>
        <w:t>Extra Time: Private tuition and out-of-school study</w:t>
      </w:r>
      <w:r w:rsidRPr="00B33CA8">
        <w:rPr>
          <w:rFonts w:ascii="Arial" w:hAnsi="Arial" w:cs="Arial"/>
        </w:rPr>
        <w:t xml:space="preserve">. Available at: </w:t>
      </w:r>
      <w:hyperlink r:id="rId17" w:tgtFrame="_new" w:history="1">
        <w:r w:rsidRPr="00B33CA8">
          <w:rPr>
            <w:rStyle w:val="Hyperlink"/>
            <w:rFonts w:ascii="Arial" w:hAnsi="Arial" w:cs="Arial"/>
          </w:rPr>
          <w:t>https://www.suttontrust.com/wp-content/uploads/2017/09/Extra-time-report_FINAL.pdf</w:t>
        </w:r>
      </w:hyperlink>
      <w:r w:rsidRPr="00B33CA8">
        <w:rPr>
          <w:rFonts w:ascii="Arial" w:hAnsi="Arial" w:cs="Arial"/>
        </w:rPr>
        <w:t xml:space="preserve"> [Accessed 27 November 2024].</w:t>
      </w:r>
    </w:p>
    <w:p w14:paraId="0D80364C"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Sutton Trust (2022). </w:t>
      </w:r>
      <w:r w:rsidRPr="00B33CA8">
        <w:rPr>
          <w:rFonts w:ascii="Arial" w:hAnsi="Arial" w:cs="Arial"/>
          <w:i/>
          <w:iCs/>
        </w:rPr>
        <w:t>Improving Access to Higher Education through Mentoring</w:t>
      </w:r>
      <w:r w:rsidRPr="00B33CA8">
        <w:rPr>
          <w:rFonts w:ascii="Arial" w:hAnsi="Arial" w:cs="Arial"/>
        </w:rPr>
        <w:t>.</w:t>
      </w:r>
    </w:p>
    <w:p w14:paraId="0AAFC01A"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Sutton Trust (n.d.). </w:t>
      </w:r>
      <w:r w:rsidRPr="00B33CA8">
        <w:rPr>
          <w:rFonts w:ascii="Arial" w:hAnsi="Arial" w:cs="Arial"/>
          <w:i/>
          <w:iCs/>
        </w:rPr>
        <w:t>Our Programmes</w:t>
      </w:r>
      <w:r w:rsidRPr="00B33CA8">
        <w:rPr>
          <w:rFonts w:ascii="Arial" w:hAnsi="Arial" w:cs="Arial"/>
        </w:rPr>
        <w:t xml:space="preserve">. Available at: </w:t>
      </w:r>
      <w:hyperlink r:id="rId18" w:tgtFrame="_new" w:history="1">
        <w:r w:rsidRPr="00B33CA8">
          <w:rPr>
            <w:rStyle w:val="Hyperlink"/>
            <w:rFonts w:ascii="Arial" w:hAnsi="Arial" w:cs="Arial"/>
          </w:rPr>
          <w:t>https://www.suttontrust.com/our-programmes/</w:t>
        </w:r>
      </w:hyperlink>
      <w:r w:rsidRPr="00B33CA8">
        <w:rPr>
          <w:rFonts w:ascii="Arial" w:hAnsi="Arial" w:cs="Arial"/>
        </w:rPr>
        <w:t xml:space="preserve"> [Accessed 30 November 2024].</w:t>
      </w:r>
    </w:p>
    <w:p w14:paraId="13696BA8"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Townsend, P. (1979). </w:t>
      </w:r>
      <w:r w:rsidRPr="00B33CA8">
        <w:rPr>
          <w:rFonts w:ascii="Arial" w:hAnsi="Arial" w:cs="Arial"/>
          <w:i/>
          <w:iCs/>
        </w:rPr>
        <w:t>Poverty in the United Kingdom: A Survey of Household Resources and Standards of Living</w:t>
      </w:r>
      <w:r w:rsidRPr="00B33CA8">
        <w:rPr>
          <w:rFonts w:ascii="Arial" w:hAnsi="Arial" w:cs="Arial"/>
        </w:rPr>
        <w:t>. Penguin Books.</w:t>
      </w:r>
    </w:p>
    <w:p w14:paraId="4E53C713"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UNDP (2022). </w:t>
      </w:r>
      <w:r w:rsidRPr="00B33CA8">
        <w:rPr>
          <w:rFonts w:ascii="Arial" w:hAnsi="Arial" w:cs="Arial"/>
          <w:i/>
          <w:iCs/>
        </w:rPr>
        <w:t>Human Development Report 2022: Uncertain Times, Unsettled Lives</w:t>
      </w:r>
      <w:r w:rsidRPr="00B33CA8">
        <w:rPr>
          <w:rFonts w:ascii="Arial" w:hAnsi="Arial" w:cs="Arial"/>
        </w:rPr>
        <w:t>. New York: United Nations Development Programme. Available at: https://hdr.undp.org/ [Accessed 30 November 2024].</w:t>
      </w:r>
    </w:p>
    <w:p w14:paraId="7F0902D5"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Walker, R. (2014). </w:t>
      </w:r>
      <w:r w:rsidRPr="00B33CA8">
        <w:rPr>
          <w:rFonts w:ascii="Arial" w:hAnsi="Arial" w:cs="Arial"/>
          <w:i/>
          <w:iCs/>
        </w:rPr>
        <w:t>The Shame of Poverty</w:t>
      </w:r>
      <w:r w:rsidRPr="00B33CA8">
        <w:rPr>
          <w:rFonts w:ascii="Arial" w:hAnsi="Arial" w:cs="Arial"/>
        </w:rPr>
        <w:t>. Oxford University Press.</w:t>
      </w:r>
    </w:p>
    <w:p w14:paraId="17BEAAE7" w14:textId="77777777" w:rsidR="00CB21BD" w:rsidRPr="00B33CA8" w:rsidRDefault="00CB21BD" w:rsidP="00B33CA8">
      <w:pPr>
        <w:spacing w:line="360" w:lineRule="auto"/>
        <w:ind w:left="360"/>
        <w:rPr>
          <w:rFonts w:ascii="Arial" w:hAnsi="Arial" w:cs="Arial"/>
        </w:rPr>
      </w:pPr>
      <w:r w:rsidRPr="00B33CA8">
        <w:rPr>
          <w:rFonts w:ascii="Arial" w:hAnsi="Arial" w:cs="Arial"/>
        </w:rPr>
        <w:t xml:space="preserve">World Bank (2021). </w:t>
      </w:r>
      <w:r w:rsidRPr="00B33CA8">
        <w:rPr>
          <w:rFonts w:ascii="Arial" w:hAnsi="Arial" w:cs="Arial"/>
          <w:i/>
          <w:iCs/>
        </w:rPr>
        <w:t>Poverty and Shared Prosperity 2021: Reversals of Fortune</w:t>
      </w:r>
      <w:r w:rsidRPr="00B33CA8">
        <w:rPr>
          <w:rFonts w:ascii="Arial" w:hAnsi="Arial" w:cs="Arial"/>
        </w:rPr>
        <w:t xml:space="preserve">. Washington, DC: World Bank. Available at: </w:t>
      </w:r>
      <w:hyperlink r:id="rId19" w:tgtFrame="_new" w:history="1">
        <w:r w:rsidRPr="00B33CA8">
          <w:rPr>
            <w:rStyle w:val="Hyperlink"/>
            <w:rFonts w:ascii="Arial" w:hAnsi="Arial" w:cs="Arial"/>
          </w:rPr>
          <w:t>https://www.worldbank.org/en/publication/poverty-and-shared-prosperity</w:t>
        </w:r>
      </w:hyperlink>
      <w:r w:rsidRPr="00B33CA8">
        <w:rPr>
          <w:rFonts w:ascii="Arial" w:hAnsi="Arial" w:cs="Arial"/>
        </w:rPr>
        <w:t xml:space="preserve"> [Accessed 30 November 2024].</w:t>
      </w:r>
    </w:p>
    <w:p w14:paraId="0816A39D" w14:textId="77777777" w:rsidR="00E447F4" w:rsidRPr="00A62F86" w:rsidRDefault="00E447F4" w:rsidP="00A62F86">
      <w:pPr>
        <w:spacing w:line="360" w:lineRule="auto"/>
        <w:rPr>
          <w:rFonts w:ascii="Arial" w:hAnsi="Arial" w:cs="Arial"/>
        </w:rPr>
      </w:pPr>
    </w:p>
    <w:sectPr w:rsidR="00E447F4" w:rsidRPr="00A62F86" w:rsidSect="00DB6D3A">
      <w:footerReference w:type="default" r:id="rId20"/>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79C3EF" w14:textId="77777777" w:rsidR="001E0592" w:rsidRDefault="001E0592" w:rsidP="00660178">
      <w:pPr>
        <w:spacing w:after="0" w:line="240" w:lineRule="auto"/>
      </w:pPr>
      <w:r>
        <w:separator/>
      </w:r>
    </w:p>
  </w:endnote>
  <w:endnote w:type="continuationSeparator" w:id="0">
    <w:p w14:paraId="107810D8" w14:textId="77777777" w:rsidR="001E0592" w:rsidRDefault="001E0592" w:rsidP="00660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3126770"/>
      <w:docPartObj>
        <w:docPartGallery w:val="Page Numbers (Bottom of Page)"/>
        <w:docPartUnique/>
      </w:docPartObj>
    </w:sdtPr>
    <w:sdtEndPr>
      <w:rPr>
        <w:noProof/>
      </w:rPr>
    </w:sdtEndPr>
    <w:sdtContent>
      <w:p w14:paraId="4B4EADBA" w14:textId="4EEACBA9" w:rsidR="00660178" w:rsidRDefault="006601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9E1C9B" w14:textId="77777777" w:rsidR="00660178" w:rsidRDefault="006601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2F6A2B" w14:textId="77777777" w:rsidR="001E0592" w:rsidRDefault="001E0592" w:rsidP="00660178">
      <w:pPr>
        <w:spacing w:after="0" w:line="240" w:lineRule="auto"/>
      </w:pPr>
      <w:r>
        <w:separator/>
      </w:r>
    </w:p>
  </w:footnote>
  <w:footnote w:type="continuationSeparator" w:id="0">
    <w:p w14:paraId="1040AABE" w14:textId="77777777" w:rsidR="001E0592" w:rsidRDefault="001E0592" w:rsidP="006601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3700A7"/>
    <w:multiLevelType w:val="hybridMultilevel"/>
    <w:tmpl w:val="6E4E13F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C2E6183"/>
    <w:multiLevelType w:val="hybridMultilevel"/>
    <w:tmpl w:val="37AE655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454789454">
    <w:abstractNumId w:val="0"/>
  </w:num>
  <w:num w:numId="2" w16cid:durableId="18721800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A92"/>
    <w:rsid w:val="00011E05"/>
    <w:rsid w:val="000902C8"/>
    <w:rsid w:val="00157748"/>
    <w:rsid w:val="00195AB5"/>
    <w:rsid w:val="001E0592"/>
    <w:rsid w:val="002F5239"/>
    <w:rsid w:val="00346DAE"/>
    <w:rsid w:val="00392635"/>
    <w:rsid w:val="003B2860"/>
    <w:rsid w:val="003D36F6"/>
    <w:rsid w:val="00462B82"/>
    <w:rsid w:val="00475D1D"/>
    <w:rsid w:val="005B318A"/>
    <w:rsid w:val="005E07E0"/>
    <w:rsid w:val="006363A0"/>
    <w:rsid w:val="00660178"/>
    <w:rsid w:val="007C2A73"/>
    <w:rsid w:val="008520EF"/>
    <w:rsid w:val="00856560"/>
    <w:rsid w:val="008A6F7A"/>
    <w:rsid w:val="009712FD"/>
    <w:rsid w:val="009C2B0E"/>
    <w:rsid w:val="009F5D0C"/>
    <w:rsid w:val="00A5222E"/>
    <w:rsid w:val="00A62F86"/>
    <w:rsid w:val="00AA28B4"/>
    <w:rsid w:val="00B33CA8"/>
    <w:rsid w:val="00B64BCF"/>
    <w:rsid w:val="00B9083E"/>
    <w:rsid w:val="00BD2A92"/>
    <w:rsid w:val="00BE7BC7"/>
    <w:rsid w:val="00CB21BD"/>
    <w:rsid w:val="00DB611E"/>
    <w:rsid w:val="00DB6D3A"/>
    <w:rsid w:val="00DD3752"/>
    <w:rsid w:val="00E447F4"/>
    <w:rsid w:val="00E9692E"/>
    <w:rsid w:val="00FA6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659D4"/>
  <w15:chartTrackingRefBased/>
  <w15:docId w15:val="{DE9C79EF-8A7A-4630-9358-DEAC7D358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B5"/>
    <w:pPr>
      <w:keepNext/>
      <w:keepLines/>
      <w:spacing w:before="360" w:after="80"/>
      <w:outlineLvl w:val="0"/>
    </w:pPr>
    <w:rPr>
      <w:rFonts w:asciiTheme="majorHAnsi" w:eastAsiaTheme="majorEastAsia" w:hAnsiTheme="majorHAnsi" w:cstheme="majorBidi"/>
      <w:b/>
      <w:color w:val="0A2F41" w:themeColor="accent1" w:themeShade="80"/>
      <w:sz w:val="32"/>
      <w:szCs w:val="40"/>
    </w:rPr>
  </w:style>
  <w:style w:type="paragraph" w:styleId="Heading2">
    <w:name w:val="heading 2"/>
    <w:basedOn w:val="Normal"/>
    <w:next w:val="Normal"/>
    <w:link w:val="Heading2Char"/>
    <w:uiPriority w:val="9"/>
    <w:unhideWhenUsed/>
    <w:qFormat/>
    <w:rsid w:val="00195AB5"/>
    <w:pPr>
      <w:keepNext/>
      <w:keepLines/>
      <w:spacing w:before="160" w:after="80"/>
      <w:outlineLvl w:val="1"/>
    </w:pPr>
    <w:rPr>
      <w:rFonts w:asciiTheme="majorHAnsi" w:eastAsiaTheme="majorEastAsia" w:hAnsiTheme="majorHAnsi" w:cstheme="majorBidi"/>
      <w:b/>
      <w:color w:val="215E99" w:themeColor="text2" w:themeTint="BF"/>
      <w:sz w:val="28"/>
      <w:szCs w:val="32"/>
    </w:rPr>
  </w:style>
  <w:style w:type="paragraph" w:styleId="Heading3">
    <w:name w:val="heading 3"/>
    <w:basedOn w:val="Normal"/>
    <w:next w:val="Normal"/>
    <w:link w:val="Heading3Char"/>
    <w:uiPriority w:val="9"/>
    <w:unhideWhenUsed/>
    <w:qFormat/>
    <w:rsid w:val="00195AB5"/>
    <w:pPr>
      <w:keepNext/>
      <w:keepLines/>
      <w:spacing w:before="160" w:after="80"/>
      <w:outlineLvl w:val="2"/>
    </w:pPr>
    <w:rPr>
      <w:rFonts w:eastAsiaTheme="majorEastAsia" w:cstheme="majorBidi"/>
      <w:b/>
      <w:color w:val="4C94D8" w:themeColor="text2" w:themeTint="80"/>
      <w:szCs w:val="28"/>
    </w:rPr>
  </w:style>
  <w:style w:type="paragraph" w:styleId="Heading4">
    <w:name w:val="heading 4"/>
    <w:basedOn w:val="Normal"/>
    <w:next w:val="Normal"/>
    <w:link w:val="Heading4Char"/>
    <w:uiPriority w:val="9"/>
    <w:semiHidden/>
    <w:unhideWhenUsed/>
    <w:qFormat/>
    <w:rsid w:val="00BD2A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2A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2A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2A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2A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2A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B5"/>
    <w:rPr>
      <w:rFonts w:asciiTheme="majorHAnsi" w:eastAsiaTheme="majorEastAsia" w:hAnsiTheme="majorHAnsi" w:cstheme="majorBidi"/>
      <w:b/>
      <w:color w:val="0A2F41" w:themeColor="accent1" w:themeShade="80"/>
      <w:sz w:val="32"/>
      <w:szCs w:val="40"/>
    </w:rPr>
  </w:style>
  <w:style w:type="character" w:customStyle="1" w:styleId="Heading2Char">
    <w:name w:val="Heading 2 Char"/>
    <w:basedOn w:val="DefaultParagraphFont"/>
    <w:link w:val="Heading2"/>
    <w:uiPriority w:val="9"/>
    <w:rsid w:val="00195AB5"/>
    <w:rPr>
      <w:rFonts w:asciiTheme="majorHAnsi" w:eastAsiaTheme="majorEastAsia" w:hAnsiTheme="majorHAnsi" w:cstheme="majorBidi"/>
      <w:b/>
      <w:color w:val="215E99" w:themeColor="text2" w:themeTint="BF"/>
      <w:sz w:val="28"/>
      <w:szCs w:val="32"/>
    </w:rPr>
  </w:style>
  <w:style w:type="character" w:customStyle="1" w:styleId="Heading3Char">
    <w:name w:val="Heading 3 Char"/>
    <w:basedOn w:val="DefaultParagraphFont"/>
    <w:link w:val="Heading3"/>
    <w:uiPriority w:val="9"/>
    <w:rsid w:val="00195AB5"/>
    <w:rPr>
      <w:rFonts w:eastAsiaTheme="majorEastAsia" w:cstheme="majorBidi"/>
      <w:b/>
      <w:color w:val="4C94D8" w:themeColor="text2" w:themeTint="80"/>
      <w:szCs w:val="28"/>
    </w:rPr>
  </w:style>
  <w:style w:type="character" w:customStyle="1" w:styleId="Heading4Char">
    <w:name w:val="Heading 4 Char"/>
    <w:basedOn w:val="DefaultParagraphFont"/>
    <w:link w:val="Heading4"/>
    <w:uiPriority w:val="9"/>
    <w:semiHidden/>
    <w:rsid w:val="00BD2A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2A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2A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2A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2A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2A92"/>
    <w:rPr>
      <w:rFonts w:eastAsiaTheme="majorEastAsia" w:cstheme="majorBidi"/>
      <w:color w:val="272727" w:themeColor="text1" w:themeTint="D8"/>
    </w:rPr>
  </w:style>
  <w:style w:type="paragraph" w:styleId="Title">
    <w:name w:val="Title"/>
    <w:basedOn w:val="Normal"/>
    <w:next w:val="Normal"/>
    <w:link w:val="TitleChar"/>
    <w:uiPriority w:val="10"/>
    <w:qFormat/>
    <w:rsid w:val="00BD2A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2A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2A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2A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2A92"/>
    <w:pPr>
      <w:spacing w:before="160"/>
      <w:jc w:val="center"/>
    </w:pPr>
    <w:rPr>
      <w:i/>
      <w:iCs/>
      <w:color w:val="404040" w:themeColor="text1" w:themeTint="BF"/>
    </w:rPr>
  </w:style>
  <w:style w:type="character" w:customStyle="1" w:styleId="QuoteChar">
    <w:name w:val="Quote Char"/>
    <w:basedOn w:val="DefaultParagraphFont"/>
    <w:link w:val="Quote"/>
    <w:uiPriority w:val="29"/>
    <w:rsid w:val="00BD2A92"/>
    <w:rPr>
      <w:i/>
      <w:iCs/>
      <w:color w:val="404040" w:themeColor="text1" w:themeTint="BF"/>
    </w:rPr>
  </w:style>
  <w:style w:type="paragraph" w:styleId="ListParagraph">
    <w:name w:val="List Paragraph"/>
    <w:basedOn w:val="Normal"/>
    <w:uiPriority w:val="34"/>
    <w:qFormat/>
    <w:rsid w:val="00BD2A92"/>
    <w:pPr>
      <w:ind w:left="720"/>
      <w:contextualSpacing/>
    </w:pPr>
  </w:style>
  <w:style w:type="character" w:styleId="IntenseEmphasis">
    <w:name w:val="Intense Emphasis"/>
    <w:basedOn w:val="DefaultParagraphFont"/>
    <w:uiPriority w:val="21"/>
    <w:qFormat/>
    <w:rsid w:val="00BD2A92"/>
    <w:rPr>
      <w:i/>
      <w:iCs/>
      <w:color w:val="0F4761" w:themeColor="accent1" w:themeShade="BF"/>
    </w:rPr>
  </w:style>
  <w:style w:type="paragraph" w:styleId="IntenseQuote">
    <w:name w:val="Intense Quote"/>
    <w:basedOn w:val="Normal"/>
    <w:next w:val="Normal"/>
    <w:link w:val="IntenseQuoteChar"/>
    <w:uiPriority w:val="30"/>
    <w:qFormat/>
    <w:rsid w:val="00BD2A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2A92"/>
    <w:rPr>
      <w:i/>
      <w:iCs/>
      <w:color w:val="0F4761" w:themeColor="accent1" w:themeShade="BF"/>
    </w:rPr>
  </w:style>
  <w:style w:type="character" w:styleId="IntenseReference">
    <w:name w:val="Intense Reference"/>
    <w:basedOn w:val="DefaultParagraphFont"/>
    <w:uiPriority w:val="32"/>
    <w:qFormat/>
    <w:rsid w:val="00BD2A92"/>
    <w:rPr>
      <w:b/>
      <w:bCs/>
      <w:smallCaps/>
      <w:color w:val="0F4761" w:themeColor="accent1" w:themeShade="BF"/>
      <w:spacing w:val="5"/>
    </w:rPr>
  </w:style>
  <w:style w:type="paragraph" w:styleId="TOCHeading">
    <w:name w:val="TOC Heading"/>
    <w:basedOn w:val="Heading1"/>
    <w:next w:val="Normal"/>
    <w:uiPriority w:val="39"/>
    <w:unhideWhenUsed/>
    <w:qFormat/>
    <w:rsid w:val="006363A0"/>
    <w:pPr>
      <w:spacing w:before="240" w:after="0" w:line="259" w:lineRule="auto"/>
      <w:outlineLvl w:val="9"/>
    </w:pPr>
    <w:rPr>
      <w:b w:val="0"/>
      <w:color w:val="0F4761" w:themeColor="accent1" w:themeShade="BF"/>
      <w:kern w:val="0"/>
      <w:szCs w:val="32"/>
      <w:lang w:val="en-US"/>
      <w14:ligatures w14:val="none"/>
    </w:rPr>
  </w:style>
  <w:style w:type="paragraph" w:styleId="TOC1">
    <w:name w:val="toc 1"/>
    <w:basedOn w:val="Normal"/>
    <w:next w:val="Normal"/>
    <w:autoRedefine/>
    <w:uiPriority w:val="39"/>
    <w:unhideWhenUsed/>
    <w:rsid w:val="006363A0"/>
    <w:pPr>
      <w:spacing w:after="100"/>
    </w:pPr>
  </w:style>
  <w:style w:type="paragraph" w:styleId="TOC2">
    <w:name w:val="toc 2"/>
    <w:basedOn w:val="Normal"/>
    <w:next w:val="Normal"/>
    <w:autoRedefine/>
    <w:uiPriority w:val="39"/>
    <w:unhideWhenUsed/>
    <w:rsid w:val="006363A0"/>
    <w:pPr>
      <w:spacing w:after="100"/>
      <w:ind w:left="240"/>
    </w:pPr>
  </w:style>
  <w:style w:type="paragraph" w:styleId="TOC3">
    <w:name w:val="toc 3"/>
    <w:basedOn w:val="Normal"/>
    <w:next w:val="Normal"/>
    <w:autoRedefine/>
    <w:uiPriority w:val="39"/>
    <w:unhideWhenUsed/>
    <w:rsid w:val="006363A0"/>
    <w:pPr>
      <w:spacing w:after="100"/>
      <w:ind w:left="480"/>
    </w:pPr>
  </w:style>
  <w:style w:type="character" w:styleId="Hyperlink">
    <w:name w:val="Hyperlink"/>
    <w:basedOn w:val="DefaultParagraphFont"/>
    <w:uiPriority w:val="99"/>
    <w:unhideWhenUsed/>
    <w:rsid w:val="006363A0"/>
    <w:rPr>
      <w:color w:val="467886" w:themeColor="hyperlink"/>
      <w:u w:val="single"/>
    </w:rPr>
  </w:style>
  <w:style w:type="paragraph" w:styleId="Header">
    <w:name w:val="header"/>
    <w:basedOn w:val="Normal"/>
    <w:link w:val="HeaderChar"/>
    <w:uiPriority w:val="99"/>
    <w:unhideWhenUsed/>
    <w:rsid w:val="006601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0178"/>
  </w:style>
  <w:style w:type="paragraph" w:styleId="Footer">
    <w:name w:val="footer"/>
    <w:basedOn w:val="Normal"/>
    <w:link w:val="FooterChar"/>
    <w:uiPriority w:val="99"/>
    <w:unhideWhenUsed/>
    <w:rsid w:val="006601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0178"/>
  </w:style>
  <w:style w:type="paragraph" w:styleId="NoSpacing">
    <w:name w:val="No Spacing"/>
    <w:link w:val="NoSpacingChar"/>
    <w:uiPriority w:val="1"/>
    <w:qFormat/>
    <w:rsid w:val="00DB6D3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B6D3A"/>
    <w:rPr>
      <w:rFonts w:eastAsiaTheme="minorEastAsia"/>
      <w:kern w:val="0"/>
      <w:sz w:val="22"/>
      <w:szCs w:val="22"/>
      <w:lang w:val="en-US"/>
      <w14:ligatures w14:val="none"/>
    </w:rPr>
  </w:style>
  <w:style w:type="character" w:styleId="UnresolvedMention">
    <w:name w:val="Unresolved Mention"/>
    <w:basedOn w:val="DefaultParagraphFont"/>
    <w:uiPriority w:val="99"/>
    <w:semiHidden/>
    <w:unhideWhenUsed/>
    <w:rsid w:val="00475D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60997">
      <w:bodyDiv w:val="1"/>
      <w:marLeft w:val="0"/>
      <w:marRight w:val="0"/>
      <w:marTop w:val="0"/>
      <w:marBottom w:val="0"/>
      <w:divBdr>
        <w:top w:val="none" w:sz="0" w:space="0" w:color="auto"/>
        <w:left w:val="none" w:sz="0" w:space="0" w:color="auto"/>
        <w:bottom w:val="none" w:sz="0" w:space="0" w:color="auto"/>
        <w:right w:val="none" w:sz="0" w:space="0" w:color="auto"/>
      </w:divBdr>
    </w:div>
    <w:div w:id="144977310">
      <w:bodyDiv w:val="1"/>
      <w:marLeft w:val="0"/>
      <w:marRight w:val="0"/>
      <w:marTop w:val="0"/>
      <w:marBottom w:val="0"/>
      <w:divBdr>
        <w:top w:val="none" w:sz="0" w:space="0" w:color="auto"/>
        <w:left w:val="none" w:sz="0" w:space="0" w:color="auto"/>
        <w:bottom w:val="none" w:sz="0" w:space="0" w:color="auto"/>
        <w:right w:val="none" w:sz="0" w:space="0" w:color="auto"/>
      </w:divBdr>
    </w:div>
    <w:div w:id="147406244">
      <w:bodyDiv w:val="1"/>
      <w:marLeft w:val="0"/>
      <w:marRight w:val="0"/>
      <w:marTop w:val="0"/>
      <w:marBottom w:val="0"/>
      <w:divBdr>
        <w:top w:val="none" w:sz="0" w:space="0" w:color="auto"/>
        <w:left w:val="none" w:sz="0" w:space="0" w:color="auto"/>
        <w:bottom w:val="none" w:sz="0" w:space="0" w:color="auto"/>
        <w:right w:val="none" w:sz="0" w:space="0" w:color="auto"/>
      </w:divBdr>
    </w:div>
    <w:div w:id="155266495">
      <w:bodyDiv w:val="1"/>
      <w:marLeft w:val="0"/>
      <w:marRight w:val="0"/>
      <w:marTop w:val="0"/>
      <w:marBottom w:val="0"/>
      <w:divBdr>
        <w:top w:val="none" w:sz="0" w:space="0" w:color="auto"/>
        <w:left w:val="none" w:sz="0" w:space="0" w:color="auto"/>
        <w:bottom w:val="none" w:sz="0" w:space="0" w:color="auto"/>
        <w:right w:val="none" w:sz="0" w:space="0" w:color="auto"/>
      </w:divBdr>
    </w:div>
    <w:div w:id="358091271">
      <w:bodyDiv w:val="1"/>
      <w:marLeft w:val="0"/>
      <w:marRight w:val="0"/>
      <w:marTop w:val="0"/>
      <w:marBottom w:val="0"/>
      <w:divBdr>
        <w:top w:val="none" w:sz="0" w:space="0" w:color="auto"/>
        <w:left w:val="none" w:sz="0" w:space="0" w:color="auto"/>
        <w:bottom w:val="none" w:sz="0" w:space="0" w:color="auto"/>
        <w:right w:val="none" w:sz="0" w:space="0" w:color="auto"/>
      </w:divBdr>
    </w:div>
    <w:div w:id="361249910">
      <w:bodyDiv w:val="1"/>
      <w:marLeft w:val="0"/>
      <w:marRight w:val="0"/>
      <w:marTop w:val="0"/>
      <w:marBottom w:val="0"/>
      <w:divBdr>
        <w:top w:val="none" w:sz="0" w:space="0" w:color="auto"/>
        <w:left w:val="none" w:sz="0" w:space="0" w:color="auto"/>
        <w:bottom w:val="none" w:sz="0" w:space="0" w:color="auto"/>
        <w:right w:val="none" w:sz="0" w:space="0" w:color="auto"/>
      </w:divBdr>
    </w:div>
    <w:div w:id="395976022">
      <w:bodyDiv w:val="1"/>
      <w:marLeft w:val="0"/>
      <w:marRight w:val="0"/>
      <w:marTop w:val="0"/>
      <w:marBottom w:val="0"/>
      <w:divBdr>
        <w:top w:val="none" w:sz="0" w:space="0" w:color="auto"/>
        <w:left w:val="none" w:sz="0" w:space="0" w:color="auto"/>
        <w:bottom w:val="none" w:sz="0" w:space="0" w:color="auto"/>
        <w:right w:val="none" w:sz="0" w:space="0" w:color="auto"/>
      </w:divBdr>
    </w:div>
    <w:div w:id="408307001">
      <w:bodyDiv w:val="1"/>
      <w:marLeft w:val="0"/>
      <w:marRight w:val="0"/>
      <w:marTop w:val="0"/>
      <w:marBottom w:val="0"/>
      <w:divBdr>
        <w:top w:val="none" w:sz="0" w:space="0" w:color="auto"/>
        <w:left w:val="none" w:sz="0" w:space="0" w:color="auto"/>
        <w:bottom w:val="none" w:sz="0" w:space="0" w:color="auto"/>
        <w:right w:val="none" w:sz="0" w:space="0" w:color="auto"/>
      </w:divBdr>
    </w:div>
    <w:div w:id="556671972">
      <w:bodyDiv w:val="1"/>
      <w:marLeft w:val="0"/>
      <w:marRight w:val="0"/>
      <w:marTop w:val="0"/>
      <w:marBottom w:val="0"/>
      <w:divBdr>
        <w:top w:val="none" w:sz="0" w:space="0" w:color="auto"/>
        <w:left w:val="none" w:sz="0" w:space="0" w:color="auto"/>
        <w:bottom w:val="none" w:sz="0" w:space="0" w:color="auto"/>
        <w:right w:val="none" w:sz="0" w:space="0" w:color="auto"/>
      </w:divBdr>
    </w:div>
    <w:div w:id="657154290">
      <w:bodyDiv w:val="1"/>
      <w:marLeft w:val="0"/>
      <w:marRight w:val="0"/>
      <w:marTop w:val="0"/>
      <w:marBottom w:val="0"/>
      <w:divBdr>
        <w:top w:val="none" w:sz="0" w:space="0" w:color="auto"/>
        <w:left w:val="none" w:sz="0" w:space="0" w:color="auto"/>
        <w:bottom w:val="none" w:sz="0" w:space="0" w:color="auto"/>
        <w:right w:val="none" w:sz="0" w:space="0" w:color="auto"/>
      </w:divBdr>
    </w:div>
    <w:div w:id="738479534">
      <w:bodyDiv w:val="1"/>
      <w:marLeft w:val="0"/>
      <w:marRight w:val="0"/>
      <w:marTop w:val="0"/>
      <w:marBottom w:val="0"/>
      <w:divBdr>
        <w:top w:val="none" w:sz="0" w:space="0" w:color="auto"/>
        <w:left w:val="none" w:sz="0" w:space="0" w:color="auto"/>
        <w:bottom w:val="none" w:sz="0" w:space="0" w:color="auto"/>
        <w:right w:val="none" w:sz="0" w:space="0" w:color="auto"/>
      </w:divBdr>
    </w:div>
    <w:div w:id="780607233">
      <w:bodyDiv w:val="1"/>
      <w:marLeft w:val="0"/>
      <w:marRight w:val="0"/>
      <w:marTop w:val="0"/>
      <w:marBottom w:val="0"/>
      <w:divBdr>
        <w:top w:val="none" w:sz="0" w:space="0" w:color="auto"/>
        <w:left w:val="none" w:sz="0" w:space="0" w:color="auto"/>
        <w:bottom w:val="none" w:sz="0" w:space="0" w:color="auto"/>
        <w:right w:val="none" w:sz="0" w:space="0" w:color="auto"/>
      </w:divBdr>
    </w:div>
    <w:div w:id="822433917">
      <w:bodyDiv w:val="1"/>
      <w:marLeft w:val="0"/>
      <w:marRight w:val="0"/>
      <w:marTop w:val="0"/>
      <w:marBottom w:val="0"/>
      <w:divBdr>
        <w:top w:val="none" w:sz="0" w:space="0" w:color="auto"/>
        <w:left w:val="none" w:sz="0" w:space="0" w:color="auto"/>
        <w:bottom w:val="none" w:sz="0" w:space="0" w:color="auto"/>
        <w:right w:val="none" w:sz="0" w:space="0" w:color="auto"/>
      </w:divBdr>
    </w:div>
    <w:div w:id="847712740">
      <w:bodyDiv w:val="1"/>
      <w:marLeft w:val="0"/>
      <w:marRight w:val="0"/>
      <w:marTop w:val="0"/>
      <w:marBottom w:val="0"/>
      <w:divBdr>
        <w:top w:val="none" w:sz="0" w:space="0" w:color="auto"/>
        <w:left w:val="none" w:sz="0" w:space="0" w:color="auto"/>
        <w:bottom w:val="none" w:sz="0" w:space="0" w:color="auto"/>
        <w:right w:val="none" w:sz="0" w:space="0" w:color="auto"/>
      </w:divBdr>
    </w:div>
    <w:div w:id="943535763">
      <w:bodyDiv w:val="1"/>
      <w:marLeft w:val="0"/>
      <w:marRight w:val="0"/>
      <w:marTop w:val="0"/>
      <w:marBottom w:val="0"/>
      <w:divBdr>
        <w:top w:val="none" w:sz="0" w:space="0" w:color="auto"/>
        <w:left w:val="none" w:sz="0" w:space="0" w:color="auto"/>
        <w:bottom w:val="none" w:sz="0" w:space="0" w:color="auto"/>
        <w:right w:val="none" w:sz="0" w:space="0" w:color="auto"/>
      </w:divBdr>
    </w:div>
    <w:div w:id="974067204">
      <w:bodyDiv w:val="1"/>
      <w:marLeft w:val="0"/>
      <w:marRight w:val="0"/>
      <w:marTop w:val="0"/>
      <w:marBottom w:val="0"/>
      <w:divBdr>
        <w:top w:val="none" w:sz="0" w:space="0" w:color="auto"/>
        <w:left w:val="none" w:sz="0" w:space="0" w:color="auto"/>
        <w:bottom w:val="none" w:sz="0" w:space="0" w:color="auto"/>
        <w:right w:val="none" w:sz="0" w:space="0" w:color="auto"/>
      </w:divBdr>
    </w:div>
    <w:div w:id="992413801">
      <w:bodyDiv w:val="1"/>
      <w:marLeft w:val="0"/>
      <w:marRight w:val="0"/>
      <w:marTop w:val="0"/>
      <w:marBottom w:val="0"/>
      <w:divBdr>
        <w:top w:val="none" w:sz="0" w:space="0" w:color="auto"/>
        <w:left w:val="none" w:sz="0" w:space="0" w:color="auto"/>
        <w:bottom w:val="none" w:sz="0" w:space="0" w:color="auto"/>
        <w:right w:val="none" w:sz="0" w:space="0" w:color="auto"/>
      </w:divBdr>
    </w:div>
    <w:div w:id="1064450079">
      <w:bodyDiv w:val="1"/>
      <w:marLeft w:val="0"/>
      <w:marRight w:val="0"/>
      <w:marTop w:val="0"/>
      <w:marBottom w:val="0"/>
      <w:divBdr>
        <w:top w:val="none" w:sz="0" w:space="0" w:color="auto"/>
        <w:left w:val="none" w:sz="0" w:space="0" w:color="auto"/>
        <w:bottom w:val="none" w:sz="0" w:space="0" w:color="auto"/>
        <w:right w:val="none" w:sz="0" w:space="0" w:color="auto"/>
      </w:divBdr>
    </w:div>
    <w:div w:id="1120800344">
      <w:bodyDiv w:val="1"/>
      <w:marLeft w:val="0"/>
      <w:marRight w:val="0"/>
      <w:marTop w:val="0"/>
      <w:marBottom w:val="0"/>
      <w:divBdr>
        <w:top w:val="none" w:sz="0" w:space="0" w:color="auto"/>
        <w:left w:val="none" w:sz="0" w:space="0" w:color="auto"/>
        <w:bottom w:val="none" w:sz="0" w:space="0" w:color="auto"/>
        <w:right w:val="none" w:sz="0" w:space="0" w:color="auto"/>
      </w:divBdr>
    </w:div>
    <w:div w:id="1192958227">
      <w:bodyDiv w:val="1"/>
      <w:marLeft w:val="0"/>
      <w:marRight w:val="0"/>
      <w:marTop w:val="0"/>
      <w:marBottom w:val="0"/>
      <w:divBdr>
        <w:top w:val="none" w:sz="0" w:space="0" w:color="auto"/>
        <w:left w:val="none" w:sz="0" w:space="0" w:color="auto"/>
        <w:bottom w:val="none" w:sz="0" w:space="0" w:color="auto"/>
        <w:right w:val="none" w:sz="0" w:space="0" w:color="auto"/>
      </w:divBdr>
    </w:div>
    <w:div w:id="1217887861">
      <w:bodyDiv w:val="1"/>
      <w:marLeft w:val="0"/>
      <w:marRight w:val="0"/>
      <w:marTop w:val="0"/>
      <w:marBottom w:val="0"/>
      <w:divBdr>
        <w:top w:val="none" w:sz="0" w:space="0" w:color="auto"/>
        <w:left w:val="none" w:sz="0" w:space="0" w:color="auto"/>
        <w:bottom w:val="none" w:sz="0" w:space="0" w:color="auto"/>
        <w:right w:val="none" w:sz="0" w:space="0" w:color="auto"/>
      </w:divBdr>
    </w:div>
    <w:div w:id="1228150705">
      <w:bodyDiv w:val="1"/>
      <w:marLeft w:val="0"/>
      <w:marRight w:val="0"/>
      <w:marTop w:val="0"/>
      <w:marBottom w:val="0"/>
      <w:divBdr>
        <w:top w:val="none" w:sz="0" w:space="0" w:color="auto"/>
        <w:left w:val="none" w:sz="0" w:space="0" w:color="auto"/>
        <w:bottom w:val="none" w:sz="0" w:space="0" w:color="auto"/>
        <w:right w:val="none" w:sz="0" w:space="0" w:color="auto"/>
      </w:divBdr>
    </w:div>
    <w:div w:id="1268003874">
      <w:bodyDiv w:val="1"/>
      <w:marLeft w:val="0"/>
      <w:marRight w:val="0"/>
      <w:marTop w:val="0"/>
      <w:marBottom w:val="0"/>
      <w:divBdr>
        <w:top w:val="none" w:sz="0" w:space="0" w:color="auto"/>
        <w:left w:val="none" w:sz="0" w:space="0" w:color="auto"/>
        <w:bottom w:val="none" w:sz="0" w:space="0" w:color="auto"/>
        <w:right w:val="none" w:sz="0" w:space="0" w:color="auto"/>
      </w:divBdr>
    </w:div>
    <w:div w:id="1275675751">
      <w:bodyDiv w:val="1"/>
      <w:marLeft w:val="0"/>
      <w:marRight w:val="0"/>
      <w:marTop w:val="0"/>
      <w:marBottom w:val="0"/>
      <w:divBdr>
        <w:top w:val="none" w:sz="0" w:space="0" w:color="auto"/>
        <w:left w:val="none" w:sz="0" w:space="0" w:color="auto"/>
        <w:bottom w:val="none" w:sz="0" w:space="0" w:color="auto"/>
        <w:right w:val="none" w:sz="0" w:space="0" w:color="auto"/>
      </w:divBdr>
    </w:div>
    <w:div w:id="1304844142">
      <w:bodyDiv w:val="1"/>
      <w:marLeft w:val="0"/>
      <w:marRight w:val="0"/>
      <w:marTop w:val="0"/>
      <w:marBottom w:val="0"/>
      <w:divBdr>
        <w:top w:val="none" w:sz="0" w:space="0" w:color="auto"/>
        <w:left w:val="none" w:sz="0" w:space="0" w:color="auto"/>
        <w:bottom w:val="none" w:sz="0" w:space="0" w:color="auto"/>
        <w:right w:val="none" w:sz="0" w:space="0" w:color="auto"/>
      </w:divBdr>
    </w:div>
    <w:div w:id="1325934925">
      <w:bodyDiv w:val="1"/>
      <w:marLeft w:val="0"/>
      <w:marRight w:val="0"/>
      <w:marTop w:val="0"/>
      <w:marBottom w:val="0"/>
      <w:divBdr>
        <w:top w:val="none" w:sz="0" w:space="0" w:color="auto"/>
        <w:left w:val="none" w:sz="0" w:space="0" w:color="auto"/>
        <w:bottom w:val="none" w:sz="0" w:space="0" w:color="auto"/>
        <w:right w:val="none" w:sz="0" w:space="0" w:color="auto"/>
      </w:divBdr>
    </w:div>
    <w:div w:id="1344093072">
      <w:bodyDiv w:val="1"/>
      <w:marLeft w:val="0"/>
      <w:marRight w:val="0"/>
      <w:marTop w:val="0"/>
      <w:marBottom w:val="0"/>
      <w:divBdr>
        <w:top w:val="none" w:sz="0" w:space="0" w:color="auto"/>
        <w:left w:val="none" w:sz="0" w:space="0" w:color="auto"/>
        <w:bottom w:val="none" w:sz="0" w:space="0" w:color="auto"/>
        <w:right w:val="none" w:sz="0" w:space="0" w:color="auto"/>
      </w:divBdr>
    </w:div>
    <w:div w:id="1356613735">
      <w:bodyDiv w:val="1"/>
      <w:marLeft w:val="0"/>
      <w:marRight w:val="0"/>
      <w:marTop w:val="0"/>
      <w:marBottom w:val="0"/>
      <w:divBdr>
        <w:top w:val="none" w:sz="0" w:space="0" w:color="auto"/>
        <w:left w:val="none" w:sz="0" w:space="0" w:color="auto"/>
        <w:bottom w:val="none" w:sz="0" w:space="0" w:color="auto"/>
        <w:right w:val="none" w:sz="0" w:space="0" w:color="auto"/>
      </w:divBdr>
    </w:div>
    <w:div w:id="1410611703">
      <w:bodyDiv w:val="1"/>
      <w:marLeft w:val="0"/>
      <w:marRight w:val="0"/>
      <w:marTop w:val="0"/>
      <w:marBottom w:val="0"/>
      <w:divBdr>
        <w:top w:val="none" w:sz="0" w:space="0" w:color="auto"/>
        <w:left w:val="none" w:sz="0" w:space="0" w:color="auto"/>
        <w:bottom w:val="none" w:sz="0" w:space="0" w:color="auto"/>
        <w:right w:val="none" w:sz="0" w:space="0" w:color="auto"/>
      </w:divBdr>
    </w:div>
    <w:div w:id="1433549901">
      <w:bodyDiv w:val="1"/>
      <w:marLeft w:val="0"/>
      <w:marRight w:val="0"/>
      <w:marTop w:val="0"/>
      <w:marBottom w:val="0"/>
      <w:divBdr>
        <w:top w:val="none" w:sz="0" w:space="0" w:color="auto"/>
        <w:left w:val="none" w:sz="0" w:space="0" w:color="auto"/>
        <w:bottom w:val="none" w:sz="0" w:space="0" w:color="auto"/>
        <w:right w:val="none" w:sz="0" w:space="0" w:color="auto"/>
      </w:divBdr>
    </w:div>
    <w:div w:id="1479227491">
      <w:bodyDiv w:val="1"/>
      <w:marLeft w:val="0"/>
      <w:marRight w:val="0"/>
      <w:marTop w:val="0"/>
      <w:marBottom w:val="0"/>
      <w:divBdr>
        <w:top w:val="none" w:sz="0" w:space="0" w:color="auto"/>
        <w:left w:val="none" w:sz="0" w:space="0" w:color="auto"/>
        <w:bottom w:val="none" w:sz="0" w:space="0" w:color="auto"/>
        <w:right w:val="none" w:sz="0" w:space="0" w:color="auto"/>
      </w:divBdr>
    </w:div>
    <w:div w:id="1516922136">
      <w:bodyDiv w:val="1"/>
      <w:marLeft w:val="0"/>
      <w:marRight w:val="0"/>
      <w:marTop w:val="0"/>
      <w:marBottom w:val="0"/>
      <w:divBdr>
        <w:top w:val="none" w:sz="0" w:space="0" w:color="auto"/>
        <w:left w:val="none" w:sz="0" w:space="0" w:color="auto"/>
        <w:bottom w:val="none" w:sz="0" w:space="0" w:color="auto"/>
        <w:right w:val="none" w:sz="0" w:space="0" w:color="auto"/>
      </w:divBdr>
    </w:div>
    <w:div w:id="1570769401">
      <w:bodyDiv w:val="1"/>
      <w:marLeft w:val="0"/>
      <w:marRight w:val="0"/>
      <w:marTop w:val="0"/>
      <w:marBottom w:val="0"/>
      <w:divBdr>
        <w:top w:val="none" w:sz="0" w:space="0" w:color="auto"/>
        <w:left w:val="none" w:sz="0" w:space="0" w:color="auto"/>
        <w:bottom w:val="none" w:sz="0" w:space="0" w:color="auto"/>
        <w:right w:val="none" w:sz="0" w:space="0" w:color="auto"/>
      </w:divBdr>
    </w:div>
    <w:div w:id="1920141251">
      <w:bodyDiv w:val="1"/>
      <w:marLeft w:val="0"/>
      <w:marRight w:val="0"/>
      <w:marTop w:val="0"/>
      <w:marBottom w:val="0"/>
      <w:divBdr>
        <w:top w:val="none" w:sz="0" w:space="0" w:color="auto"/>
        <w:left w:val="none" w:sz="0" w:space="0" w:color="auto"/>
        <w:bottom w:val="none" w:sz="0" w:space="0" w:color="auto"/>
        <w:right w:val="none" w:sz="0" w:space="0" w:color="auto"/>
      </w:divBdr>
    </w:div>
    <w:div w:id="1954744186">
      <w:bodyDiv w:val="1"/>
      <w:marLeft w:val="0"/>
      <w:marRight w:val="0"/>
      <w:marTop w:val="0"/>
      <w:marBottom w:val="0"/>
      <w:divBdr>
        <w:top w:val="none" w:sz="0" w:space="0" w:color="auto"/>
        <w:left w:val="none" w:sz="0" w:space="0" w:color="auto"/>
        <w:bottom w:val="none" w:sz="0" w:space="0" w:color="auto"/>
        <w:right w:val="none" w:sz="0" w:space="0" w:color="auto"/>
      </w:divBdr>
    </w:div>
    <w:div w:id="1994749210">
      <w:bodyDiv w:val="1"/>
      <w:marLeft w:val="0"/>
      <w:marRight w:val="0"/>
      <w:marTop w:val="0"/>
      <w:marBottom w:val="0"/>
      <w:divBdr>
        <w:top w:val="none" w:sz="0" w:space="0" w:color="auto"/>
        <w:left w:val="none" w:sz="0" w:space="0" w:color="auto"/>
        <w:bottom w:val="none" w:sz="0" w:space="0" w:color="auto"/>
        <w:right w:val="none" w:sz="0" w:space="0" w:color="auto"/>
      </w:divBdr>
    </w:div>
    <w:div w:id="2021664158">
      <w:bodyDiv w:val="1"/>
      <w:marLeft w:val="0"/>
      <w:marRight w:val="0"/>
      <w:marTop w:val="0"/>
      <w:marBottom w:val="0"/>
      <w:divBdr>
        <w:top w:val="none" w:sz="0" w:space="0" w:color="auto"/>
        <w:left w:val="none" w:sz="0" w:space="0" w:color="auto"/>
        <w:bottom w:val="none" w:sz="0" w:space="0" w:color="auto"/>
        <w:right w:val="none" w:sz="0" w:space="0" w:color="auto"/>
      </w:divBdr>
    </w:div>
    <w:div w:id="214021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pi.org.uk/files/8214/1658/1400/Monitoring_Poverty_and_Social_Exclusion_2014.pdf" TargetMode="External"/><Relationship Id="rId18" Type="http://schemas.openxmlformats.org/officeDocument/2006/relationships/hyperlink" Target="https://www.suttontrust.com/our-programm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jrf.org.uk/pdf/15211" TargetMode="External"/><Relationship Id="rId17" Type="http://schemas.openxmlformats.org/officeDocument/2006/relationships/hyperlink" Target="https://www.suttontrust.com/wp-content/uploads/2017/09/Extra-time-report_FINAL.pdf"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798404/SMC_State_of_the_Nation_Report_2018-19.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statistics/households-below-average-income-for-financial-years-ending-1995-to-2023/households-below-average-income-an-analysis-of-the-uk-income-distribution-fye-1995-to-fye-2023" TargetMode="External"/><Relationship Id="rId5" Type="http://schemas.openxmlformats.org/officeDocument/2006/relationships/webSettings" Target="webSettings.xml"/><Relationship Id="rId15" Type="http://schemas.openxmlformats.org/officeDocument/2006/relationships/hyperlink" Target="https://www.oecd-ilibrary.org/education/equity-and-quality-in-education_9789264130852-en" TargetMode="External"/><Relationship Id="rId10" Type="http://schemas.openxmlformats.org/officeDocument/2006/relationships/hyperlink" Target="https://www.jstor.org/stable/23355204" TargetMode="External"/><Relationship Id="rId19" Type="http://schemas.openxmlformats.org/officeDocument/2006/relationships/hyperlink" Target="https://www.worldbank.org/en/publication/poverty-and-shared-prosperi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ao.org.uk/wp-content/uploads/2017/09/Homelessness.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1A3E0-E293-4807-903F-7A91C8A3F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5359</Words>
  <Characters>30552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Bordea Costel</dc:creator>
  <cp:keywords/>
  <dc:description/>
  <cp:lastModifiedBy>Bordea Costel</cp:lastModifiedBy>
  <cp:revision>33</cp:revision>
  <dcterms:created xsi:type="dcterms:W3CDTF">2024-11-30T15:42:00Z</dcterms:created>
  <dcterms:modified xsi:type="dcterms:W3CDTF">2024-11-30T21:42:00Z</dcterms:modified>
</cp:coreProperties>
</file>